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p>
    <w:p>
      <w:pPr>
        <w:jc w:val="center"/>
      </w:pPr>
      <w:r>
        <w:rPr>
          <w:rFonts w:ascii="IBM Plex Sans" w:cs="IBM Plex Sans" w:eastAsia="IBM Plex Sans" w:hAnsi="IBM Plex Sans"/>
          <w:b/>
          <w:bCs/>
          <w:caps/>
          <w:color w:val="B45309"/>
          <w:sz w:val="20"/>
          <w:szCs w:val="20"/>
        </w:rPr>
        <w:t xml:space="preserve">EKOSISTEM LITERATUR STANDAR SpOG</w:t>
      </w:r>
    </w:p>
    <w:p>
      <w:pPr>
        <w:spacing w:after="400"/>
        <w:jc w:val="center"/>
      </w:pPr>
      <w:r>
        <w:rPr>
          <w:rFonts w:ascii="IBM Plex Mono" w:cs="IBM Plex Mono" w:eastAsia="IBM Plex Mono" w:hAnsi="IBM Plex Mono"/>
          <w:color w:val="64748B"/>
          <w:sz w:val="18"/>
          <w:szCs w:val="18"/>
        </w:rPr>
        <w:t xml:space="preserve">BUKU TEMATIK · UNIT B1 · DOKUMEN 2 DARI 15</w:t>
      </w:r>
    </w:p>
    <w:p>
      <w:pPr>
        <w:spacing w:after="300"/>
        <w:jc w:val="center"/>
      </w:pPr>
      <w:r>
        <w:rPr>
          <w:rFonts w:ascii="Source Serif 4" w:cs="Source Serif 4" w:eastAsia="Source Serif 4" w:hAnsi="Source Serif 4"/>
          <w:b/>
          <w:bCs/>
          <w:color w:val="4F46E5"/>
          <w:sz w:val="48"/>
          <w:szCs w:val="48"/>
        </w:rPr>
        <w:t xml:space="preserve">Keselamatan Pasien dan Mutu Pelayanan dalam Praktik Obstetri dan Ginekologi</w:t>
      </w:r>
    </w:p>
    <w:p>
      <w:pPr>
        <w:spacing w:after="800"/>
        <w:jc w:val="center"/>
      </w:pPr>
      <w:r>
        <w:rPr>
          <w:rFonts w:ascii="IBM Plex Sans" w:cs="IBM Plex Sans" w:eastAsia="IBM Plex Sans" w:hAnsi="IBM Plex Sans"/>
          <w:i/>
          <w:iCs/>
          <w:color w:val="64748B"/>
          <w:sz w:val="22"/>
          <w:szCs w:val="22"/>
        </w:rPr>
        <w:t xml:space="preserve">Patient Safety and Quality of Care in Obstetrics and Gynaecology Practice</w:t>
      </w:r>
    </w:p>
    <w:p>
      <w:pPr>
        <w:spacing w:after="100"/>
        <w:jc w:val="center"/>
      </w:pPr>
      <w:r>
        <w:rPr>
          <w:rFonts w:ascii="IBM Plex Sans" w:cs="IBM Plex Sans" w:eastAsia="IBM Plex Sans" w:hAnsi="IBM Plex Sans"/>
          <w:b/>
          <w:bCs/>
          <w:color w:val="B45309"/>
          <w:sz w:val="18"/>
          <w:szCs w:val="18"/>
        </w:rPr>
        <w:t xml:space="preserve">AUDIENS UTAMA</w:t>
      </w:r>
    </w:p>
    <w:p>
      <w:pPr>
        <w:spacing w:after="400"/>
        <w:jc w:val="center"/>
      </w:pPr>
      <w:r>
        <w:rPr>
          <w:rFonts w:ascii="IBM Plex Sans" w:cs="IBM Plex Sans" w:eastAsia="IBM Plex Sans" w:hAnsi="IBM Plex Sans"/>
          <w:color w:val="334155"/>
          <w:sz w:val="20"/>
          <w:szCs w:val="20"/>
        </w:rPr>
        <w:t xml:space="preserve">Peserta Didik PPDS Tahun I–IV, DPJP Pendidik, Komite Mutu Rumah Sakit Pendidikan</w:t>
      </w:r>
    </w:p>
    <w:p>
      <w:pPr>
        <w:spacing w:before="2000"/>
      </w:pPr>
    </w:p>
    <w:p>
      <w:pPr>
        <w:jc w:val="center"/>
      </w:pPr>
      <w:r>
        <w:rPr>
          <w:rFonts w:ascii="IBM Plex Mono" w:cs="IBM Plex Mono" w:eastAsia="IBM Plex Mono" w:hAnsi="IBM Plex Mono"/>
          <w:color w:val="64748B"/>
          <w:sz w:val="16"/>
          <w:szCs w:val="16"/>
        </w:rPr>
        <w:t xml:space="preserve">Dasar Regulasi Utama: Keputusan Ketua Konsil Kesehatan Indonesia</w:t>
      </w:r>
    </w:p>
    <w:p>
      <w:pPr>
        <w:jc w:val="center"/>
      </w:pPr>
      <w:r>
        <w:rPr>
          <w:rFonts w:ascii="IBM Plex Mono" w:cs="IBM Plex Mono" w:eastAsia="IBM Plex Mono" w:hAnsi="IBM Plex Mono"/>
          <w:b/>
          <w:bCs/>
          <w:color w:val="64748B"/>
          <w:sz w:val="16"/>
          <w:szCs w:val="16"/>
        </w:rPr>
        <w:t xml:space="preserve">Nomor HK.01.02/KKI/1318/2026</w:t>
      </w:r>
    </w:p>
    <w:p>
      <w:pPr>
        <w:spacing w:before="600"/>
      </w:pPr>
    </w:p>
    <w:p>
      <w:pPr>
        <w:jc w:val="center"/>
      </w:pPr>
      <w:r>
        <w:rPr>
          <w:rFonts w:ascii="IBM Plex Sans" w:cs="IBM Plex Sans" w:eastAsia="IBM Plex Sans" w:hAnsi="IBM Plex Sans"/>
          <w:b/>
          <w:bCs/>
          <w:color w:val="334155"/>
          <w:sz w:val="20"/>
          <w:szCs w:val="20"/>
        </w:rPr>
        <w:t xml:space="preserve">Dr.dr. Budi Siswanto, Sp.OG., Subsp.Obginsos., SH., S.Kom.</w:t>
      </w:r>
    </w:p>
    <w:p>
      <w:pPr>
        <w:jc w:val="center"/>
      </w:pPr>
      <w:r>
        <w:rPr>
          <w:rFonts w:ascii="IBM Plex Mono" w:cs="IBM Plex Mono" w:eastAsia="IBM Plex Mono" w:hAnsi="IBM Plex Mono"/>
          <w:color w:val="64748B"/>
          <w:sz w:val="16"/>
          <w:szCs w:val="16"/>
        </w:rPr>
        <w:t xml:space="preserve">Perpustakaan Digital ABBA · Jl. Kerinci Raya No. 9, Malang 65138 · 2026</w:t>
      </w:r>
    </w:p>
    <w:p>
      <w:r>
        <w:br w:type="page"/>
      </w:r>
    </w:p>
    <w:p>
      <w:pPr>
        <w:pStyle w:val="Heading2"/>
        <w:spacing w:after="150"/>
      </w:pPr>
      <w:r>
        <w:rPr>
          <w:rFonts w:ascii="Source Serif 4" w:cs="Source Serif 4" w:eastAsia="Source Serif 4" w:hAnsi="Source Serif 4"/>
          <w:b/>
          <w:bCs/>
          <w:color w:val="4F46E5"/>
          <w:sz w:val="26"/>
          <w:szCs w:val="26"/>
        </w:rPr>
        <w:t xml:space="preserve">Ringkasan Dokumen</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2FF" w:val="clear"/>
            <w:tcMar>
              <w:top w:type="dxa" w:w="180"/>
              <w:left w:type="dxa" w:w="220"/>
              <w:bottom w:type="dxa" w:w="180"/>
              <w:right w:type="dxa" w:w="220"/>
            </w:tcMar>
          </w:tcPr>
          <w:p>
            <w:pPr>
              <w:pStyle w:val="ListParagraph"/>
              <w:numPr>
                <w:ilvl w:val="0"/>
                <w:numId w:val="1"/>
              </w:numPr>
              <w:spacing w:after="100"/>
            </w:pPr>
            <w:r>
              <w:rPr>
                <w:rFonts w:ascii="IBM Plex Sans" w:cs="IBM Plex Sans" w:eastAsia="IBM Plex Sans" w:hAnsi="IBM Plex Sans"/>
                <w:color w:val="334155"/>
                <w:sz w:val="20"/>
                <w:szCs w:val="20"/>
              </w:rPr>
              <w:t xml:space="preserve">Area Kompetensi 1 Kepkonsil menempatkan Keselamatan Pasien dan Pelayanan Kesehatan sebagai fondasi pertama dari 7 area kompetensi SpOG — bukan pelengkap, melainkan prasyarat seluruh kompetensi lain.</w:t>
            </w:r>
          </w:p>
          <w:p>
            <w:pPr>
              <w:pStyle w:val="ListParagraph"/>
              <w:numPr>
                <w:ilvl w:val="0"/>
                <w:numId w:val="1"/>
              </w:numPr>
              <w:spacing w:after="100"/>
            </w:pPr>
            <w:r>
              <w:rPr>
                <w:rFonts w:ascii="IBM Plex Sans" w:cs="IBM Plex Sans" w:eastAsia="IBM Plex Sans" w:hAnsi="IBM Plex Sans"/>
                <w:color w:val="334155"/>
                <w:sz w:val="20"/>
                <w:szCs w:val="20"/>
              </w:rPr>
              <w:t xml:space="preserve">Tabel 6 Kepkonsil merinci 7 komponen kompetensi keselamatan pasien dengan kriteria kinerja minimal terukur (target kepatuhan, frekuensi pelaporan, keterlibatan audit).</w:t>
            </w:r>
          </w:p>
          <w:p>
            <w:pPr>
              <w:pStyle w:val="ListParagraph"/>
              <w:numPr>
                <w:ilvl w:val="0"/>
                <w:numId w:val="1"/>
              </w:numPr>
              <w:spacing w:after="100"/>
            </w:pPr>
            <w:r>
              <w:rPr>
                <w:rFonts w:ascii="IBM Plex Sans" w:cs="IBM Plex Sans" w:eastAsia="IBM Plex Sans" w:hAnsi="IBM Plex Sans"/>
                <w:color w:val="334155"/>
                <w:sz w:val="20"/>
                <w:szCs w:val="20"/>
              </w:rPr>
              <w:t xml:space="preserve">Buku ini menautkan prinsip keselamatan pasien global (WHO, ACOG) dengan konteks klinis obstetri-ginekologi Indonesia yang berisiko tinggi kegawatdaruratan maternal.</w:t>
            </w:r>
          </w:p>
          <w:p>
            <w:pPr>
              <w:pStyle w:val="ListParagraph"/>
              <w:numPr>
                <w:ilvl w:val="0"/>
                <w:numId w:val="1"/>
              </w:numPr>
              <w:spacing w:after="100"/>
            </w:pPr>
            <w:r>
              <w:rPr>
                <w:rFonts w:ascii="IBM Plex Sans" w:cs="IBM Plex Sans" w:eastAsia="IBM Plex Sans" w:hAnsi="IBM Plex Sans"/>
                <w:color w:val="334155"/>
                <w:sz w:val="20"/>
                <w:szCs w:val="20"/>
              </w:rPr>
              <w:t xml:space="preserve">Kontribusi lintas 5 divisi subspesialis menunjukkan bahwa keselamatan pasien bersifat lintas-subspesialisasi, bukan domain satu bidang saja.</w:t>
            </w:r>
          </w:p>
        </w:tc>
      </w:tr>
    </w:tbl>
    <w:p>
      <w:pPr>
        <w:spacing w:after="300"/>
      </w:pPr>
    </w:p>
    <w:p>
      <w:pPr>
        <w:pStyle w:val="Heading1"/>
        <w:pageBreakBefore/>
        <w:spacing w:after="200" w:before="0"/>
      </w:pPr>
      <w:r>
        <w:rPr>
          <w:rFonts w:ascii="Source Serif 4" w:cs="Source Serif 4" w:eastAsia="Source Serif 4" w:hAnsi="Source Serif 4"/>
          <w:b/>
          <w:bCs/>
          <w:color w:val="4F46E5"/>
          <w:sz w:val="34"/>
          <w:szCs w:val="34"/>
        </w:rPr>
        <w:t xml:space="preserve">BAB I  —  Pendahuluan dan Kedudukan Keselamatan Pasien dalam Kompetensi Spesialis</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50"/>
              <w:left w:type="dxa" w:w="200"/>
              <w:bottom w:type="dxa" w:w="150"/>
              <w:right w:type="dxa" w:w="200"/>
            </w:tcMar>
          </w:tcPr>
          <w:p>
            <w:pPr>
              <w:spacing w:after="60"/>
            </w:pPr>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i/>
                <w:iCs/>
                <w:color w:val="334155"/>
                <w:sz w:val="20"/>
                <w:szCs w:val="20"/>
              </w:rPr>
              <w:t xml:space="preserve">Kepkonsil No. HK.01.02/KKI/1318/2026, Lampiran Bab III.A–B — daftar 7 Area Kompetensi dan Tabel 6 (Area Kompetensi 1: Keselamatan Pasien dan Pelayanan Kesehatan/Patient Safety and Care).</w:t>
            </w:r>
          </w:p>
        </w:tc>
      </w:tr>
    </w:tbl>
    <w:p>
      <w:pPr>
        <w:spacing w:after="200"/>
      </w:pPr>
    </w:p>
    <w:p>
      <w:pPr>
        <w:spacing w:after="200" w:line="300"/>
        <w:jc w:val="both"/>
      </w:pPr>
      <w:r>
        <w:rPr>
          <w:rFonts w:ascii="IBM Plex Sans" w:cs="IBM Plex Sans" w:eastAsia="IBM Plex Sans" w:hAnsi="IBM Plex Sans"/>
          <w:color w:val="334155"/>
          <w:sz w:val="22"/>
          <w:szCs w:val="22"/>
        </w:rPr>
        <w:t xml:space="preserve">Standar Kompetensi Dokter Spesialis dan Subspesialis Bidang Obstetri dan Ginekologi yang ditetapkan Konsil Kesehatan Indonesia menyusun kerangka kompetensi SpOG ke dalam 7 (tujuh) area kompetensi. Area Kompetensi 1 — Keselamatan Pasien dan Pelayanan Kesehatan (Patient Safety and Care) — ditempatkan sebagai area pertama dari seluruh kerangka, mendahului Kompetensi Medis, Penguasaan Pengetahuan Medis, Interpersonal dan Komunikasi, Profesionalisme, Praktik Berbasis Sistem, hingga Kesadaran Biaya dalam Pelayanan Medis. Urutan ini bukan kebetulan administratif: ia mencerminkan prinsip bahwa kompetensi teknis setinggi apa pun tidak bermakna bila pelayanan yang diberikan tidak aman bagi pasien.</w:t>
      </w:r>
    </w:p>
    <w:p>
      <w:pPr>
        <w:spacing w:after="200" w:line="300"/>
        <w:jc w:val="both"/>
      </w:pPr>
      <w:r>
        <w:rPr>
          <w:rFonts w:ascii="IBM Plex Sans" w:cs="IBM Plex Sans" w:eastAsia="IBM Plex Sans" w:hAnsi="IBM Plex Sans"/>
          <w:color w:val="334155"/>
          <w:sz w:val="22"/>
          <w:szCs w:val="22"/>
        </w:rPr>
        <w:t xml:space="preserve">Buku tematik ini disusun untuk menerjemahkan Area Kompetensi 1 dan seluruh isi Tabel 6 Kepkonsil menjadi materi pembelajaran yang koheren, kontekstual dengan praktik obstetri dan ginekologi di Indonesia, serta dapat menjadi acuan bersama bagi peserta didik Program Pendidikan Dokter Spesialis (PPDS), Dokter Penanggung Jawab Pelayanan (DPJP) Pendidik, dan Komite Mutu Rumah Sakit Pendidikan dalam merancang kurikulum, asesmen, dan audit mutu klinis.</w:t>
      </w:r>
    </w:p>
    <w:p>
      <w:pPr>
        <w:spacing w:after="200" w:line="300"/>
        <w:jc w:val="both"/>
      </w:pPr>
      <w:r>
        <w:rPr>
          <w:rFonts w:ascii="IBM Plex Sans" w:cs="IBM Plex Sans" w:eastAsia="IBM Plex Sans" w:hAnsi="IBM Plex Sans"/>
          <w:color w:val="334155"/>
          <w:sz w:val="22"/>
          <w:szCs w:val="22"/>
        </w:rPr>
        <w:t xml:space="preserve">Praktik obstetri dan ginekologi memiliki karakteristik risiko yang khas: perjalanan klinis dapat berubah drastis dalam hitungan menit (misalnya pada perdarahan pascapersalinan atau eklampsia), melibatkan dua nyawa sekaligus (ibu dan janin), dan sarat prosedur invasif dengan potensi cedera bila prinsip keselamatan tidak dijalankan konsisten. Karena itu, penguasaan Area Kompetensi 1 bukan sekadar kompetensi administratif tambahan, melainkan kompetensi yang menopang keselamatan setiap tindakan medis lain yang dipelajari di area kompetensi berikutnya.</w:t>
      </w:r>
    </w:p>
    <w:p>
      <w:pPr>
        <w:pStyle w:val="Heading2"/>
        <w:spacing w:after="120" w:before="200"/>
      </w:pPr>
      <w:r>
        <w:rPr>
          <w:rFonts w:ascii="Source Serif 4" w:cs="Source Serif 4" w:eastAsia="Source Serif 4" w:hAnsi="Source Serif 4"/>
          <w:b/>
          <w:bCs/>
          <w:color w:val="4F46E5"/>
          <w:sz w:val="26"/>
          <w:szCs w:val="26"/>
        </w:rPr>
        <w:t xml:space="preserve">1.1 Kedudukan Area Kompetensi 1 dalam Kerangka Standar Kompetensi SpOG</w:t>
      </w:r>
    </w:p>
    <w:p>
      <w:pPr>
        <w:spacing w:after="200" w:line="300"/>
        <w:jc w:val="both"/>
      </w:pPr>
      <w:r>
        <w:rPr>
          <w:rFonts w:ascii="IBM Plex Sans" w:cs="IBM Plex Sans" w:eastAsia="IBM Plex Sans" w:hAnsi="IBM Plex Sans"/>
          <w:color w:val="334155"/>
          <w:sz w:val="22"/>
          <w:szCs w:val="22"/>
        </w:rPr>
        <w:t xml:space="preserve">Kepkonsil menetapkan bahwa kerangka kompetensi Dokter spesialis dan subspesialis Indonesia mencakup 7 area kompetensi, yaitu: (1) Keselamatan Pasien dan Pelayanan Kesehatan; (2) Kompetensi Medis; (3) Penguasaan Pengetahuan Medis; (4) Interpersonal dan Komunikasi; (5) Profesionalisme; (6) Praktik Berbasis Sistem; dan (7) Kesadaran Biaya dalam Pelayanan Medis. Area Kompetensi 1 dirumuskan mencakup kompetensi dalam memberikan perawatan medis yang aman, efektif, penuh empati, dan berpusat pada kebutuhan pasien, serta menjamin bahwa setiap intervensi tepat secara klinis dan meminimalkan risiko bahaya bagi pasien.</w:t>
      </w:r>
    </w:p>
    <w:p>
      <w:pPr>
        <w:spacing w:after="200" w:line="300"/>
        <w:jc w:val="both"/>
      </w:pPr>
      <w:r>
        <w:rPr>
          <w:rFonts w:ascii="IBM Plex Sans" w:cs="IBM Plex Sans" w:eastAsia="IBM Plex Sans" w:hAnsi="IBM Plex Sans"/>
          <w:color w:val="334155"/>
          <w:sz w:val="22"/>
          <w:szCs w:val="22"/>
        </w:rPr>
        <w:t xml:space="preserve">Tabel 6 Kepkonsil menjabarkan Area Kompetensi 1 ke dalam dua komponen kompetensi utama — Keselamatan Pasien (Patient Safety) dan Pelayanan Kesehatan (Health Care Delivery) — yang masing-masing diturunkan lagi menjadi penjabaran komponen kompetensi dan kriteria kinerja minimal yang terukur secara kuantitatif maupun kualitatif. Struktur berlapis ini memastikan bahwa kompetensi keselamatan pasien tidak berhenti pada pernyataan aspiratif, melainkan memiliki indikator kinerja yang dapat diaudit: mulai dari tingkat pelaporan insiden, kepatuhan verifikasi identitas pasien, partisipasi dalam Failure Mode and Effects Analysis (FMEA), hingga keterlibatan dalam siklus Continuous Quality Improvement (CQI).</w:t>
      </w:r>
    </w:p>
    <w:p>
      <w:pPr>
        <w:pStyle w:val="Heading2"/>
        <w:spacing w:after="120" w:before="200"/>
      </w:pPr>
      <w:r>
        <w:rPr>
          <w:rFonts w:ascii="Source Serif 4" w:cs="Source Serif 4" w:eastAsia="Source Serif 4" w:hAnsi="Source Serif 4"/>
          <w:b/>
          <w:bCs/>
          <w:color w:val="4F46E5"/>
          <w:sz w:val="26"/>
          <w:szCs w:val="26"/>
        </w:rPr>
        <w:t xml:space="preserve">1.2 Urgensi Keselamatan Pasien pada Praktik Obstetri dan Ginekologi</w:t>
      </w:r>
    </w:p>
    <w:p>
      <w:pPr>
        <w:spacing w:after="200" w:line="300"/>
        <w:jc w:val="both"/>
      </w:pPr>
      <w:r>
        <w:rPr>
          <w:rFonts w:ascii="IBM Plex Sans" w:cs="IBM Plex Sans" w:eastAsia="IBM Plex Sans" w:hAnsi="IBM Plex Sans"/>
          <w:color w:val="334155"/>
          <w:sz w:val="22"/>
          <w:szCs w:val="22"/>
        </w:rPr>
        <w:t xml:space="preserve">Beberapa kondisi yang termasuk dalam spektrum penyakit yang ditangani spesialis Obgin — seperti preeklampsia dengan gejala berat (severe features), eklampsia, atonia uteri, dan ruptur uteri — tergolong kegawatdaruratan dengan potensi perburukan cepat dan risiko mortalitas maternal yang tinggi apabila deteksi dini dan tata laksana tidak dijalankan sesuai standar. Kombinasi antara tekanan waktu, kompleksitas prosedur, dan keterlibatan tim multidisiplin (obstetri, anestesi, neonatologi, kamar bedah) menjadikan potensi kegagalan sistem — bukan semata kegagalan individu — sebagai sumber risiko keselamatan pasien yang harus dikelola secara sistemik.</w:t>
      </w:r>
    </w:p>
    <w:p>
      <w:pPr>
        <w:spacing w:after="200" w:line="300"/>
        <w:jc w:val="both"/>
      </w:pPr>
      <w:r>
        <w:rPr>
          <w:rFonts w:ascii="IBM Plex Sans" w:cs="IBM Plex Sans" w:eastAsia="IBM Plex Sans" w:hAnsi="IBM Plex Sans"/>
          <w:color w:val="334155"/>
          <w:sz w:val="22"/>
          <w:szCs w:val="22"/>
        </w:rPr>
        <w:t xml:space="preserve">Pendekatan keselamatan pasien modern menekankan bahwa insiden keselamatan pasien (patient safety incident) pada umumnya merupakan hasil interaksi berlapis antara faktor manusia, prosedur, teknologi, dan budaya organisasi — bukan kelalaian satu individu semata. Prinsip ini menjadi dasar mengapa Tabel 6 Kepkonsil menekankan bukan hanya kompetensi teknis individual dokter, tetapi juga kompetensi sistemik: partisipasi dalam audit, budaya pelaporan tanpa menyalahkan, dan integrasi sistem peringatan dini klinis.</w:t>
      </w:r>
    </w:p>
    <w:p>
      <w:pPr>
        <w:spacing w:after="200" w:line="300"/>
        <w:jc w:val="both"/>
      </w:pPr>
      <w:r>
        <w:rPr>
          <w:rFonts w:ascii="IBM Plex Sans" w:cs="IBM Plex Sans" w:eastAsia="IBM Plex Sans" w:hAnsi="IBM Plex Sans"/>
          <w:color w:val="334155"/>
          <w:sz w:val="22"/>
          <w:szCs w:val="22"/>
        </w:rPr>
        <w:t xml:space="preserve">Dimensi kedua urgensi ini terletak pada posisi ganda pasien obstetri: setiap keputusan klinis berdampak simultan pada ibu dan janin, sehingga kalkulasi risiko-manfaat pada praktik obgin selalu bersifat dua-subjek (dyadic risk-benefit calculation) — sebuah kompleksitas yang tidak lazim ditemui pada banyak cabang ilmu kedokteran lain. Situasi ini menuntut peserta didik PPDS membangun kebiasaan berpikir eksplisit tentang trade-off maternal-fetal sejak awal pendidikan, bukan sebagai keterampilan yang baru dipelajari saat menghadapi krisis nyata.</w:t>
      </w:r>
    </w:p>
    <w:p>
      <w:pPr>
        <w:pStyle w:val="Heading2"/>
        <w:spacing w:after="120" w:before="200"/>
      </w:pPr>
      <w:r>
        <w:rPr>
          <w:rFonts w:ascii="Source Serif 4" w:cs="Source Serif 4" w:eastAsia="Source Serif 4" w:hAnsi="Source Serif 4"/>
          <w:b/>
          <w:bCs/>
          <w:color w:val="4F46E5"/>
          <w:sz w:val="26"/>
          <w:szCs w:val="26"/>
        </w:rPr>
        <w:t xml:space="preserve">1.3 Tujuan dan Kegunaan Buku Tematik bagi Pembaca</w:t>
      </w:r>
    </w:p>
    <w:p>
      <w:pPr>
        <w:spacing w:after="200" w:line="300"/>
        <w:jc w:val="both"/>
      </w:pPr>
      <w:r>
        <w:rPr>
          <w:rFonts w:ascii="IBM Plex Sans" w:cs="IBM Plex Sans" w:eastAsia="IBM Plex Sans" w:hAnsi="IBM Plex Sans"/>
          <w:color w:val="334155"/>
          <w:sz w:val="22"/>
          <w:szCs w:val="22"/>
        </w:rPr>
        <w:t xml:space="preserve">Bagi peserta didik PPDS Tahun I–IV, buku ini berfungsi sebagai peta kompetensi yang menautkan kriteria kinerja minimal Tabel 6 Kepkonsil dengan konteks klinis nyata sehari-hari di kamar bersalin dan kamar operasi, sehingga capaian kompetensi tidak dipelajari sebagai daftar administratif terpisah dari praktik. Bagi DPJP Pendidik, buku ini menjadi acuan bersama dalam merancang skenario pembelajaran, umpan balik supervisi, dan penilaian portofolio yang konsisten dengan kriteria kinerja minimal resmi. Bagi Komite Mutu Rumah Sakit Pendidikan, buku ini menjadi jembatan antara kompetensi individual Dokter dan indikator mutu institusional yang wajib dipantau secara berkelanjutan.</w:t>
      </w:r>
    </w:p>
    <w:p>
      <w:pPr>
        <w:pStyle w:val="Heading1"/>
        <w:pageBreakBefore/>
        <w:spacing w:after="200" w:before="0"/>
      </w:pPr>
      <w:r>
        <w:rPr>
          <w:rFonts w:ascii="Source Serif 4" w:cs="Source Serif 4" w:eastAsia="Source Serif 4" w:hAnsi="Source Serif 4"/>
          <w:b/>
          <w:bCs/>
          <w:color w:val="4F46E5"/>
          <w:sz w:val="34"/>
          <w:szCs w:val="34"/>
        </w:rPr>
        <w:t xml:space="preserve">BAB II  —  Prinsip Dasar Keselamatan Pasien dalam Praktik Obgin</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50"/>
              <w:left w:type="dxa" w:w="200"/>
              <w:bottom w:type="dxa" w:w="150"/>
              <w:right w:type="dxa" w:w="200"/>
            </w:tcMar>
          </w:tcPr>
          <w:p>
            <w:pPr>
              <w:spacing w:after="60"/>
            </w:pPr>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i/>
                <w:iCs/>
                <w:color w:val="334155"/>
                <w:sz w:val="20"/>
                <w:szCs w:val="20"/>
              </w:rPr>
              <w:t xml:space="preserve">Tabel 6 Kepkonsil, komponen kompetensi “Keselamatan Pasien” — butir mengidentifikasi/melaporkan/mencegah insiden, menerapkan prinsip keselamatan pasien dalam seluruh proses pelayanan, dan mempromosikan budaya keselamatan tanpa hukuman.</w:t>
            </w:r>
          </w:p>
        </w:tc>
      </w:tr>
    </w:tbl>
    <w:p>
      <w:pPr>
        <w:spacing w:after="200"/>
      </w:pPr>
    </w:p>
    <w:p>
      <w:pPr>
        <w:pStyle w:val="Heading2"/>
        <w:spacing w:after="120" w:before="200"/>
      </w:pPr>
      <w:r>
        <w:rPr>
          <w:rFonts w:ascii="Source Serif 4" w:cs="Source Serif 4" w:eastAsia="Source Serif 4" w:hAnsi="Source Serif 4"/>
          <w:b/>
          <w:bCs/>
          <w:color w:val="4F46E5"/>
          <w:sz w:val="26"/>
          <w:szCs w:val="26"/>
        </w:rPr>
        <w:t xml:space="preserve">2.1 Definisi Insiden Keselamatan Pasien (Patient Safety Incident)</w:t>
      </w:r>
    </w:p>
    <w:p>
      <w:pPr>
        <w:spacing w:after="200" w:line="300"/>
        <w:jc w:val="both"/>
      </w:pPr>
      <w:r>
        <w:rPr>
          <w:rFonts w:ascii="IBM Plex Sans" w:cs="IBM Plex Sans" w:eastAsia="IBM Plex Sans" w:hAnsi="IBM Plex Sans"/>
          <w:color w:val="334155"/>
          <w:sz w:val="22"/>
          <w:szCs w:val="22"/>
        </w:rPr>
        <w:t xml:space="preserve">Insiden keselamatan pasien (Patient Safety Incident) adalah setiap kejadian atau situasi yang dapat mengakibatkan, atau berpotensi mengakibatkan, bahaya yang tidak perlu terhadap pasien. Dalam praktik klinis sehari-hari, insiden ini lazim dikelompokkan ke dalam beberapa kategori dwibahasa yang wajib dipahami peserta didik: Kejadian Tidak Diharapkan/KTD (Adverse Event) — insiden yang mengakibatkan cedera pada pasien akibat tindakan medis, bukan akibat kondisi penyakitnya; Kejadian Nyaris Cedera/KNC (Near Miss) — insiden yang belum sampai terpapar ke pasien sehingga tidak menimbulkan cedera; Kejadian Tidak Cedera/KTC (No Harm Incident) — insiden yang sudah terpapar ke pasien tetapi tidak menimbulkan cedera; dan Kejadian Sentinel (Sentinel Event) — insiden serius yang mengakibatkan kematian atau cedera permanen dan menuntut investigasi mendalam segera.</w:t>
      </w:r>
    </w:p>
    <w:p>
      <w:pPr>
        <w:spacing w:after="200" w:line="300"/>
        <w:jc w:val="both"/>
      </w:pPr>
      <w:r>
        <w:rPr>
          <w:rFonts w:ascii="IBM Plex Sans" w:cs="IBM Plex Sans" w:eastAsia="IBM Plex Sans" w:hAnsi="IBM Plex Sans"/>
          <w:color w:val="334155"/>
          <w:sz w:val="22"/>
          <w:szCs w:val="22"/>
        </w:rPr>
        <w:t xml:space="preserve">Pada praktik obstetri dan ginekologi, contoh konkret tiap kategori dapat diilustrasikan sebagai berikut: KNC pada kesalahan identifikasi golongan darah sebelum transfusi yang terkoreksi sebelum darah diberikan; KTD pada retensio plasenta (Placenta retention, ICD-10 O73.0–O73.1; ICD-11 JA43.0/JB0B) yang tertunda penanganannya sehingga berkembang menjadi perdarahan masif; dan Kejadian Sentinel pada ruptur uteri (Uterine rupture, ICD-10 O71.1; ICD-11 JB0A.0/JB0A.1) yang tidak terdeteksi pada persalinan pervaginam pasca-seksio sesarea. Tabel 6 Kepkonsil menetapkan bahwa Dokter wajib mampu mendeteksi dan melaporkan insiden keselamatan secara tepat waktu — dengan kriteria kinerja minimal ≥ 90% insiden diidentifikasi dan dilaporkan sesuai Standar Prosedur Operasional (SPO) Fasilitas Layanan Kesehatan (FLK), dan laporan insiden diserahkan maksimal 24 jam sejak kejadian terdeteksi.</w:t>
      </w:r>
    </w:p>
    <w:p>
      <w:pPr>
        <w:spacing w:after="200" w:line="300"/>
        <w:jc w:val="both"/>
      </w:pPr>
      <w:r>
        <w:rPr>
          <w:rFonts w:ascii="IBM Plex Sans" w:cs="IBM Plex Sans" w:eastAsia="IBM Plex Sans" w:hAnsi="IBM Plex Sans"/>
          <w:color w:val="334155"/>
          <w:sz w:val="22"/>
          <w:szCs w:val="22"/>
        </w:rPr>
        <w:t xml:space="preserve">Pemahaman taksonomi ini penting bukan sekadar untuk keperluan pelaporan administratif, tetapi karena setiap kategori menuntut respons investigasi yang berbeda tingkat kedalamannya: Kejadian Sentinel menuntut investigasi akar masalah (root cause analysis) formal dengan keterlibatan pimpinan institusi, sedangkan KNC dan KTC lebih tepat dianalisis melalui forum unit secara rutin. Peserta didik PPDS perlu dilatih mengenali secara cepat kategori mana yang sedang dihadapi, karena kesalahan klasifikasi — misalnya memperlakukan KTD sebagai KNC — dapat menunda eskalasi investigasi yang seharusnya segera dilakukan.</w:t>
      </w:r>
    </w:p>
    <w:p>
      <w:pPr>
        <w:pStyle w:val="Heading2"/>
        <w:spacing w:after="120" w:before="200"/>
      </w:pPr>
      <w:r>
        <w:rPr>
          <w:rFonts w:ascii="Source Serif 4" w:cs="Source Serif 4" w:eastAsia="Source Serif 4" w:hAnsi="Source Serif 4"/>
          <w:b/>
          <w:bCs/>
          <w:color w:val="4F46E5"/>
          <w:sz w:val="26"/>
          <w:szCs w:val="26"/>
        </w:rPr>
        <w:t xml:space="preserve">2.2 Sasaran Keselamatan Pasien Spesifik Obgin</w:t>
      </w:r>
    </w:p>
    <w:p>
      <w:pPr>
        <w:spacing w:after="200" w:line="300"/>
        <w:jc w:val="both"/>
      </w:pPr>
      <w:r>
        <w:rPr>
          <w:rFonts w:ascii="IBM Plex Sans" w:cs="IBM Plex Sans" w:eastAsia="IBM Plex Sans" w:hAnsi="IBM Plex Sans"/>
          <w:color w:val="334155"/>
          <w:sz w:val="22"/>
          <w:szCs w:val="22"/>
        </w:rPr>
        <w:t xml:space="preserve">Sasaran keselamatan pasien universal — ketepatan identifikasi pasien, peningkatan komunikasi efektif, keamanan obat yang perlu diwaspadai (high-alert medication), kepastian tepat lokasi-tepat prosedur-tepat pasien operasi, pengurangan risiko infeksi terkait pelayanan kesehatan, dan pengurangan risiko cedera akibat jatuh — memiliki penekanan tersendiri pada konteks obgin. Ketepatan identifikasi pasien menjadi krusial pada kamar bersalin dengan volume tinggi dan pergantian shift cepat, di mana kesalahan identifikasi dapat berujung pada kesalahan golongan darah saat transfusi masif akibat perdarahan pascapersalinan. Tabel 6 Kepkonsil secara eksplisit menyebut verifikasi identitas pasien (5 benar), standard precautions, dan prosedur time-out sebagai kriteria kinerja minimal dengan target kepatuhan ≥ 95% dari total tindakan klinis dan nol kejadian sentinel akibat pelanggaran prosedur keselamatan pasien.</w:t>
      </w:r>
    </w:p>
    <w:p>
      <w:pPr>
        <w:spacing w:after="200" w:line="300"/>
        <w:jc w:val="both"/>
      </w:pPr>
      <w:r>
        <w:rPr>
          <w:rFonts w:ascii="IBM Plex Sans" w:cs="IBM Plex Sans" w:eastAsia="IBM Plex Sans" w:hAnsi="IBM Plex Sans"/>
          <w:color w:val="334155"/>
          <w:sz w:val="22"/>
          <w:szCs w:val="22"/>
        </w:rPr>
        <w:t xml:space="preserve">Keamanan obat yang perlu diwaspadai (high-alert medication) sangat relevan pada penggunaan oksitosin (oxytocin) untuk augmentasi/induksi persalinan dan magnesium sulfat (MgSO4) untuk tata laksana preeklampsia dengan gejala berat (ICD-10 O14.1; ICD-11 JA24.1) dan eklampsia (Eclampsia, ICD-10 O15.9; ICD-11 JA25) — keduanya obat dengan indeks terapi sempit yang, bila salah dosis atau salah pemantauan, dapat menimbulkan Kejadian Tidak Diharapkan yang fatal. Kepastian tepat lokasi-tepat prosedur-tepat pasien menjadi sasaran utama pada tindakan operatif ginekologi dan seksio sesarea, sedangkan pengurangan risiko infeksi terkait pelayanan kesehatan menjadi perhatian khusus pada persalinan dengan ketuban pecah sebelum waktunya (Pre-labor premature rupture of membrane, ICD-10 O42.9; ICD-11 JA89) yang membawa risiko infeksi intrauterin.</w:t>
      </w:r>
    </w:p>
    <w:p>
      <w:pPr>
        <w:spacing w:after="200" w:line="300"/>
        <w:jc w:val="both"/>
      </w:pPr>
      <w:r>
        <w:rPr>
          <w:rFonts w:ascii="IBM Plex Sans" w:cs="IBM Plex Sans" w:eastAsia="IBM Plex Sans" w:hAnsi="IBM Plex Sans"/>
          <w:color w:val="334155"/>
          <w:sz w:val="22"/>
          <w:szCs w:val="22"/>
        </w:rPr>
        <w:t xml:space="preserve">Pengurangan risiko cedera akibat jatuh, meski lebih lazim diasosiasikan dengan populasi geriatri, tetap relevan pada praktik obgin — khususnya pada pasien pascaanestesi regional/spinal yang mengalami blok motorik sementara pada ekstremitas bawah, atau pasien dengan anemia berat pascaperdarahan yang berisiko hipotensi ortostatik saat mobilisasi dini. Protokol mobilisasi bertahap pascaoperasi dan pascapersalinan dengan pendampingan tenaga kesehatan menjadi bagian tak terpisahkan dari penerapan sasaran keselamatan pasien ini di ruang nifas dan ruang pemulihan.</w:t>
      </w:r>
    </w:p>
    <w:p>
      <w:pPr>
        <w:pStyle w:val="Heading2"/>
        <w:spacing w:after="120" w:before="200"/>
      </w:pPr>
      <w:r>
        <w:rPr>
          <w:rFonts w:ascii="Source Serif 4" w:cs="Source Serif 4" w:eastAsia="Source Serif 4" w:hAnsi="Source Serif 4"/>
          <w:b/>
          <w:bCs/>
          <w:color w:val="4F46E5"/>
          <w:sz w:val="26"/>
          <w:szCs w:val="26"/>
        </w:rPr>
        <w:t xml:space="preserve">2.3 Budaya Pelaporan Tanpa Menyalahkan (Just Culture)</w:t>
      </w:r>
    </w:p>
    <w:p>
      <w:pPr>
        <w:spacing w:after="200" w:line="300"/>
        <w:jc w:val="both"/>
      </w:pPr>
      <w:r>
        <w:rPr>
          <w:rFonts w:ascii="IBM Plex Sans" w:cs="IBM Plex Sans" w:eastAsia="IBM Plex Sans" w:hAnsi="IBM Plex Sans"/>
          <w:color w:val="334155"/>
          <w:sz w:val="22"/>
          <w:szCs w:val="22"/>
        </w:rPr>
        <w:t xml:space="preserve">Budaya pelaporan tanpa menyalahkan (non-punitive/just culture reporting) adalah iklim kerja yang mendorong tenaga kesehatan melaporkan insiden — termasuk kesalahan yang mereka lakukan sendiri — tanpa rasa takut akan hukuman individual, selama insiden tersebut bukan akibat pelanggaran disengaja atau kelalaian berat. Prinsip ini penting karena sebagian besar insiden keselamatan pasien bersumber dari kegagalan sistem berlapis, bukan kesalahan tunggal satu individu; budaya menyalahkan (blame culture) justru mendorong under-reporting yang menyembunyikan pola risiko sistemik dan menghambat pembelajaran organisasi.</w:t>
      </w:r>
    </w:p>
    <w:p>
      <w:pPr>
        <w:spacing w:after="200" w:line="300"/>
        <w:jc w:val="both"/>
      </w:pPr>
      <w:r>
        <w:rPr>
          <w:rFonts w:ascii="IBM Plex Sans" w:cs="IBM Plex Sans" w:eastAsia="IBM Plex Sans" w:hAnsi="IBM Plex Sans"/>
          <w:color w:val="334155"/>
          <w:sz w:val="22"/>
          <w:szCs w:val="22"/>
        </w:rPr>
        <w:t xml:space="preserve">Tabel 6 Kepkonsil menetapkan bahwa Dokter dituntut mempromosikan budaya keselamatan dengan mendorong pelaporan insiden secara terbuka dan tanpa hukuman, melalui kepemimpinan positif dan komunikasi reflektif dalam diskusi insiden — dengan kriteria kinerja minimal berpartisipasi aktif dalam ≥ 2 forum/unit keselamatan pasien per tahun, nol kasus sikap menyalahkan staf lain dalam audit budaya keselamatan, dan 100% umpan balik yang diberikan bersifat edukatif dan berbasis pembelajaran. Dalam konteks pendidikan spesialis, DPJP Pendidik memegang peran kunci sebagai teladan budaya ini di hadapan peserta didik, karena pola komunikasi yang dicontohkan pada diskusi kasus/morbiditas-mortalitas cenderung direplikasi oleh generasi dokter berikutnya.</w:t>
      </w:r>
    </w:p>
    <w:p>
      <w:pPr>
        <w:pStyle w:val="Heading1"/>
        <w:pageBreakBefore/>
        <w:spacing w:after="200" w:before="0"/>
      </w:pPr>
      <w:r>
        <w:rPr>
          <w:rFonts w:ascii="Source Serif 4" w:cs="Source Serif 4" w:eastAsia="Source Serif 4" w:hAnsi="Source Serif 4"/>
          <w:b/>
          <w:bCs/>
          <w:color w:val="4F46E5"/>
          <w:sz w:val="34"/>
          <w:szCs w:val="34"/>
        </w:rPr>
        <w:t xml:space="preserve">BAB III  —  Manajemen Risiko Klinis Obstetri-Ginekologi</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50"/>
              <w:left w:type="dxa" w:w="200"/>
              <w:bottom w:type="dxa" w:w="150"/>
              <w:right w:type="dxa" w:w="200"/>
            </w:tcMar>
          </w:tcPr>
          <w:p>
            <w:pPr>
              <w:spacing w:after="60"/>
            </w:pPr>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i/>
                <w:iCs/>
                <w:color w:val="334155"/>
                <w:sz w:val="20"/>
                <w:szCs w:val="20"/>
              </w:rPr>
              <w:t xml:space="preserve">Tabel 6 Kepkonsil, komponen kompetensi “Keselamatan Pasien” — butir mengintegrasikan sistem peringatan dini dan dukungan keputusan klinis, serta melaksanakan audit klinis dan manajemen risiko.</w:t>
            </w:r>
          </w:p>
        </w:tc>
      </w:tr>
    </w:tbl>
    <w:p>
      <w:pPr>
        <w:spacing w:after="200"/>
      </w:pPr>
    </w:p>
    <w:p>
      <w:pPr>
        <w:pStyle w:val="Heading2"/>
        <w:spacing w:after="120" w:before="200"/>
      </w:pPr>
      <w:r>
        <w:rPr>
          <w:rFonts w:ascii="Source Serif 4" w:cs="Source Serif 4" w:eastAsia="Source Serif 4" w:hAnsi="Source Serif 4"/>
          <w:b/>
          <w:bCs/>
          <w:color w:val="4F46E5"/>
          <w:sz w:val="26"/>
          <w:szCs w:val="26"/>
        </w:rPr>
        <w:t xml:space="preserve">3.1 Identifikasi Kondisi Berisiko Tinggi</w:t>
      </w:r>
    </w:p>
    <w:p>
      <w:pPr>
        <w:spacing w:after="200" w:line="300"/>
        <w:jc w:val="both"/>
      </w:pPr>
      <w:r>
        <w:rPr>
          <w:rFonts w:ascii="IBM Plex Sans" w:cs="IBM Plex Sans" w:eastAsia="IBM Plex Sans" w:hAnsi="IBM Plex Sans"/>
          <w:color w:val="334155"/>
          <w:sz w:val="22"/>
          <w:szCs w:val="22"/>
        </w:rPr>
        <w:t xml:space="preserve">Tabel 7 Kepkonsil (Spektrum Penyakit dan Kondisi Klinis yang Ditangani Spesialis Obstetri dan Ginekologi) secara eksplisit menandai sejumlah kondisi sebagai kegawatdaruratan obstetri berisiko tinggi mortalitas, antara lain: preeklampsia dengan gejala berat (Preeclampsia with severe features, ICD-10 O14.1; ICD-11 JA24.1) yang berisiko tinggi komplikasi maternal-fetal; eklampsia (Eclampsia, ICD-10 O15.9; ICD-11 JA25) sebagai kejang pada preeklampsia yang tergolong gawat darurat obstetri; ruptur uteri (Uterine rupture, ICD-10 O71.1; ICD-11 JB0A.0/JB0A.1) sebagai kegawatdaruratan dengan risiko tinggi mortalitas; dan atonia uteri (Uterine atony, ICD-10 O72.1; ICD-11 JA43.1) sebagai penyebab utama perdarahan pascapersalinan.</w:t>
      </w:r>
    </w:p>
    <w:p>
      <w:pPr>
        <w:spacing w:after="200" w:line="300"/>
        <w:jc w:val="both"/>
      </w:pPr>
      <w:r>
        <w:rPr>
          <w:rFonts w:ascii="IBM Plex Sans" w:cs="IBM Plex Sans" w:eastAsia="IBM Plex Sans" w:hAnsi="IBM Plex Sans"/>
          <w:color w:val="334155"/>
          <w:sz w:val="22"/>
          <w:szCs w:val="22"/>
        </w:rPr>
        <w:t xml:space="preserve">Manajemen risiko klinis (clinical risk management) berbasis identifikasi kondisi berisiko tinggi menuntut kemampuan mengenali faktor predisposisi sejak asuhan antenatal — misalnya riwayat seksio sesarea sebelumnya (Pregnancy with previous CS scar, ICD-10 O34.2; ICD-11 JA84.2/JB0D.6) yang meningkatkan risiko ruptur uteri pada persalinan berikutnya, atau plasenta previa dan plasenta letak rendah (Placenta previa and low-lying placenta, ICD-10 O44.1; ICD-11 JA8B.Z) yang membawa risiko perdarahan antepartum masif. Stratifikasi risiko sejak fase antenatal memungkinkan perencanaan tempat persalinan, kesiapan darah transfusi, dan kesiapan tim yang proporsional terhadap tingkat risiko pasien, alih-alih pendekatan reaktif setelah kegawatan terjadi.</w:t>
      </w:r>
    </w:p>
    <w:p>
      <w:pPr>
        <w:spacing w:after="200" w:line="300"/>
        <w:jc w:val="both"/>
      </w:pPr>
      <w:r>
        <w:rPr>
          <w:rFonts w:ascii="IBM Plex Sans" w:cs="IBM Plex Sans" w:eastAsia="IBM Plex Sans" w:hAnsi="IBM Plex Sans"/>
          <w:color w:val="334155"/>
          <w:sz w:val="22"/>
          <w:szCs w:val="22"/>
        </w:rPr>
        <w:t xml:space="preserve">Selain kondisi antepartum, identifikasi risiko tinggi juga mencakup fase intrapartum dan pascapersalinan: persalinan macet (Dystocia, ICD-10 O66.9; ICD-11 JB06.0) yang berisiko berkembang menjadi ruptur uteri atau distosia bahu bila tidak dievaluasi tepat waktu, serta atonia uteri (Uterine atony, ICD-10 O72.1; ICD-11 JA43.1) sebagai penyebab tersering perdarahan pascapersalinan yang menuntut kesiapan uterotonika lini pertama hingga lini lanjut secara berjenjang. Peserta didik PPDS perlu menginternalisasi bahwa identifikasi risiko bukan aktivitas satu kali saat admisi, melainkan proses berkelanjutan yang diperbarui di setiap fase persalinan.</w:t>
      </w:r>
    </w:p>
    <w:p>
      <w:pPr>
        <w:pStyle w:val="Heading2"/>
        <w:spacing w:after="120" w:before="200"/>
      </w:pPr>
      <w:r>
        <w:rPr>
          <w:rFonts w:ascii="Source Serif 4" w:cs="Source Serif 4" w:eastAsia="Source Serif 4" w:hAnsi="Source Serif 4"/>
          <w:b/>
          <w:bCs/>
          <w:color w:val="4F46E5"/>
          <w:sz w:val="26"/>
          <w:szCs w:val="26"/>
        </w:rPr>
        <w:t xml:space="preserve">3.2 Sistem Deteksi Dini Kegawatdaruratan (Early Warning System)</w:t>
      </w:r>
    </w:p>
    <w:p>
      <w:pPr>
        <w:spacing w:after="200" w:line="300"/>
        <w:jc w:val="both"/>
      </w:pPr>
      <w:r>
        <w:rPr>
          <w:rFonts w:ascii="IBM Plex Sans" w:cs="IBM Plex Sans" w:eastAsia="IBM Plex Sans" w:hAnsi="IBM Plex Sans"/>
          <w:color w:val="334155"/>
          <w:sz w:val="22"/>
          <w:szCs w:val="22"/>
        </w:rPr>
        <w:t xml:space="preserve">Early Warning System (EWS) — sering diadaptasi khusus untuk populasi obstetri sebagai Modified Early Obstetric Warning System (MEOWS) — adalah sistem skoring tanda vital terstandar (tekanan darah, nadi, frekuensi napas, saturasi oksigen, suhu, tingkat kesadaran) yang memicu eskalasi respons klinis otomatis ketika ambang batas tertentu terlampaui. Tabel 6 Kepkonsil menuntut Dokter mampu menggunakan dan menginterpretasikan skor EWS secara benar, mendokumentasikan penggunaan clinical decision support tools (CDST) dalam rekam medis, dengan kriteria kinerja minimal ≥ 90% akurasi interpretasi skor EWS serta 100% penggunaan CDST terdokumentasi sesuai indikasi.</w:t>
      </w:r>
    </w:p>
    <w:p>
      <w:pPr>
        <w:spacing w:after="200" w:line="300"/>
        <w:jc w:val="both"/>
      </w:pPr>
      <w:r>
        <w:rPr>
          <w:rFonts w:ascii="IBM Plex Sans" w:cs="IBM Plex Sans" w:eastAsia="IBM Plex Sans" w:hAnsi="IBM Plex Sans"/>
          <w:color w:val="334155"/>
          <w:sz w:val="22"/>
          <w:szCs w:val="22"/>
        </w:rPr>
        <w:t xml:space="preserve">Nilai EWS/MEOWS terletak pada kemampuannya mendeteksi perburukan fisiologis sebelum manifestasi klinis berat tampak jelas — misalnya lonjakan tekanan darah dan proteinuria pada preeklampsia (Preeclampsia, ICD-10 O14.9; ICD-11 JA24.0) sebelum berkembang menjadi kejang eklampsia, atau takikardia dan hipotensi progresif pada perdarahan pascapersalinan sebelum syok hipovolemik manifest. Integrasi sistem ini ke dalam alur kerja rutin — bukan sekadar dokumen tercetak yang jarang diperiksa — menjadi penentu efektivitasnya sebagai instrumen keselamatan pasien.</w:t>
      </w:r>
    </w:p>
    <w:p>
      <w:pPr>
        <w:pStyle w:val="Heading2"/>
        <w:spacing w:after="120" w:before="200"/>
      </w:pPr>
      <w:r>
        <w:rPr>
          <w:rFonts w:ascii="Source Serif 4" w:cs="Source Serif 4" w:eastAsia="Source Serif 4" w:hAnsi="Source Serif 4"/>
          <w:b/>
          <w:bCs/>
          <w:color w:val="4F46E5"/>
          <w:sz w:val="26"/>
          <w:szCs w:val="26"/>
        </w:rPr>
        <w:t xml:space="preserve">3.3 Komunikasi Efektif Tim melalui SBAR</w:t>
      </w:r>
    </w:p>
    <w:p>
      <w:pPr>
        <w:spacing w:after="200" w:line="300"/>
        <w:jc w:val="both"/>
      </w:pPr>
      <w:r>
        <w:rPr>
          <w:rFonts w:ascii="IBM Plex Sans" w:cs="IBM Plex Sans" w:eastAsia="IBM Plex Sans" w:hAnsi="IBM Plex Sans"/>
          <w:color w:val="334155"/>
          <w:sz w:val="22"/>
          <w:szCs w:val="22"/>
        </w:rPr>
        <w:t xml:space="preserve">SBAR (Situation–Background–Assessment–Recommendation) adalah kerangka komunikasi terstruktur yang memastikan informasi klinis kritis tersampaikan secara ringkas, lengkap, dan dapat ditindaklanjuti segera — khususnya pada serah terima pasien (hand-over) antar-shift atau eskalasi kegawatan ke DPJP/tim anestesi/kamar bedah. Situation menjelaskan kondisi terkini pasien secara ringkas; Background memuat riwayat relevan singkat; Assessment berisi penilaian klinis pelapor; dan Recommendation menyatakan tindakan yang diusulkan atau diminta secara eksplisit. Struktur ini mengurangi ambiguitas komunikasi lisan yang, dalam berbagai kajian keselamatan pasien internasional, teridentifikasi sebagai salah satu akar penyebab (root cause) kejadian sentinel yang paling sering berulang.</w:t>
      </w:r>
    </w:p>
    <w:p>
      <w:pPr>
        <w:spacing w:after="200" w:line="300"/>
        <w:jc w:val="both"/>
      </w:pPr>
      <w:r>
        <w:rPr>
          <w:rFonts w:ascii="IBM Plex Sans" w:cs="IBM Plex Sans" w:eastAsia="IBM Plex Sans" w:hAnsi="IBM Plex Sans"/>
          <w:color w:val="334155"/>
          <w:sz w:val="22"/>
          <w:szCs w:val="22"/>
        </w:rPr>
        <w:t xml:space="preserve">Pada tata laksana kegawatdaruratan obstetri seperti atonia uteri dengan perdarahan aktif, ketepatan dan kecepatan komunikasi SBAR antara bidan/perawat kamar bersalin, dokter jaga, DPJP Obgin, dan tim anestesi/bank darah menentukan kecepatan eskalasi tata laksana — mulai dari masase uterus dan uterotonika lini pertama hingga keputusan intervensi bedah. Tabel 6 Kepkonsil menempatkan kompetensi komunikasi tim ini sebagai bagian dari kemampuan menerapkan prinsip keselamatan pasien dalam seluruh proses pelayanan medis, yang dinilai antara lain melalui observasi langsung dan audit rekam medis.</w:t>
      </w:r>
    </w:p>
    <w:p>
      <w:pPr>
        <w:pStyle w:val="Heading1"/>
        <w:pageBreakBefore/>
        <w:spacing w:after="200" w:before="0"/>
      </w:pPr>
      <w:r>
        <w:rPr>
          <w:rFonts w:ascii="Source Serif 4" w:cs="Source Serif 4" w:eastAsia="Source Serif 4" w:hAnsi="Source Serif 4"/>
          <w:b/>
          <w:bCs/>
          <w:color w:val="4F46E5"/>
          <w:sz w:val="34"/>
          <w:szCs w:val="34"/>
        </w:rPr>
        <w:t xml:space="preserve">BAB IV  —  Mutu Pelayanan dan Indikator Klinis</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50"/>
              <w:left w:type="dxa" w:w="200"/>
              <w:bottom w:type="dxa" w:w="150"/>
              <w:right w:type="dxa" w:w="200"/>
            </w:tcMar>
          </w:tcPr>
          <w:p>
            <w:pPr>
              <w:spacing w:after="60"/>
            </w:pPr>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i/>
                <w:iCs/>
                <w:color w:val="334155"/>
                <w:sz w:val="20"/>
                <w:szCs w:val="20"/>
              </w:rPr>
              <w:t xml:space="preserve">Tabel 6 Kepkonsil, komponen kompetensi “Pelayanan Kesehatan” dan butir “melaksanakan audit klinis, manajemen risiko, dan program peningkatan mutu pelayanan” pada komponen Keselamatan Pasien.</w:t>
            </w:r>
          </w:p>
        </w:tc>
      </w:tr>
    </w:tbl>
    <w:p>
      <w:pPr>
        <w:spacing w:after="200"/>
      </w:pPr>
    </w:p>
    <w:p>
      <w:pPr>
        <w:pStyle w:val="Heading2"/>
        <w:spacing w:after="120" w:before="200"/>
      </w:pPr>
      <w:r>
        <w:rPr>
          <w:rFonts w:ascii="Source Serif 4" w:cs="Source Serif 4" w:eastAsia="Source Serif 4" w:hAnsi="Source Serif 4"/>
          <w:b/>
          <w:bCs/>
          <w:color w:val="4F46E5"/>
          <w:sz w:val="26"/>
          <w:szCs w:val="26"/>
        </w:rPr>
        <w:t xml:space="preserve">4.1 Indikator Mutu Wajib Layanan Obgin</w:t>
      </w:r>
    </w:p>
    <w:p>
      <w:pPr>
        <w:spacing w:after="200" w:line="300"/>
        <w:jc w:val="both"/>
      </w:pPr>
      <w:r>
        <w:rPr>
          <w:rFonts w:ascii="IBM Plex Sans" w:cs="IBM Plex Sans" w:eastAsia="IBM Plex Sans" w:hAnsi="IBM Plex Sans"/>
          <w:color w:val="334155"/>
          <w:sz w:val="22"/>
          <w:szCs w:val="22"/>
        </w:rPr>
        <w:t xml:space="preserve">Indikator mutu klinis layanan obgin yang secara langsung tertelusur ke kriteria kinerja minimal Tabel 6 Kepkonsil mencakup: proporsi insiden klinis yang teridentifikasi dan dilaporkan sesuai SPO FLK (target ≥ 90%, dihitung triwulanan dengan rekap tahunan); proporsi laporan insiden yang diserahkan dalam ≤ 24 jam sejak kejadian terdeteksi (target ≥ 95%, dihitung bulanan); kepatuhan penerapan verifikasi 5 benar identitas pasien (target ≥ 95% dari total tindakan klinis); dan jumlah kejadian sentinel akibat pelanggaran prosedur keselamatan pasien (target nol kejadian).</w:t>
      </w:r>
    </w:p>
    <w:p>
      <w:pPr>
        <w:spacing w:after="200" w:line="300"/>
        <w:jc w:val="both"/>
      </w:pPr>
      <w:r>
        <w:rPr>
          <w:rFonts w:ascii="IBM Plex Sans" w:cs="IBM Plex Sans" w:eastAsia="IBM Plex Sans" w:hAnsi="IBM Plex Sans"/>
          <w:color w:val="334155"/>
          <w:sz w:val="22"/>
          <w:szCs w:val="22"/>
        </w:rPr>
        <w:t xml:space="preserve">Untuk indikator epidemiologis populasi seperti Angka Kematian Ibu (AKI), Angka Kematian Bayi (AKB), rasio operasi seksio sesarea, atau tren insiden perdarahan pascapersalinan di tingkat nasional/regional, buku ini tidak mencantumkan angka spesifik karena data tersebut tidak tercantum eksplisit pada Kepkonsil. [DATA: rujuk laporan/registri resmi terbaru — mis. Kemenkes, BKKBN, POGI, WHO]. Komite Mutu Rumah Sakit Pendidikan dan Program Studi disarankan menautkan indikator lokal fasilitas terhadap data registri nasional/regional terbaru saat menyusun target mutu tahunan.</w:t>
      </w:r>
    </w:p>
    <w:p>
      <w:pPr>
        <w:pStyle w:val="Heading2"/>
        <w:spacing w:after="120" w:before="200"/>
      </w:pPr>
      <w:r>
        <w:rPr>
          <w:rFonts w:ascii="Source Serif 4" w:cs="Source Serif 4" w:eastAsia="Source Serif 4" w:hAnsi="Source Serif 4"/>
          <w:b/>
          <w:bCs/>
          <w:color w:val="4F46E5"/>
          <w:sz w:val="26"/>
          <w:szCs w:val="26"/>
        </w:rPr>
        <w:t xml:space="preserve">4.2 Audit Klinis dan Continuous Quality Improvement (CQI)</w:t>
      </w:r>
    </w:p>
    <w:p>
      <w:pPr>
        <w:spacing w:after="200" w:line="300"/>
        <w:jc w:val="both"/>
      </w:pPr>
      <w:r>
        <w:rPr>
          <w:rFonts w:ascii="IBM Plex Sans" w:cs="IBM Plex Sans" w:eastAsia="IBM Plex Sans" w:hAnsi="IBM Plex Sans"/>
          <w:color w:val="334155"/>
          <w:sz w:val="22"/>
          <w:szCs w:val="22"/>
        </w:rPr>
        <w:t xml:space="preserve">Audit klinis (clinical audit) adalah proses sistematis peninjauan praktik klinis terhadap standar eksplisit, diikuti implementasi perbaikan, dan pengukuran ulang untuk memastikan perbaikan tersebut efektif — mengikuti siklus Plan–Do–Study–Act (PDSA) sebagai kerangka Continuous Quality Improvement (CQI). Tabel 6 Kepkonsil menuntut Dokter berpartisipasi aktif dalam audit klinis internal dengan menyusun atau meninjau instrumen audit, menganalisis hasil audit, serta ikut serta dalam penyusunan dan implementasi rencana tindak lanjut — dengan kriteria kinerja minimal ≥ 1 keterlibatan audit klinis internal per tahun dan ≥ 1 aksi tindak lanjut audit klinis per tahun yang terverifikasi dalam laporan implementasi.</w:t>
      </w:r>
    </w:p>
    <w:p>
      <w:pPr>
        <w:spacing w:after="200" w:line="300"/>
        <w:jc w:val="both"/>
      </w:pPr>
      <w:r>
        <w:rPr>
          <w:rFonts w:ascii="IBM Plex Sans" w:cs="IBM Plex Sans" w:eastAsia="IBM Plex Sans" w:hAnsi="IBM Plex Sans"/>
          <w:color w:val="334155"/>
          <w:sz w:val="22"/>
          <w:szCs w:val="22"/>
        </w:rPr>
        <w:t xml:space="preserve">Failure Mode and Effects Analysis (FMEA) — metode analisis risiko proaktif yang mengidentifikasi potensi titik kegagalan proses sebelum insiden terjadi — juga eksplisit disebut Tabel 6 Kepkonsil sebagai kriteria kinerja minimal, dengan target keterlibatan minimal 1 kegiatan FMEA per tahun. Berbeda dengan investigasi insiden yang bersifat retrospektif (root cause analysis setelah kejadian), FMEA bersifat prospektif: tim menelusuri alur proses pelayanan (misalnya alur penanganan perdarahan pascapersalinan dari deteksi hingga transfusi) untuk mengidentifikasi titik rawan kegagalan dan memperbaikinya sebelum insiden nyata terjadi. Kombinasi audit klinis retrospektif dan FMEA prospektif inilah yang membentuk siklus mutu berkelanjutan yang dituntut Kepkonsil dari setiap Dokter spesialis dan subspesialis Obgin.</w:t>
      </w:r>
    </w:p>
    <w:p>
      <w:pPr>
        <w:pStyle w:val="Heading2"/>
        <w:spacing w:after="150" w:before="300"/>
      </w:pPr>
      <w:r>
        <w:rPr>
          <w:rFonts w:ascii="Source Serif 4" w:cs="Source Serif 4" w:eastAsia="Source Serif 4" w:hAnsi="Source Serif 4"/>
          <w:b/>
          <w:bCs/>
          <w:color w:val="4F46E5"/>
          <w:sz w:val="24"/>
          <w:szCs w:val="24"/>
        </w:rPr>
        <w:t xml:space="preserve">Tabel Ringkasan Kriteria Kinerja Minimal — Area Kompetensi 1 (Tabel 6 Kepkonsil)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3000"/>
        <w:gridCol w:w="3800"/>
      </w:tblGrid>
      <w:tr>
        <w:trPr>
          <w:tblHeader/>
        </w:trPr>
        <w:tc>
          <w:tcPr>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Komponen Kompetensi</w:t>
            </w:r>
          </w:p>
        </w:tc>
        <w:tc>
          <w:tcPr>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Fokus Utama</w:t>
            </w:r>
          </w:p>
        </w:tc>
        <w:tc>
          <w:tcPr>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Kriteria Kinerja Minimal (ringkas)</w:t>
            </w:r>
          </w:p>
        </w:tc>
      </w:tr>
      <w:tr>
        <w:tc>
          <w:tcPr>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Identifikasi &amp; pelaporan insiden</w:t>
            </w:r>
          </w:p>
        </w:tc>
        <w:tc>
          <w:tcPr>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Deteksi dan pelaporan insiden keselamatan pasien</w:t>
            </w:r>
          </w:p>
        </w:tc>
        <w:tc>
          <w:tcPr>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 90% insiden dilaporkan sesuai SPO; laporan diserahkan ≤ 24 jam; ≥ 1 kegiatan FMEA/tahun</w:t>
            </w:r>
          </w:p>
        </w:tc>
      </w:tr>
      <w:tr>
        <w:tc>
          <w:tcPr>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Penerapan prinsip keselamatan pasien</w:t>
            </w:r>
          </w:p>
        </w:tc>
        <w:tc>
          <w:tcPr>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Verifikasi identitas, standard precautions, time-out</w:t>
            </w:r>
          </w:p>
        </w:tc>
        <w:tc>
          <w:tcPr>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Kepatuhan 5 benar ≥ 95%; nol kejadian sentinel akibat pelanggaran prosedur</w:t>
            </w:r>
          </w:p>
        </w:tc>
      </w:tr>
      <w:tr>
        <w:tc>
          <w:tcPr>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Budaya pelaporan tanpa menyalahkan</w:t>
            </w:r>
          </w:p>
        </w:tc>
        <w:tc>
          <w:tcPr>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Iklim kerja aman dan reflektif</w:t>
            </w:r>
          </w:p>
        </w:tc>
        <w:tc>
          <w:tcPr>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 2 forum keselamatan pasien/tahun; nol kasus menyalahkan staf; 100% umpan balik edukatif</w:t>
            </w:r>
          </w:p>
        </w:tc>
      </w:tr>
      <w:tr>
        <w:tc>
          <w:tcPr>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Sistem peringatan dini &amp; CDST</w:t>
            </w:r>
          </w:p>
        </w:tc>
        <w:tc>
          <w:tcPr>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Interpretasi EWS, dukungan keputusan klinis</w:t>
            </w:r>
          </w:p>
        </w:tc>
        <w:tc>
          <w:tcPr>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 90% akurasi interpretasi EWS; 100% penggunaan CDST terdokumentasi</w:t>
            </w:r>
          </w:p>
        </w:tc>
      </w:tr>
      <w:tr>
        <w:tc>
          <w:tcPr>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Telaah kritis literatur</w:t>
            </w:r>
          </w:p>
        </w:tc>
        <w:tc>
          <w:tcPr>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Critical appraisal &amp; perubahan praktik berbasis bukti</w:t>
            </w:r>
          </w:p>
        </w:tc>
        <w:tc>
          <w:tcPr>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 2 critical appraisal/tahun; ≥ 1 perubahan praktik berbasis bukti/tahun</w:t>
            </w:r>
          </w:p>
        </w:tc>
      </w:tr>
      <w:tr>
        <w:tc>
          <w:tcPr>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Audit klinis &amp; manajemen risiko</w:t>
            </w:r>
          </w:p>
        </w:tc>
        <w:tc>
          <w:tcPr>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Audit internal dan tindak lanjut CQI</w:t>
            </w:r>
          </w:p>
        </w:tc>
        <w:tc>
          <w:tcPr>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 1 keterlibatan audit klinis/tahun; ≥ 1 aksi tindak lanjut terverifikasi/tahun</w:t>
            </w:r>
          </w:p>
        </w:tc>
      </w:tr>
    </w:tbl>
    <w:p>
      <w:pPr>
        <w:spacing w:after="200"/>
      </w:pPr>
    </w:p>
    <w:p>
      <w:pPr>
        <w:pStyle w:val="Heading1"/>
        <w:pageBreakBefore/>
        <w:spacing w:after="200" w:before="0"/>
      </w:pPr>
      <w:r>
        <w:rPr>
          <w:rFonts w:ascii="Source Serif 4" w:cs="Source Serif 4" w:eastAsia="Source Serif 4" w:hAnsi="Source Serif 4"/>
          <w:b/>
          <w:bCs/>
          <w:color w:val="4F46E5"/>
          <w:sz w:val="34"/>
          <w:szCs w:val="34"/>
        </w:rPr>
        <w:t xml:space="preserve">BAB V  —  Perbandingan dan Pengayaan Standar Internasional</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50"/>
              <w:left w:type="dxa" w:w="200"/>
              <w:bottom w:type="dxa" w:w="150"/>
              <w:right w:type="dxa" w:w="200"/>
            </w:tcMar>
          </w:tcPr>
          <w:p>
            <w:pPr>
              <w:spacing w:after="60"/>
            </w:pPr>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i/>
                <w:iCs/>
                <w:color w:val="334155"/>
                <w:sz w:val="20"/>
                <w:szCs w:val="20"/>
              </w:rPr>
              <w:t xml:space="preserve">Bab ini bersifat pengayaan non-superior terhadap Tabel 6 Kepkonsil (Aturan 2, Perintah Umum) — standar nasional tetap menjadi acuan utama praktik di Indonesia.</w:t>
            </w:r>
          </w:p>
        </w:tc>
      </w:tr>
    </w:tbl>
    <w:p>
      <w:pPr>
        <w:spacing w:after="200"/>
      </w:pPr>
    </w:p>
    <w:p>
      <w:pPr>
        <w:spacing w:after="200" w:line="300"/>
        <w:jc w:val="both"/>
      </w:pPr>
      <w:r>
        <w:rPr>
          <w:rFonts w:ascii="IBM Plex Sans" w:cs="IBM Plex Sans" w:eastAsia="IBM Plex Sans" w:hAnsi="IBM Plex Sans"/>
          <w:color w:val="334155"/>
          <w:sz w:val="22"/>
          <w:szCs w:val="22"/>
        </w:rPr>
        <w:t xml:space="preserve">Sejalan dengan Aturan Perintah Umum ekosistem literatur SpOG, setiap buku tematik wajib memuat lapisan pembanding standar internasional yang bersifat memperkaya, bukan menggantikan, standar nasional. Bagian ini membandingkan Area Kompetensi 1 dan Tabel 6 Kepkonsil dengan dua kerangka acuan internasional yang relevan dengan keselamatan pasien di layanan maternal: WHO Patient Safety Curriculum Guide dan ACOG/Alliance for Innovation on Maternal Health (AIM) Patient Safety Bundles.</w:t>
      </w:r>
    </w:p>
    <w:p>
      <w:pPr>
        <w:pStyle w:val="Heading2"/>
        <w:spacing w:after="120" w:before="200"/>
      </w:pPr>
      <w:r>
        <w:rPr>
          <w:rFonts w:ascii="Source Serif 4" w:cs="Source Serif 4" w:eastAsia="Source Serif 4" w:hAnsi="Source Serif 4"/>
          <w:b/>
          <w:bCs/>
          <w:color w:val="4F46E5"/>
          <w:sz w:val="26"/>
          <w:szCs w:val="26"/>
        </w:rPr>
        <w:t xml:space="preserve">5.1 WHO Patient Safety Curriculum Guide</w:t>
      </w:r>
    </w:p>
    <w:p>
      <w:pPr>
        <w:spacing w:after="200" w:line="300"/>
        <w:jc w:val="both"/>
      </w:pPr>
      <w:r>
        <w:rPr>
          <w:rFonts w:ascii="IBM Plex Sans" w:cs="IBM Plex Sans" w:eastAsia="IBM Plex Sans" w:hAnsi="IBM Plex Sans"/>
          <w:color w:val="334155"/>
          <w:sz w:val="22"/>
          <w:szCs w:val="22"/>
        </w:rPr>
        <w:t xml:space="preserve">WHO Patient Safety Curriculum Guide menekankan pendekatan pendidikan keselamatan pasien berbasis sistem (systems-based) dan interprofesional, dengan topik inti mencakup memahami sistem dan pengaruhnya terhadap kualitas layanan, bekerja dalam tim, belajar dari kesalahan untuk mencegah bahaya, memahami dan mengelola risiko klinis, serta menerapkan metode peningkatan mutu. Standar nasional (Kepkonsil) menetapkan kriteria kinerja minimal yang terukur secara individual per Dokter (misalnya target persentase pelaporan insiden dan keterlibatan FMEA per tahun); standar internasional WHO merekomendasikan penguatan kurikulum keselamatan pasien secara lebih luas pada tingkat interprofesional dan institusional sejak pendidikan pra-profesi; praktik di Indonesia mengikuti standar nasional yang menempatkan kriteria kinerja pada level kompetensi individu Dokter spesialis, sembari tetap terbuka mengadopsi elemen kurikulum interprofesional WHO sebagai pengayaan metode pengajaran di institusi pendidikan.</w:t>
      </w:r>
    </w:p>
    <w:p>
      <w:pPr>
        <w:pStyle w:val="Heading2"/>
        <w:spacing w:after="120" w:before="200"/>
      </w:pPr>
      <w:r>
        <w:rPr>
          <w:rFonts w:ascii="Source Serif 4" w:cs="Source Serif 4" w:eastAsia="Source Serif 4" w:hAnsi="Source Serif 4"/>
          <w:b/>
          <w:bCs/>
          <w:color w:val="4F46E5"/>
          <w:sz w:val="26"/>
          <w:szCs w:val="26"/>
        </w:rPr>
        <w:t xml:space="preserve">5.2 ACOG dan AIM Patient Safety Bundles</w:t>
      </w:r>
    </w:p>
    <w:p>
      <w:pPr>
        <w:spacing w:after="200" w:line="300"/>
        <w:jc w:val="both"/>
      </w:pPr>
      <w:r>
        <w:rPr>
          <w:rFonts w:ascii="IBM Plex Sans" w:cs="IBM Plex Sans" w:eastAsia="IBM Plex Sans" w:hAnsi="IBM Plex Sans"/>
          <w:color w:val="334155"/>
          <w:sz w:val="22"/>
          <w:szCs w:val="22"/>
        </w:rPr>
        <w:t xml:space="preserve">The American College of Obstetricians and Gynecologists (ACOG), melalui Alliance for Innovation on Maternal Health (AIM) yang berkolaborasi dengan Health Resources and Services Administration (HRSA), mengembangkan Patient Safety Bundles — kumpulan praktik berbasis bukti yang dikelompokkan per kondisi klinis spesifik (misalnya bundel Severe Hypertension in Pregnancy dan bundel Obstetric Hemorrhage) yang diterapkan secara konsisten sebagai satu paket tindakan terstruktur, bukan pilihan à la carte. Setiap bundel AIM disusun mengikuti kerangka lima komponen (5R): Readiness (kesiapan unit dan peralatan), Recognition and Prevention (pengenalan dini dan pencegahan), Response (respons klinis terstandar saat kegawatan terjadi), Reporting and Systems Learning (pelaporan dan pembelajaran sistem), serta Respectful, Equitable, and Supportive Care (asuhan yang menghormati martabat dan kesetaraan pasien).</w:t>
      </w:r>
    </w:p>
    <w:p>
      <w:pPr>
        <w:spacing w:after="200" w:line="300"/>
        <w:jc w:val="both"/>
      </w:pPr>
      <w:r>
        <w:rPr>
          <w:rFonts w:ascii="IBM Plex Sans" w:cs="IBM Plex Sans" w:eastAsia="IBM Plex Sans" w:hAnsi="IBM Plex Sans"/>
          <w:color w:val="334155"/>
          <w:sz w:val="22"/>
          <w:szCs w:val="22"/>
        </w:rPr>
        <w:t xml:space="preserve">Standar nasional (Kepkonsil) merumuskan kompetensi keselamatan pasien secara generik lintas kondisi klinis melalui Tabel 6 (verifikasi identitas, budaya pelaporan, EWS, audit klinis); standar internasional ACOG/AIM merekomendasikan bundel tindakan terstruktur per kondisi kegawatdaruratan obstetri sebagai instrumen operasional di lini praktik, termasuk komponen asuhan berkeadilan (equitable care) yang secara eksplisit menyasar kesenjangan luaran maternal antar kelompok pasien; praktik di Indonesia mengikuti standar nasional sebagai kerangka kompetensi utama, dengan struktur bundel ACOG/AIM dapat diadaptasi institusi rumah sakit pendidikan sebagai protokol operasional pelengkap yang menerjemahkan kompetensi Tabel 6 ke dalam checklist tindakan konkret di kamar bersalin dan kamar operasi.</w:t>
      </w:r>
    </w:p>
    <w:p>
      <w:pPr>
        <w:pStyle w:val="Heading1"/>
        <w:pageBreakBefore/>
        <w:spacing w:after="200" w:before="0"/>
      </w:pPr>
      <w:r>
        <w:rPr>
          <w:rFonts w:ascii="Source Serif 4" w:cs="Source Serif 4" w:eastAsia="Source Serif 4" w:hAnsi="Source Serif 4"/>
          <w:b/>
          <w:bCs/>
          <w:color w:val="4F46E5"/>
          <w:sz w:val="34"/>
          <w:szCs w:val="34"/>
        </w:rPr>
        <w:t xml:space="preserve">BAB VI  —  Kontribusi Lintas 5 Divisi</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50"/>
              <w:left w:type="dxa" w:w="200"/>
              <w:bottom w:type="dxa" w:w="150"/>
              <w:right w:type="dxa" w:w="200"/>
            </w:tcMar>
          </w:tcPr>
          <w:p>
            <w:pPr>
              <w:spacing w:after="60"/>
            </w:pPr>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i/>
                <w:iCs/>
                <w:color w:val="334155"/>
                <w:sz w:val="20"/>
                <w:szCs w:val="20"/>
              </w:rPr>
              <w:t xml:space="preserve">Aturan 8 Perintah Umum (Kotak Kontribusi Divisi Pengampu) dan Diktum KEDUA huruf b–f Kepkonsil No. HK.01.02/KKI/1318/2026 — pemetaan 5 subspesialis Obstetri dan Ginekologi.</w:t>
            </w:r>
          </w:p>
        </w:tc>
      </w:tr>
    </w:tbl>
    <w:p>
      <w:pPr>
        <w:spacing w:after="200"/>
      </w:pPr>
    </w:p>
    <w:p>
      <w:pPr>
        <w:spacing w:after="200" w:line="300"/>
        <w:jc w:val="both"/>
      </w:pPr>
      <w:r>
        <w:rPr>
          <w:rFonts w:ascii="IBM Plex Sans" w:cs="IBM Plex Sans" w:eastAsia="IBM Plex Sans" w:hAnsi="IBM Plex Sans"/>
          <w:color w:val="334155"/>
          <w:sz w:val="22"/>
          <w:szCs w:val="22"/>
        </w:rPr>
        <w:t xml:space="preserve">Keselamatan pasien dan mutu pelayanan bukan domain eksklusif satu subspesialisasi, melainkan kompetensi lintas-subspesialisasi yang mewarnai praktik seluruh divisi. Bagian ini menyajikan kontribusi kelima divisi subspesialis sebagaimana dimaksud Diktum KEDUA Kepkonsil — Fetomaternal; Fertilitas dan Endokrinologi Reproduksi; Onkologi Ginekologi; Obstetri Ginekologi Sosial; dan Uroginekologi Rekonstruksi — masing-masing mengikuti pola tiga komponen: Deskripsi relevansi, materi substansi mendalam, dan ilustrasi kasus lapangan dengan resolusi konkret.</w:t>
      </w:r>
    </w:p>
    <w:p>
      <w:pPr>
        <w:pStyle w:val="Heading2"/>
        <w:spacing w:after="120" w:before="200"/>
      </w:pPr>
      <w:r>
        <w:rPr>
          <w:rFonts w:ascii="Source Serif 4" w:cs="Source Serif 4" w:eastAsia="Source Serif 4" w:hAnsi="Source Serif 4"/>
          <w:b/>
          <w:bCs/>
          <w:color w:val="4F46E5"/>
          <w:sz w:val="26"/>
          <w:szCs w:val="26"/>
        </w:rPr>
        <w:t xml:space="preserve">6.1 Divisi Fetomaternal</w:t>
      </w:r>
    </w:p>
    <w:p>
      <w:pPr>
        <w:spacing w:after="200" w:line="300"/>
        <w:jc w:val="both"/>
      </w:pPr>
      <w:r>
        <w:rPr>
          <w:rFonts w:ascii="IBM Plex Sans" w:cs="IBM Plex Sans" w:eastAsia="IBM Plex Sans" w:hAnsi="IBM Plex Sans"/>
          <w:color w:val="334155"/>
          <w:sz w:val="22"/>
          <w:szCs w:val="22"/>
        </w:rPr>
        <w:t xml:space="preserve">Deskripsi: Divisi Fetomaternal menangani proporsi terbesar kondisi kegawatdaruratan berisiko tinggi mortalitas maternal-fetal — preeklampsia berat, eklampsia, perdarahan antepartum, dan ruptur uteri — sehingga keselamatan pasien menjadi inti praktik harian divisi ini, bukan aspek tambahan.</w:t>
      </w:r>
    </w:p>
    <w:p>
      <w:pPr>
        <w:spacing w:after="200" w:line="300"/>
        <w:jc w:val="both"/>
      </w:pPr>
      <w:r>
        <w:rPr>
          <w:rFonts w:ascii="IBM Plex Sans" w:cs="IBM Plex Sans" w:eastAsia="IBM Plex Sans" w:hAnsi="IBM Plex Sans"/>
          <w:color w:val="334155"/>
          <w:sz w:val="22"/>
          <w:szCs w:val="22"/>
        </w:rPr>
        <w:t xml:space="preserve">Manajemen keselamatan berbasis stratifikasi risiko: Divisi Fetomaternal menerapkan stratifikasi risiko sejak kunjungan antenatal pertama untuk mengidentifikasi kehamilan berisiko tinggi (riwayat seksio sesarea, hipertensi kronik, kehamilan multipel) dan menautkannya pada rencana persalinan terstruktur — termasuk kesiapan produk darah, ketersediaan tim bedah, dan protokol eskalasi MEOWS — sehingga kegawatan yang muncul intrapartum direspons melalui jalur yang sudah direncanakan, bukan improvisasi saat krisis berlangsung.</w:t>
      </w:r>
    </w:p>
    <w:p>
      <w:pPr>
        <w:spacing w:after="200" w:line="300"/>
        <w:jc w:val="both"/>
      </w:pPr>
      <w:r>
        <w:rPr>
          <w:rFonts w:ascii="IBM Plex Sans" w:cs="IBM Plex Sans" w:eastAsia="IBM Plex Sans" w:hAnsi="IBM Plex Sans"/>
          <w:color w:val="334155"/>
          <w:sz w:val="22"/>
          <w:szCs w:val="22"/>
        </w:rPr>
        <w:t xml:space="preserve">Ilustrasi Kasus Lapangan: Seorang ibu G2P1 usia kehamilan 38 minggu dengan riwayat seksio sesarea sebelumnya (ICD-10 O34.2; ICD-11 JA84.2/JB0D.6) datang dengan nyeri perut mendadak dan pola denyut jantung janin abnormal saat mencoba persalinan pervaginam pasca-seksio (trial of labor after cesarean). Skor MEOWS menunjukkan takikardia progresif. Tim menjalankan komunikasi SBAR ke DPJP dan kamar operasi secara simultan; kecurigaan ruptur uteri (ICD-10 O71.1; ICD-11 JB0A.0) ditindaklanjuti dengan seksio sesarea emergensi dalam waktu kurang dari 20 menit sejak kecurigaan ditegakkan. Bayi lahir dalam kondisi stabil, ruptur uterus segmen bawah terkonfirmasi dan direparasi; kasus kemudian dibawa ke forum audit klinis divisi sebagai pembelajaran sistemik, bukan evaluasi individual, sesuai prinsip budaya pelaporan tanpa menyalahkan.</w:t>
      </w:r>
    </w:p>
    <w:p>
      <w:pPr>
        <w:pStyle w:val="Heading2"/>
        <w:spacing w:after="120" w:before="200"/>
      </w:pPr>
      <w:r>
        <w:rPr>
          <w:rFonts w:ascii="Source Serif 4" w:cs="Source Serif 4" w:eastAsia="Source Serif 4" w:hAnsi="Source Serif 4"/>
          <w:b/>
          <w:bCs/>
          <w:color w:val="4F46E5"/>
          <w:sz w:val="26"/>
          <w:szCs w:val="26"/>
        </w:rPr>
        <w:t xml:space="preserve">6.2 Divisi Fertilitas dan Endokrinologi Reproduksi</w:t>
      </w:r>
    </w:p>
    <w:p>
      <w:pPr>
        <w:spacing w:after="200" w:line="300"/>
        <w:jc w:val="both"/>
      </w:pPr>
      <w:r>
        <w:rPr>
          <w:rFonts w:ascii="IBM Plex Sans" w:cs="IBM Plex Sans" w:eastAsia="IBM Plex Sans" w:hAnsi="IBM Plex Sans"/>
          <w:color w:val="334155"/>
          <w:sz w:val="22"/>
          <w:szCs w:val="22"/>
        </w:rPr>
        <w:t xml:space="preserve">Deskripsi: Meski risiko kegawatdaruratan akut lebih jarang dibanding Fetomaternal, Divisi Fertilitas dan Endokrinologi Reproduksi menghadapi risiko keselamatan pasien yang khas pada prosedur stimulasi ovarium dan teknologi reproduksi berbantu, termasuk risiko Ovarian Hyperstimulation Syndrome (OHSS) dan kesalahan identifikasi spesimen/embrio.</w:t>
      </w:r>
    </w:p>
    <w:p>
      <w:pPr>
        <w:spacing w:after="200" w:line="300"/>
        <w:jc w:val="both"/>
      </w:pPr>
      <w:r>
        <w:rPr>
          <w:rFonts w:ascii="IBM Plex Sans" w:cs="IBM Plex Sans" w:eastAsia="IBM Plex Sans" w:hAnsi="IBM Plex Sans"/>
          <w:color w:val="334155"/>
          <w:sz w:val="22"/>
          <w:szCs w:val="22"/>
        </w:rPr>
        <w:t xml:space="preserve">Verifikasi ganda pada rantai identitas spesimen: Materi substansi utama divisi ini adalah penerapan sistem verifikasi ganda (double-witnessing) pada setiap tahap penanganan oosit, sperma, dan embrio — mulai dari pengambilan, pelabelan, hingga transfer — mengingat kesalahan identifikasi pada tahap ini bersifat ireversibel dan berdampak jangka panjang pada pasien dan keluarga. Prinsip keselamatan pasien Tabel 6 mengenai verifikasi identitas dan standard precautions diterapkan dengan modifikasi ketat pada konteks laboratorium embriologi yang bebas dari interaksi verbal langsung dengan pasien selama prosedur laboratorium berlangsung.</w:t>
      </w:r>
    </w:p>
    <w:p>
      <w:pPr>
        <w:spacing w:after="200" w:line="300"/>
        <w:jc w:val="both"/>
      </w:pPr>
      <w:r>
        <w:rPr>
          <w:rFonts w:ascii="IBM Plex Sans" w:cs="IBM Plex Sans" w:eastAsia="IBM Plex Sans" w:hAnsi="IBM Plex Sans"/>
          <w:color w:val="334155"/>
          <w:sz w:val="22"/>
          <w:szCs w:val="22"/>
        </w:rPr>
        <w:t xml:space="preserve">Ilustrasi Kasus Lapangan: Pada prosedur transfer embrio, petugas laboratorium dan dokter melakukan verifikasi ganda independen terhadap identitas pasangan dan kode embrio sebelum transfer dilakukan, sesuai protokol double-witnessing. Proses ini mendeteksi ketidaksesuaian kecil antara catatan digital dan label fisik yang berpotensi menjadi Kejadian Nyaris Cedera (KNC); prosedur dihentikan sementara, verifikasi ulang terhadap rekam medis primer dilakukan, dan transfer baru dilanjutkan setelah kesesuaian identitas dipastikan. Insiden ini dilaporkan sesuai SPO FLK dan dibahas pada forum keselamatan pasien divisi sebagai basis perbaikan prosedur pelabelan.</w:t>
      </w:r>
    </w:p>
    <w:p>
      <w:pPr>
        <w:pStyle w:val="Heading2"/>
        <w:spacing w:after="120" w:before="200"/>
      </w:pPr>
      <w:r>
        <w:rPr>
          <w:rFonts w:ascii="Source Serif 4" w:cs="Source Serif 4" w:eastAsia="Source Serif 4" w:hAnsi="Source Serif 4"/>
          <w:b/>
          <w:bCs/>
          <w:color w:val="4F46E5"/>
          <w:sz w:val="26"/>
          <w:szCs w:val="26"/>
        </w:rPr>
        <w:t xml:space="preserve">6.3 Divisi Onkologi Ginekologi</w:t>
      </w:r>
    </w:p>
    <w:p>
      <w:pPr>
        <w:spacing w:after="200" w:line="300"/>
        <w:jc w:val="both"/>
      </w:pPr>
      <w:r>
        <w:rPr>
          <w:rFonts w:ascii="IBM Plex Sans" w:cs="IBM Plex Sans" w:eastAsia="IBM Plex Sans" w:hAnsi="IBM Plex Sans"/>
          <w:color w:val="334155"/>
          <w:sz w:val="22"/>
          <w:szCs w:val="22"/>
        </w:rPr>
        <w:t xml:space="preserve">Deskripsi: Divisi Onkologi Ginekologi menangani prosedur bedah kompleks dengan durasi panjang dan risiko perdarahan masif intraoperatif, sehingga penerapan checklist keselamatan bedah dan komunikasi tim kamar operasi menjadi determinan utama keselamatan pasien pada divisi ini.</w:t>
      </w:r>
    </w:p>
    <w:p>
      <w:pPr>
        <w:spacing w:after="200" w:line="300"/>
        <w:jc w:val="both"/>
      </w:pPr>
      <w:r>
        <w:rPr>
          <w:rFonts w:ascii="IBM Plex Sans" w:cs="IBM Plex Sans" w:eastAsia="IBM Plex Sans" w:hAnsi="IBM Plex Sans"/>
          <w:color w:val="334155"/>
          <w:sz w:val="22"/>
          <w:szCs w:val="22"/>
        </w:rPr>
        <w:t xml:space="preserve">Checklist keselamatan bedah sebagai instrumen tepat lokasi-tepat prosedur-tepat pasien: Materi substansi utama adalah penerapan surgical safety checklist terstruktur pada tiga fase — sebelum induksi anestesi (sign in), sebelum insisi (time-out), dan sebelum pasien meninggalkan kamar operasi (sign out) — yang secara langsung mengoperasionalkan kriteria kinerja minimal Tabel 6 mengenai prosedur time-out dan verifikasi identitas. Pada bedah onkologi ginekologi yang kerap melibatkan reseksi luas dan potensi kehilangan darah signifikan, checklist ini diperluas mencakup konfirmasi ketersediaan produk darah dan kesiapan tim intensif pascabedah.</w:t>
      </w:r>
    </w:p>
    <w:p>
      <w:pPr>
        <w:spacing w:after="200" w:line="300"/>
        <w:jc w:val="both"/>
      </w:pPr>
      <w:r>
        <w:rPr>
          <w:rFonts w:ascii="IBM Plex Sans" w:cs="IBM Plex Sans" w:eastAsia="IBM Plex Sans" w:hAnsi="IBM Plex Sans"/>
          <w:color w:val="334155"/>
          <w:sz w:val="22"/>
          <w:szCs w:val="22"/>
        </w:rPr>
        <w:t xml:space="preserve">Ilustrasi Kasus Lapangan: Sebelum prosedur histerektomi radikal pada kasus keganasan serviks, tim kamar operasi menjalankan time-out terstruktur yang mengonfirmasi identitas pasien, sisi/lokasi tindakan, ketersediaan 4 unit produk darah tercocokkan silang, dan kesiapan tim anestesi untuk potensi perdarahan masif. Saat prosedur berlangsung, perdarahan lebih besar dari perkiraan terdeteksi lebih awal melalui pemantauan aktif; eskalasi ke transfusi berjalan lancar karena kesiapan yang telah dikonfirmasi saat time-out, mencegah keterlambatan resusitasi yang berpotensi menjadi Kejadian Tidak Diharapkan.</w:t>
      </w:r>
    </w:p>
    <w:p>
      <w:pPr>
        <w:pStyle w:val="Heading2"/>
        <w:spacing w:after="120" w:before="200"/>
      </w:pPr>
      <w:r>
        <w:rPr>
          <w:rFonts w:ascii="Source Serif 4" w:cs="Source Serif 4" w:eastAsia="Source Serif 4" w:hAnsi="Source Serif 4"/>
          <w:b/>
          <w:bCs/>
          <w:color w:val="4F46E5"/>
          <w:sz w:val="26"/>
          <w:szCs w:val="26"/>
        </w:rPr>
        <w:t xml:space="preserve">6.4 Divisi Obstetri Ginekologi Sosial</w:t>
      </w:r>
    </w:p>
    <w:p>
      <w:pPr>
        <w:spacing w:after="200" w:line="300"/>
        <w:jc w:val="both"/>
      </w:pPr>
      <w:r>
        <w:rPr>
          <w:rFonts w:ascii="IBM Plex Sans" w:cs="IBM Plex Sans" w:eastAsia="IBM Plex Sans" w:hAnsi="IBM Plex Sans"/>
          <w:color w:val="334155"/>
          <w:sz w:val="22"/>
          <w:szCs w:val="22"/>
        </w:rPr>
        <w:t xml:space="preserve">Deskripsi: Divisi Obstetri Ginekologi Sosial berperan sentral pada komponen kompetensi “Pelayanan Kesehatan” Tabel 6, khususnya peran advokatif terhadap pasien dalam mengakses layanan yang adil dan bermartabat — dimensi keselamatan pasien yang bersifat sistemik dan berbasis kesetaraan akses, bukan semata teknis-klinis.</w:t>
      </w:r>
    </w:p>
    <w:p>
      <w:pPr>
        <w:spacing w:after="200" w:line="300"/>
        <w:jc w:val="both"/>
      </w:pPr>
      <w:r>
        <w:rPr>
          <w:rFonts w:ascii="IBM Plex Sans" w:cs="IBM Plex Sans" w:eastAsia="IBM Plex Sans" w:hAnsi="IBM Plex Sans"/>
          <w:color w:val="334155"/>
          <w:sz w:val="22"/>
          <w:szCs w:val="22"/>
        </w:rPr>
        <w:t xml:space="preserve">Advokasi akses sebagai bentuk keselamatan pasien sistemik: Materi substansi utama divisi ini adalah identifikasi hambatan akses layanan (administratif, finansial, geografis, sosial) yang, bila tidak ditangani, dapat berujung pada keterlambatan penanganan kegawatdaruratan obstetri — misalnya keterlambatan rujukan dari fasilitas primer ke rumah sakit rujukan pada kasus perdarahan pascapersalinan di daerah dengan akses geografis sulit. Tabel 6 Kepkonsil menautkan kompetensi ini pada kriteria kinerja minimal keterlibatan advokasi terdokumentasi dan pelaporan kendala akses melalui mekanisme resmi unit mutu/komite etik.</w:t>
      </w:r>
    </w:p>
    <w:p>
      <w:pPr>
        <w:spacing w:after="200" w:line="300"/>
        <w:jc w:val="both"/>
      </w:pPr>
      <w:r>
        <w:rPr>
          <w:rFonts w:ascii="IBM Plex Sans" w:cs="IBM Plex Sans" w:eastAsia="IBM Plex Sans" w:hAnsi="IBM Plex Sans"/>
          <w:color w:val="334155"/>
          <w:sz w:val="22"/>
          <w:szCs w:val="22"/>
        </w:rPr>
        <w:t xml:space="preserve">Ilustrasi Kasus Lapangan: Seorang pasien dari daerah dengan akses transportasi terbatas datang terlambat dengan tanda syok akibat perdarahan pascapersalinan yang terjadi di fasilitas primer. Divisi Obstetri Ginekologi Sosial, bersama tim fetomaternal, tidak hanya menstabilkan kondisi klinis tetapi juga menelusuri akar keterlambatan rujukan melalui audit sistem rujukan wilayah, dan mengusulkan perbaikan protokol komunikasi antar-fasilitas kepada dinas kesehatan setempat sebagai tindak lanjut sistemik atas insiden individual tersebut.</w:t>
      </w:r>
    </w:p>
    <w:p>
      <w:pPr>
        <w:pStyle w:val="Heading2"/>
        <w:spacing w:after="120" w:before="200"/>
      </w:pPr>
      <w:r>
        <w:rPr>
          <w:rFonts w:ascii="Source Serif 4" w:cs="Source Serif 4" w:eastAsia="Source Serif 4" w:hAnsi="Source Serif 4"/>
          <w:b/>
          <w:bCs/>
          <w:color w:val="4F46E5"/>
          <w:sz w:val="26"/>
          <w:szCs w:val="26"/>
        </w:rPr>
        <w:t xml:space="preserve">6.5 Divisi Uroginekologi Rekonstruksi</w:t>
      </w:r>
    </w:p>
    <w:p>
      <w:pPr>
        <w:spacing w:after="200" w:line="300"/>
        <w:jc w:val="both"/>
      </w:pPr>
      <w:r>
        <w:rPr>
          <w:rFonts w:ascii="IBM Plex Sans" w:cs="IBM Plex Sans" w:eastAsia="IBM Plex Sans" w:hAnsi="IBM Plex Sans"/>
          <w:color w:val="334155"/>
          <w:sz w:val="22"/>
          <w:szCs w:val="22"/>
        </w:rPr>
        <w:t xml:space="preserve">Deskripsi: Divisi Uroginekologi Rekonstruksi menangani prosedur rekonstruktif dasar panggul dengan risiko cedera struktur berdekatan (kandung kemih, ureter, rektum) yang menuntut kewaspadaan tinggi terhadap komplikasi tersembunyi pascaoperasi.</w:t>
      </w:r>
    </w:p>
    <w:p>
      <w:pPr>
        <w:spacing w:after="200" w:line="300"/>
        <w:jc w:val="both"/>
      </w:pPr>
      <w:r>
        <w:rPr>
          <w:rFonts w:ascii="IBM Plex Sans" w:cs="IBM Plex Sans" w:eastAsia="IBM Plex Sans" w:hAnsi="IBM Plex Sans"/>
          <w:color w:val="334155"/>
          <w:sz w:val="22"/>
          <w:szCs w:val="22"/>
        </w:rPr>
        <w:t xml:space="preserve">Deteksi dini komplikasi tersembunyi melalui pemantauan terstruktur: Materi substansi utama adalah penerapan protokol pemantauan pascaoperasi terstruktur untuk mendeteksi cedera saluran kemih/usus yang sering tidak bermanifestasi segera saat operasi, melainkan muncul sebagai komplikasi tertunda (misalnya fistula) dalam hari-hari berikutnya. Prinsip keselamatan pasien Tabel 6 mengenai integrasi sistem peringatan dini diterapkan melalui protokol pemantauan output urin, tanda infeksi, dan gejala nyeri atipikal pascaoperasi rekonstruksi panggul.</w:t>
      </w:r>
    </w:p>
    <w:p>
      <w:pPr>
        <w:spacing w:after="200" w:line="300"/>
        <w:jc w:val="both"/>
      </w:pPr>
      <w:r>
        <w:rPr>
          <w:rFonts w:ascii="IBM Plex Sans" w:cs="IBM Plex Sans" w:eastAsia="IBM Plex Sans" w:hAnsi="IBM Plex Sans"/>
          <w:color w:val="334155"/>
          <w:sz w:val="22"/>
          <w:szCs w:val="22"/>
        </w:rPr>
        <w:t xml:space="preserve">Ilustrasi Kasus Lapangan: Pascaoperasi rekonstruksi prolaps organ panggul, pemantauan terstruktur mendeteksi penurunan output urin dan nyeri pinggang atipikal pada hari kedua pascaoperasi. Kecurigaan cedera ureter ditindaklanjuti segera dengan pencitraan konfirmasi, dan intervensi korektif dilakukan sebelum berkembang menjadi komplikasi permanen. Kasus ini menjadi materi diskusi audit klinis rutin divisi mengenai pentingnya indeks kecurigaan tinggi (high index of suspicion) pada periode pascaoperasi rekonstruksi panggul.</w:t>
      </w:r>
    </w:p>
    <w:p>
      <w:pPr>
        <w:pStyle w:val="Heading1"/>
        <w:pageBreakBefore/>
        <w:spacing w:after="200" w:before="0"/>
      </w:pPr>
      <w:r>
        <w:rPr>
          <w:rFonts w:ascii="Source Serif 4" w:cs="Source Serif 4" w:eastAsia="Source Serif 4" w:hAnsi="Source Serif 4"/>
          <w:b/>
          <w:bCs/>
          <w:color w:val="4F46E5"/>
          <w:sz w:val="34"/>
          <w:szCs w:val="34"/>
        </w:rPr>
        <w:t xml:space="preserve">BAB VII  —  Ringkasan</w:t>
      </w:r>
    </w:p>
    <w:p>
      <w:pPr>
        <w:spacing w:after="200" w:line="300"/>
        <w:jc w:val="both"/>
      </w:pPr>
      <w:r>
        <w:rPr>
          <w:rFonts w:ascii="IBM Plex Sans" w:cs="IBM Plex Sans" w:eastAsia="IBM Plex Sans" w:hAnsi="IBM Plex Sans"/>
          <w:color w:val="334155"/>
          <w:sz w:val="22"/>
          <w:szCs w:val="22"/>
        </w:rPr>
        <w:t xml:space="preserve">Keselamatan pasien dan mutu pelayanan dalam praktik obstetri dan ginekologi bukan kompetensi tambahan di luar keahlian klinis, melainkan Area Kompetensi 1 yang secara struktural mendahului dan menopang seluruh kompetensi lain dalam Standar Kompetensi Dokter Spesialis dan Subspesialis Bidang Obstetri dan Ginekologi. Tabel 6 Kepkonsil menerjemahkan prinsip ini menjadi kriteria kinerja minimal yang terukur — mulai dari pelaporan insiden, verifikasi identitas, budaya pelaporan tanpa menyalahkan, integrasi sistem peringatan dini, hingga partisipasi aktif dalam audit klinis dan FMEA.</w:t>
      </w:r>
    </w:p>
    <w:p>
      <w:pPr>
        <w:spacing w:after="200" w:line="300"/>
        <w:jc w:val="both"/>
      </w:pPr>
      <w:r>
        <w:rPr>
          <w:rFonts w:ascii="IBM Plex Sans" w:cs="IBM Plex Sans" w:eastAsia="IBM Plex Sans" w:hAnsi="IBM Plex Sans"/>
          <w:color w:val="334155"/>
          <w:sz w:val="22"/>
          <w:szCs w:val="22"/>
        </w:rPr>
        <w:t xml:space="preserve">Karakteristik risiko tinggi pada praktik obgin — kegawatdaruratan yang berkembang cepat, keterlibatan dua nyawa sekaligus, dan ketergantungan pada koordinasi tim multidisiplin — menjadikan penguasaan prinsip manajemen risiko klinis, sistem deteksi dini, dan komunikasi terstruktur (SBAR) sebagai kompetensi yang tidak dapat ditawar. Pengayaan dari standar internasional WHO dan ACOG/AIM memperkuat, bukan menggantikan, kerangka nasional ini — dengan standar nasional Kepkonsil tetap menjadi acuan utama praktik di Indonesia.</w:t>
      </w:r>
    </w:p>
    <w:p>
      <w:pPr>
        <w:spacing w:after="200" w:line="300"/>
        <w:jc w:val="both"/>
      </w:pPr>
      <w:r>
        <w:rPr>
          <w:rFonts w:ascii="IBM Plex Sans" w:cs="IBM Plex Sans" w:eastAsia="IBM Plex Sans" w:hAnsi="IBM Plex Sans"/>
          <w:color w:val="334155"/>
          <w:sz w:val="22"/>
          <w:szCs w:val="22"/>
        </w:rPr>
        <w:t xml:space="preserve">Kontribusi lintas 5 divisi subspesialis pada Bab VI menegaskan bahwa keselamatan pasien mewarnai seluruh spektrum praktik Obgin — dari kegawatdaruratan Fetomaternal, verifikasi identitas spesimen pada Fertilitas dan Endokrinologi Reproduksi, checklist bedah pada Onkologi Ginekologi, advokasi akses pada Obstetri Ginekologi Sosial, hingga deteksi dini komplikasi tersembunyi pada Uroginekologi Rekonstruksi. Penguasaan menyeluruh atas prinsip-prinsip dalam buku tematik ini menjadi prasyarat bagi peserta didik PPDS sebelum mendalami kompetensi medis teknis yang dibahas pada buku-buku tematik berikutnya dalam ekosistem literatur standar SpOG ini.</w:t>
      </w:r>
    </w:p>
    <w:p>
      <w:pPr>
        <w:pStyle w:val="Heading1"/>
        <w:pageBreakBefore/>
        <w:spacing w:after="200"/>
      </w:pPr>
      <w:r>
        <w:rPr>
          <w:rFonts w:ascii="Source Serif 4" w:cs="Source Serif 4" w:eastAsia="Source Serif 4" w:hAnsi="Source Serif 4"/>
          <w:b/>
          <w:bCs/>
          <w:color w:val="4F46E5"/>
          <w:sz w:val="34"/>
          <w:szCs w:val="34"/>
        </w:rPr>
        <w:t xml:space="preserve">GLOSARIUM</w:t>
      </w:r>
    </w:p>
    <w:p>
      <w:pPr>
        <w:spacing w:after="40"/>
      </w:pPr>
      <w:r>
        <w:rPr>
          <w:rFonts w:ascii="IBM Plex Sans" w:cs="IBM Plex Sans" w:eastAsia="IBM Plex Sans" w:hAnsi="IBM Plex Sans"/>
          <w:b/>
          <w:bCs/>
          <w:color w:val="334155"/>
          <w:sz w:val="21"/>
          <w:szCs w:val="21"/>
        </w:rPr>
        <w:t xml:space="preserve">Audit Klinis (Clinical Audit)</w:t>
      </w:r>
    </w:p>
    <w:p>
      <w:pPr>
        <w:spacing w:after="160"/>
        <w:jc w:val="both"/>
      </w:pPr>
      <w:r>
        <w:rPr>
          <w:rFonts w:ascii="IBM Plex Sans" w:cs="IBM Plex Sans" w:eastAsia="IBM Plex Sans" w:hAnsi="IBM Plex Sans"/>
          <w:color w:val="334155"/>
          <w:sz w:val="21"/>
          <w:szCs w:val="21"/>
        </w:rPr>
        <w:t xml:space="preserve">Proses tinjauan sistematis praktik klinis terhadap standar eksplisit, diikuti implementasi perbaikan dan pengukuran ulang untuk memastikan perbaikan tersebut efektif.</w:t>
      </w:r>
    </w:p>
    <w:p>
      <w:pPr>
        <w:spacing w:after="40"/>
      </w:pPr>
      <w:r>
        <w:rPr>
          <w:rFonts w:ascii="IBM Plex Sans" w:cs="IBM Plex Sans" w:eastAsia="IBM Plex Sans" w:hAnsi="IBM Plex Sans"/>
          <w:b/>
          <w:bCs/>
          <w:color w:val="334155"/>
          <w:sz w:val="21"/>
          <w:szCs w:val="21"/>
        </w:rPr>
        <w:t xml:space="preserve">Budaya Pelaporan Tanpa Menyalahkan (Just Culture)</w:t>
      </w:r>
    </w:p>
    <w:p>
      <w:pPr>
        <w:spacing w:after="160"/>
        <w:jc w:val="both"/>
      </w:pPr>
      <w:r>
        <w:rPr>
          <w:rFonts w:ascii="IBM Plex Sans" w:cs="IBM Plex Sans" w:eastAsia="IBM Plex Sans" w:hAnsi="IBM Plex Sans"/>
          <w:color w:val="334155"/>
          <w:sz w:val="21"/>
          <w:szCs w:val="21"/>
        </w:rPr>
        <w:t xml:space="preserve">Iklim kerja yang mendorong pelaporan insiden secara terbuka tanpa rasa takut akan hukuman individual, selama insiden bukan akibat pelanggaran disengaja atau kelalaian berat.</w:t>
      </w:r>
    </w:p>
    <w:p>
      <w:pPr>
        <w:spacing w:after="40"/>
      </w:pPr>
      <w:r>
        <w:rPr>
          <w:rFonts w:ascii="IBM Plex Sans" w:cs="IBM Plex Sans" w:eastAsia="IBM Plex Sans" w:hAnsi="IBM Plex Sans"/>
          <w:b/>
          <w:bCs/>
          <w:color w:val="334155"/>
          <w:sz w:val="21"/>
          <w:szCs w:val="21"/>
        </w:rPr>
        <w:t xml:space="preserve">CDST (Clinical Decision Support Tools)</w:t>
      </w:r>
    </w:p>
    <w:p>
      <w:pPr>
        <w:spacing w:after="160"/>
        <w:jc w:val="both"/>
      </w:pPr>
      <w:r>
        <w:rPr>
          <w:rFonts w:ascii="IBM Plex Sans" w:cs="IBM Plex Sans" w:eastAsia="IBM Plex Sans" w:hAnsi="IBM Plex Sans"/>
          <w:color w:val="334155"/>
          <w:sz w:val="21"/>
          <w:szCs w:val="21"/>
        </w:rPr>
        <w:t xml:space="preserve">Perangkat atau sistem yang membantu tenaga kesehatan mengambil keputusan klinis berbasis data pasien secara real-time, misalnya kalkulator skor risiko yang terintegrasi rekam medis.</w:t>
      </w:r>
    </w:p>
    <w:p>
      <w:pPr>
        <w:spacing w:after="40"/>
      </w:pPr>
      <w:r>
        <w:rPr>
          <w:rFonts w:ascii="IBM Plex Sans" w:cs="IBM Plex Sans" w:eastAsia="IBM Plex Sans" w:hAnsi="IBM Plex Sans"/>
          <w:b/>
          <w:bCs/>
          <w:color w:val="334155"/>
          <w:sz w:val="21"/>
          <w:szCs w:val="21"/>
        </w:rPr>
        <w:t xml:space="preserve">CQI (Continuous Quality Improvement)</w:t>
      </w:r>
    </w:p>
    <w:p>
      <w:pPr>
        <w:spacing w:after="160"/>
        <w:jc w:val="both"/>
      </w:pPr>
      <w:r>
        <w:rPr>
          <w:rFonts w:ascii="IBM Plex Sans" w:cs="IBM Plex Sans" w:eastAsia="IBM Plex Sans" w:hAnsi="IBM Plex Sans"/>
          <w:color w:val="334155"/>
          <w:sz w:val="21"/>
          <w:szCs w:val="21"/>
        </w:rPr>
        <w:t xml:space="preserve">Pendekatan peningkatan mutu berkelanjutan yang menautkan audit, analisis akar masalah, dan siklus perbaikan iteratif seperti PDSA.</w:t>
      </w:r>
    </w:p>
    <w:p>
      <w:pPr>
        <w:spacing w:after="40"/>
      </w:pPr>
      <w:r>
        <w:rPr>
          <w:rFonts w:ascii="IBM Plex Sans" w:cs="IBM Plex Sans" w:eastAsia="IBM Plex Sans" w:hAnsi="IBM Plex Sans"/>
          <w:b/>
          <w:bCs/>
          <w:color w:val="334155"/>
          <w:sz w:val="21"/>
          <w:szCs w:val="21"/>
        </w:rPr>
        <w:t xml:space="preserve">EWS/MEOWS (Early Warning System / Modified Early Obstetric Warning System)</w:t>
      </w:r>
    </w:p>
    <w:p>
      <w:pPr>
        <w:spacing w:after="160"/>
        <w:jc w:val="both"/>
      </w:pPr>
      <w:r>
        <w:rPr>
          <w:rFonts w:ascii="IBM Plex Sans" w:cs="IBM Plex Sans" w:eastAsia="IBM Plex Sans" w:hAnsi="IBM Plex Sans"/>
          <w:color w:val="334155"/>
          <w:sz w:val="21"/>
          <w:szCs w:val="21"/>
        </w:rPr>
        <w:t xml:space="preserve">Sistem skoring tanda vital terstandar yang memicu eskalasi respons klinis otomatis ketika ambang batas tertentu terlampaui; MEOWS adalah adaptasi EWS khusus populasi obstetri.</w:t>
      </w:r>
    </w:p>
    <w:p>
      <w:pPr>
        <w:spacing w:after="40"/>
      </w:pPr>
      <w:r>
        <w:rPr>
          <w:rFonts w:ascii="IBM Plex Sans" w:cs="IBM Plex Sans" w:eastAsia="IBM Plex Sans" w:hAnsi="IBM Plex Sans"/>
          <w:b/>
          <w:bCs/>
          <w:color w:val="334155"/>
          <w:sz w:val="21"/>
          <w:szCs w:val="21"/>
        </w:rPr>
        <w:t xml:space="preserve">FMEA (Failure Mode and Effects Analysis)</w:t>
      </w:r>
    </w:p>
    <w:p>
      <w:pPr>
        <w:spacing w:after="160"/>
        <w:jc w:val="both"/>
      </w:pPr>
      <w:r>
        <w:rPr>
          <w:rFonts w:ascii="IBM Plex Sans" w:cs="IBM Plex Sans" w:eastAsia="IBM Plex Sans" w:hAnsi="IBM Plex Sans"/>
          <w:color w:val="334155"/>
          <w:sz w:val="21"/>
          <w:szCs w:val="21"/>
        </w:rPr>
        <w:t xml:space="preserve">Metode analisis risiko proaktif yang menelusuri alur proses pelayanan untuk mengidentifikasi titik rawan kegagalan sebelum insiden nyata terjadi.</w:t>
      </w:r>
    </w:p>
    <w:p>
      <w:pPr>
        <w:spacing w:after="40"/>
      </w:pPr>
      <w:r>
        <w:rPr>
          <w:rFonts w:ascii="IBM Plex Sans" w:cs="IBM Plex Sans" w:eastAsia="IBM Plex Sans" w:hAnsi="IBM Plex Sans"/>
          <w:b/>
          <w:bCs/>
          <w:color w:val="334155"/>
          <w:sz w:val="21"/>
          <w:szCs w:val="21"/>
        </w:rPr>
        <w:t xml:space="preserve">KNC (Kejadian Nyaris Cedera / Near Miss)</w:t>
      </w:r>
    </w:p>
    <w:p>
      <w:pPr>
        <w:spacing w:after="160"/>
        <w:jc w:val="both"/>
      </w:pPr>
      <w:r>
        <w:rPr>
          <w:rFonts w:ascii="IBM Plex Sans" w:cs="IBM Plex Sans" w:eastAsia="IBM Plex Sans" w:hAnsi="IBM Plex Sans"/>
          <w:color w:val="334155"/>
          <w:sz w:val="21"/>
          <w:szCs w:val="21"/>
        </w:rPr>
        <w:t xml:space="preserve">Insiden yang belum sampai terpapar ke pasien sehingga tidak menimbulkan cedera.</w:t>
      </w:r>
    </w:p>
    <w:p>
      <w:pPr>
        <w:spacing w:after="40"/>
      </w:pPr>
      <w:r>
        <w:rPr>
          <w:rFonts w:ascii="IBM Plex Sans" w:cs="IBM Plex Sans" w:eastAsia="IBM Plex Sans" w:hAnsi="IBM Plex Sans"/>
          <w:b/>
          <w:bCs/>
          <w:color w:val="334155"/>
          <w:sz w:val="21"/>
          <w:szCs w:val="21"/>
        </w:rPr>
        <w:t xml:space="preserve">KTC (Kejadian Tidak Cedera / No Harm Incident)</w:t>
      </w:r>
    </w:p>
    <w:p>
      <w:pPr>
        <w:spacing w:after="160"/>
        <w:jc w:val="both"/>
      </w:pPr>
      <w:r>
        <w:rPr>
          <w:rFonts w:ascii="IBM Plex Sans" w:cs="IBM Plex Sans" w:eastAsia="IBM Plex Sans" w:hAnsi="IBM Plex Sans"/>
          <w:color w:val="334155"/>
          <w:sz w:val="21"/>
          <w:szCs w:val="21"/>
        </w:rPr>
        <w:t xml:space="preserve">Insiden yang sudah terpapar ke pasien tetapi tidak menimbulkan cedera.</w:t>
      </w:r>
    </w:p>
    <w:p>
      <w:pPr>
        <w:spacing w:after="40"/>
      </w:pPr>
      <w:r>
        <w:rPr>
          <w:rFonts w:ascii="IBM Plex Sans" w:cs="IBM Plex Sans" w:eastAsia="IBM Plex Sans" w:hAnsi="IBM Plex Sans"/>
          <w:b/>
          <w:bCs/>
          <w:color w:val="334155"/>
          <w:sz w:val="21"/>
          <w:szCs w:val="21"/>
        </w:rPr>
        <w:t xml:space="preserve">KTD (Kejadian Tidak Diharapkan / Adverse Event)</w:t>
      </w:r>
    </w:p>
    <w:p>
      <w:pPr>
        <w:spacing w:after="160"/>
        <w:jc w:val="both"/>
      </w:pPr>
      <w:r>
        <w:rPr>
          <w:rFonts w:ascii="IBM Plex Sans" w:cs="IBM Plex Sans" w:eastAsia="IBM Plex Sans" w:hAnsi="IBM Plex Sans"/>
          <w:color w:val="334155"/>
          <w:sz w:val="21"/>
          <w:szCs w:val="21"/>
        </w:rPr>
        <w:t xml:space="preserve">Insiden yang mengakibatkan cedera pada pasien akibat tindakan medis, bukan akibat kondisi penyakit yang mendasarinya.</w:t>
      </w:r>
    </w:p>
    <w:p>
      <w:pPr>
        <w:spacing w:after="40"/>
      </w:pPr>
      <w:r>
        <w:rPr>
          <w:rFonts w:ascii="IBM Plex Sans" w:cs="IBM Plex Sans" w:eastAsia="IBM Plex Sans" w:hAnsi="IBM Plex Sans"/>
          <w:b/>
          <w:bCs/>
          <w:color w:val="334155"/>
          <w:sz w:val="21"/>
          <w:szCs w:val="21"/>
        </w:rPr>
        <w:t xml:space="preserve">Kejadian Sentinel (Sentinel Event)</w:t>
      </w:r>
    </w:p>
    <w:p>
      <w:pPr>
        <w:spacing w:after="160"/>
        <w:jc w:val="both"/>
      </w:pPr>
      <w:r>
        <w:rPr>
          <w:rFonts w:ascii="IBM Plex Sans" w:cs="IBM Plex Sans" w:eastAsia="IBM Plex Sans" w:hAnsi="IBM Plex Sans"/>
          <w:color w:val="334155"/>
          <w:sz w:val="21"/>
          <w:szCs w:val="21"/>
        </w:rPr>
        <w:t xml:space="preserve">Insiden keselamatan pasien yang serius, mengakibatkan kematian atau cedera permanen, dan menuntut investigasi akar masalah (root cause analysis) segera.</w:t>
      </w:r>
    </w:p>
    <w:p>
      <w:pPr>
        <w:spacing w:after="40"/>
      </w:pPr>
      <w:r>
        <w:rPr>
          <w:rFonts w:ascii="IBM Plex Sans" w:cs="IBM Plex Sans" w:eastAsia="IBM Plex Sans" w:hAnsi="IBM Plex Sans"/>
          <w:b/>
          <w:bCs/>
          <w:color w:val="334155"/>
          <w:sz w:val="21"/>
          <w:szCs w:val="21"/>
        </w:rPr>
        <w:t xml:space="preserve">PDSA (Plan–Do–Study–Act)</w:t>
      </w:r>
    </w:p>
    <w:p>
      <w:pPr>
        <w:spacing w:after="160"/>
        <w:jc w:val="both"/>
      </w:pPr>
      <w:r>
        <w:rPr>
          <w:rFonts w:ascii="IBM Plex Sans" w:cs="IBM Plex Sans" w:eastAsia="IBM Plex Sans" w:hAnsi="IBM Plex Sans"/>
          <w:color w:val="334155"/>
          <w:sz w:val="21"/>
          <w:szCs w:val="21"/>
        </w:rPr>
        <w:t xml:space="preserve">Siklus iteratif empat tahap untuk menguji dan menyempurnakan perubahan proses pelayanan sebelum diterapkan secara luas.</w:t>
      </w:r>
    </w:p>
    <w:p>
      <w:pPr>
        <w:spacing w:after="40"/>
      </w:pPr>
      <w:r>
        <w:rPr>
          <w:rFonts w:ascii="IBM Plex Sans" w:cs="IBM Plex Sans" w:eastAsia="IBM Plex Sans" w:hAnsi="IBM Plex Sans"/>
          <w:b/>
          <w:bCs/>
          <w:color w:val="334155"/>
          <w:sz w:val="21"/>
          <w:szCs w:val="21"/>
        </w:rPr>
        <w:t xml:space="preserve">Root Cause Analysis (Analisis Akar Masalah)</w:t>
      </w:r>
    </w:p>
    <w:p>
      <w:pPr>
        <w:spacing w:after="160"/>
        <w:jc w:val="both"/>
      </w:pPr>
      <w:r>
        <w:rPr>
          <w:rFonts w:ascii="IBM Plex Sans" w:cs="IBM Plex Sans" w:eastAsia="IBM Plex Sans" w:hAnsi="IBM Plex Sans"/>
          <w:color w:val="334155"/>
          <w:sz w:val="21"/>
          <w:szCs w:val="21"/>
        </w:rPr>
        <w:t xml:space="preserve">Metode investigasi retrospektif untuk mengidentifikasi faktor sistemik yang mendasari terjadinya suatu insiden keselamatan pasien, umumnya dilakukan pada Kejadian Sentinel.</w:t>
      </w:r>
    </w:p>
    <w:p>
      <w:pPr>
        <w:spacing w:after="40"/>
      </w:pPr>
      <w:r>
        <w:rPr>
          <w:rFonts w:ascii="IBM Plex Sans" w:cs="IBM Plex Sans" w:eastAsia="IBM Plex Sans" w:hAnsi="IBM Plex Sans"/>
          <w:b/>
          <w:bCs/>
          <w:color w:val="334155"/>
          <w:sz w:val="21"/>
          <w:szCs w:val="21"/>
        </w:rPr>
        <w:t xml:space="preserve">SBAR (Situation–Background–Assessment–Recommendation)</w:t>
      </w:r>
    </w:p>
    <w:p>
      <w:pPr>
        <w:spacing w:after="160"/>
        <w:jc w:val="both"/>
      </w:pPr>
      <w:r>
        <w:rPr>
          <w:rFonts w:ascii="IBM Plex Sans" w:cs="IBM Plex Sans" w:eastAsia="IBM Plex Sans" w:hAnsi="IBM Plex Sans"/>
          <w:color w:val="334155"/>
          <w:sz w:val="21"/>
          <w:szCs w:val="21"/>
        </w:rPr>
        <w:t xml:space="preserve">Kerangka komunikasi terstruktur untuk menyampaikan informasi klinis kritis secara ringkas, lengkap, dan dapat ditindaklanjuti segera, umum digunakan pada serah terima pasien.</w:t>
      </w:r>
    </w:p>
    <w:p>
      <w:pPr>
        <w:spacing w:after="40"/>
      </w:pPr>
      <w:r>
        <w:rPr>
          <w:rFonts w:ascii="IBM Plex Sans" w:cs="IBM Plex Sans" w:eastAsia="IBM Plex Sans" w:hAnsi="IBM Plex Sans"/>
          <w:b/>
          <w:bCs/>
          <w:color w:val="334155"/>
          <w:sz w:val="21"/>
          <w:szCs w:val="21"/>
        </w:rPr>
        <w:t xml:space="preserve">Standard Precautions (Kewaspadaan Standar)</w:t>
      </w:r>
    </w:p>
    <w:p>
      <w:pPr>
        <w:spacing w:after="160"/>
        <w:jc w:val="both"/>
      </w:pPr>
      <w:r>
        <w:rPr>
          <w:rFonts w:ascii="IBM Plex Sans" w:cs="IBM Plex Sans" w:eastAsia="IBM Plex Sans" w:hAnsi="IBM Plex Sans"/>
          <w:color w:val="334155"/>
          <w:sz w:val="21"/>
          <w:szCs w:val="21"/>
        </w:rPr>
        <w:t xml:space="preserve">Seperangkat tindakan pencegahan infeksi minimal yang diterapkan pada setiap kontak dengan pasien, terlepas dari status infeksi yang diketahui.</w:t>
      </w:r>
    </w:p>
    <w:p>
      <w:pPr>
        <w:spacing w:after="40"/>
      </w:pPr>
      <w:r>
        <w:rPr>
          <w:rFonts w:ascii="IBM Plex Sans" w:cs="IBM Plex Sans" w:eastAsia="IBM Plex Sans" w:hAnsi="IBM Plex Sans"/>
          <w:b/>
          <w:bCs/>
          <w:color w:val="334155"/>
          <w:sz w:val="21"/>
          <w:szCs w:val="21"/>
        </w:rPr>
        <w:t xml:space="preserve">Time-Out</w:t>
      </w:r>
    </w:p>
    <w:p>
      <w:pPr>
        <w:spacing w:after="160"/>
        <w:jc w:val="both"/>
      </w:pPr>
      <w:r>
        <w:rPr>
          <w:rFonts w:ascii="IBM Plex Sans" w:cs="IBM Plex Sans" w:eastAsia="IBM Plex Sans" w:hAnsi="IBM Plex Sans"/>
          <w:color w:val="334155"/>
          <w:sz w:val="21"/>
          <w:szCs w:val="21"/>
        </w:rPr>
        <w:t xml:space="preserve">Jeda verifikasi terstruktur sesaat sebelum tindakan invasif/operatif dimulai, untuk memastikan tepat pasien, tepat lokasi, dan tepat prosedur.</w:t>
      </w:r>
    </w:p>
    <w:p>
      <w:pPr>
        <w:pStyle w:val="Heading1"/>
        <w:pageBreakBefore/>
        <w:spacing w:after="200"/>
      </w:pPr>
      <w:r>
        <w:rPr>
          <w:rFonts w:ascii="Source Serif 4" w:cs="Source Serif 4" w:eastAsia="Source Serif 4" w:hAnsi="Source Serif 4"/>
          <w:b/>
          <w:bCs/>
          <w:color w:val="4F46E5"/>
          <w:sz w:val="34"/>
          <w:szCs w:val="34"/>
        </w:rPr>
        <w:t xml:space="preserve">KEPUSTAKAAN</w:t>
      </w:r>
    </w:p>
    <w:p>
      <w:pPr>
        <w:spacing w:after="160"/>
      </w:pPr>
      <w:r>
        <w:rPr>
          <w:rFonts w:ascii="IBM Plex Sans" w:cs="IBM Plex Sans" w:eastAsia="IBM Plex Sans" w:hAnsi="IBM Plex Sans"/>
          <w:color w:val="334155"/>
          <w:sz w:val="20"/>
          <w:szCs w:val="20"/>
        </w:rPr>
        <w:t xml:space="preserve">1. Konsil Kesehatan Indonesia. Keputusan Ketua Konsil Kesehatan Indonesia Nomor HK.01.02/KKI/1318/2026 tentang Standar Kompetensi Dokter Spesialis dan Subspesialis Bidang Obstetri dan Ginekologi. Jakarta: Konsil Kesehatan Indonesia; 2026.</w:t>
      </w:r>
    </w:p>
    <w:p>
      <w:pPr>
        <w:spacing w:after="40"/>
      </w:pPr>
      <w:r>
        <w:rPr>
          <w:rFonts w:ascii="IBM Plex Sans" w:cs="IBM Plex Sans" w:eastAsia="IBM Plex Sans" w:hAnsi="IBM Plex Sans"/>
          <w:color w:val="334155"/>
          <w:sz w:val="20"/>
          <w:szCs w:val="20"/>
        </w:rPr>
        <w:t xml:space="preserve">2. World Health Organization. Patient Safety Curriculum Guide: Multi-professional Edition. Geneva: World Health Organization; 2011. ISBN 9789241501958.</w:t>
      </w:r>
    </w:p>
    <w:p>
      <w:pPr>
        <w:spacing w:after="160"/>
        <w:ind w:left="260"/>
      </w:pPr>
      <w:hyperlink w:history="1" r:id="rIdgotjcwsmi4v-obspanxpz">
        <w:r>
          <w:rPr>
            <w:rFonts w:ascii="IBM Plex Mono" w:cs="IBM Plex Mono" w:eastAsia="IBM Plex Mono" w:hAnsi="IBM Plex Mono"/>
            <w:color w:val="4F46E5"/>
            <w:sz w:val="18"/>
            <w:szCs w:val="18"/>
            <w:u w:val="single"/>
          </w:rPr>
          <w:t xml:space="preserve">https://www.who.int/teams/integrated-health-services/quality-of-care-and-patient-safety/patient-safety-guidance-and-tools/education-and-training/multi-professional-curriculum-guide</w:t>
        </w:r>
      </w:hyperlink>
    </w:p>
    <w:p>
      <w:pPr>
        <w:spacing w:after="40"/>
      </w:pPr>
      <w:r>
        <w:rPr>
          <w:rFonts w:ascii="IBM Plex Sans" w:cs="IBM Plex Sans" w:eastAsia="IBM Plex Sans" w:hAnsi="IBM Plex Sans"/>
          <w:color w:val="334155"/>
          <w:sz w:val="20"/>
          <w:szCs w:val="20"/>
        </w:rPr>
        <w:t xml:space="preserve">3. Alliance for Innovation on Maternal Health (AIM). Severe Hypertension in Pregnancy Patient Safety Bundle. Washington, DC: American College of Obstetricians and Gynecologists.</w:t>
      </w:r>
    </w:p>
    <w:p>
      <w:pPr>
        <w:spacing w:after="160"/>
        <w:ind w:left="260"/>
      </w:pPr>
      <w:hyperlink w:history="1" r:id="rIdwtebfyhnrpqbwotwgv33r">
        <w:r>
          <w:rPr>
            <w:rFonts w:ascii="IBM Plex Mono" w:cs="IBM Plex Mono" w:eastAsia="IBM Plex Mono" w:hAnsi="IBM Plex Mono"/>
            <w:color w:val="4F46E5"/>
            <w:sz w:val="18"/>
            <w:szCs w:val="18"/>
            <w:u w:val="single"/>
          </w:rPr>
          <w:t xml:space="preserve">https://saferbirth.org/psbs/severe-hypertension-in-pregnancy/</w:t>
        </w:r>
      </w:hyperlink>
    </w:p>
    <w:p>
      <w:pPr>
        <w:spacing w:after="40"/>
      </w:pPr>
      <w:r>
        <w:rPr>
          <w:rFonts w:ascii="IBM Plex Sans" w:cs="IBM Plex Sans" w:eastAsia="IBM Plex Sans" w:hAnsi="IBM Plex Sans"/>
          <w:color w:val="334155"/>
          <w:sz w:val="20"/>
          <w:szCs w:val="20"/>
        </w:rPr>
        <w:t xml:space="preserve">4. Alliance for Innovation on Maternal Health (AIM). Obstetric Hemorrhage Patient Safety Bundle. Washington, DC: American College of Obstetricians and Gynecologists.</w:t>
      </w:r>
    </w:p>
    <w:p>
      <w:pPr>
        <w:spacing w:after="160"/>
        <w:ind w:left="260"/>
      </w:pPr>
      <w:hyperlink w:history="1" r:id="rIdpmf71ewrxmvr4tomsceym">
        <w:r>
          <w:rPr>
            <w:rFonts w:ascii="IBM Plex Mono" w:cs="IBM Plex Mono" w:eastAsia="IBM Plex Mono" w:hAnsi="IBM Plex Mono"/>
            <w:color w:val="4F46E5"/>
            <w:sz w:val="18"/>
            <w:szCs w:val="18"/>
            <w:u w:val="single"/>
          </w:rPr>
          <w:t xml:space="preserve">https://saferbirth.org/psbs/obstetric-hemorrhage/</w:t>
        </w:r>
      </w:hyperlink>
    </w:p>
    <w:p>
      <w:pPr>
        <w:pageBreakBefore/>
        <w:spacing w:before="3000"/>
      </w:pPr>
    </w:p>
    <w:p>
      <w:pPr>
        <w:spacing w:after="100"/>
        <w:jc w:val="center"/>
      </w:pPr>
      <w:r>
        <w:rPr>
          <w:rFonts w:ascii="Source Serif 4" w:cs="Source Serif 4" w:eastAsia="Source Serif 4" w:hAnsi="Source Serif 4"/>
          <w:b/>
          <w:bCs/>
          <w:color w:val="4F46E5"/>
          <w:sz w:val="24"/>
          <w:szCs w:val="24"/>
        </w:rPr>
        <w:t xml:space="preserve">Keselamatan Pasien dan Mutu Pelayanan dalam Praktik Obstetri dan Ginekologi</w:t>
      </w:r>
    </w:p>
    <w:p>
      <w:pPr>
        <w:spacing w:after="300"/>
        <w:jc w:val="center"/>
      </w:pPr>
      <w:r>
        <w:rPr>
          <w:rFonts w:ascii="IBM Plex Sans" w:cs="IBM Plex Sans" w:eastAsia="IBM Plex Sans" w:hAnsi="IBM Plex Sans"/>
          <w:color w:val="64748B"/>
          <w:sz w:val="18"/>
          <w:szCs w:val="18"/>
        </w:rPr>
        <w:t xml:space="preserve">Buku Tematik B1 · Ekosistem Literatur Standar SpOG</w:t>
      </w:r>
    </w:p>
    <w:p>
      <w:pPr>
        <w:spacing w:after="40"/>
        <w:jc w:val="center"/>
      </w:pPr>
      <w:r>
        <w:rPr>
          <w:rFonts w:ascii="IBM Plex Sans" w:cs="IBM Plex Sans" w:eastAsia="IBM Plex Sans" w:hAnsi="IBM Plex Sans"/>
          <w:b/>
          <w:bCs/>
          <w:color w:val="B45309"/>
          <w:sz w:val="16"/>
          <w:szCs w:val="16"/>
        </w:rPr>
        <w:t xml:space="preserve">Penulis</w:t>
      </w:r>
    </w:p>
    <w:p>
      <w:pPr>
        <w:spacing w:after="200"/>
        <w:jc w:val="center"/>
      </w:pPr>
      <w:r>
        <w:rPr>
          <w:rFonts w:ascii="IBM Plex Sans" w:cs="IBM Plex Sans" w:eastAsia="IBM Plex Sans" w:hAnsi="IBM Plex Sans"/>
          <w:color w:val="334155"/>
          <w:sz w:val="19"/>
          <w:szCs w:val="19"/>
        </w:rPr>
        <w:t xml:space="preserve">Dr.dr. Budi Siswanto, Sp.OG., Subsp.Obginsos., SH., S.Kom.</w:t>
      </w:r>
    </w:p>
    <w:p>
      <w:pPr>
        <w:spacing w:after="40"/>
        <w:jc w:val="center"/>
      </w:pPr>
      <w:r>
        <w:rPr>
          <w:rFonts w:ascii="IBM Plex Sans" w:cs="IBM Plex Sans" w:eastAsia="IBM Plex Sans" w:hAnsi="IBM Plex Sans"/>
          <w:b/>
          <w:bCs/>
          <w:color w:val="B45309"/>
          <w:sz w:val="16"/>
          <w:szCs w:val="16"/>
        </w:rPr>
        <w:t xml:space="preserve">Penerbit</w:t>
      </w:r>
    </w:p>
    <w:p>
      <w:pPr>
        <w:spacing w:after="20"/>
        <w:jc w:val="center"/>
      </w:pPr>
      <w:r>
        <w:rPr>
          <w:rFonts w:ascii="IBM Plex Sans" w:cs="IBM Plex Sans" w:eastAsia="IBM Plex Sans" w:hAnsi="IBM Plex Sans"/>
          <w:color w:val="334155"/>
          <w:sz w:val="19"/>
          <w:szCs w:val="19"/>
        </w:rPr>
        <w:t xml:space="preserve">Perpustakaan Digital ABBA</w:t>
      </w:r>
    </w:p>
    <w:p>
      <w:pPr>
        <w:spacing w:after="200"/>
        <w:jc w:val="center"/>
      </w:pPr>
      <w:r>
        <w:rPr>
          <w:rFonts w:ascii="IBM Plex Sans" w:cs="IBM Plex Sans" w:eastAsia="IBM Plex Sans" w:hAnsi="IBM Plex Sans"/>
          <w:color w:val="334155"/>
          <w:sz w:val="19"/>
          <w:szCs w:val="19"/>
        </w:rPr>
        <w:t xml:space="preserve">Jl. Kerinci Raya No. 9, Malang 65138</w:t>
      </w:r>
    </w:p>
    <w:p>
      <w:pPr>
        <w:jc w:val="center"/>
      </w:pPr>
      <w:r>
        <w:rPr>
          <w:rFonts w:ascii="IBM Plex Mono" w:cs="IBM Plex Mono" w:eastAsia="IBM Plex Mono" w:hAnsi="IBM Plex Mono"/>
          <w:color w:val="64748B"/>
          <w:sz w:val="16"/>
          <w:szCs w:val="16"/>
        </w:rPr>
        <w:t xml:space="preserve">Cetakan/edisi digital, 2026</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6"/>
        <w:szCs w:val="16"/>
      </w:rPr>
      <w:t xml:space="preserve">Dokumen B1 dari 15 · Perpustakaan Digital ABBA · Halaman </w:t>
    </w:r>
    <w:r>
      <w:rPr>
        <w:rFonts w:ascii="IBM Plex Mono" w:cs="IBM Plex Mono" w:eastAsia="IBM Plex Mono" w:hAnsi="IBM Plex Mono"/>
        <w:color w:val="64748B"/>
        <w:sz w:val="16"/>
        <w:szCs w:val="16"/>
      </w:rPr>
      <w:fldChar w:fldCharType="begin"/>
      <w:instrText xml:space="preserve">PAGE</w:instrText>
      <w:fldChar w:fldCharType="separate"/>
      <w:fldChar w:fldCharType="end"/>
    </w:r>
    <w:r>
      <w:rPr>
        <w:rFonts w:ascii="IBM Plex Mono" w:cs="IBM Plex Mono" w:eastAsia="IBM Plex Mono" w:hAnsi="IBM Plex Mono"/>
        <w:color w:val="64748B"/>
        <w:sz w:val="16"/>
        <w:szCs w:val="16"/>
      </w:rPr>
      <w:t xml:space="preserve"> / </w:t>
    </w:r>
    <w:r>
      <w:rPr>
        <w:rFonts w:ascii="IBM Plex Mono" w:cs="IBM Plex Mono" w:eastAsia="IBM Plex Mono" w:hAnsi="IBM Plex Mono"/>
        <w:color w:val="64748B"/>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F46E5" w:sz="6" w:space="4"/>
      </w:pBdr>
      <w:tabs>
        <w:tab w:val="right" w:pos="9072"/>
      </w:tabs>
    </w:pPr>
    <w:r>
      <w:rPr>
        <w:rFonts w:ascii="IBM Plex Mono" w:cs="IBM Plex Mono" w:eastAsia="IBM Plex Mono" w:hAnsi="IBM Plex Mono"/>
        <w:color w:val="64748B"/>
        <w:sz w:val="16"/>
        <w:szCs w:val="16"/>
      </w:rPr>
      <w:t xml:space="preserve">SpOG · Buku Tematik B1</w:t>
    </w:r>
    <w:r>
      <w:t xml:space="preserve">	</w:t>
    </w:r>
    <w:r>
      <w:rPr>
        <w:rFonts w:ascii="IBM Plex Mono" w:cs="IBM Plex Mono" w:eastAsia="IBM Plex Mono" w:hAnsi="IBM Plex Mono"/>
        <w:color w:val="64748B"/>
        <w:sz w:val="16"/>
        <w:szCs w:val="16"/>
      </w:rPr>
      <w:t xml:space="preserve">Keselamatan Pasien dan Mutu Pelayanan dalam Praktik Obstetri dan Ginekologi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gotjcwsmi4v-obspanxpz" Type="http://schemas.openxmlformats.org/officeDocument/2006/relationships/hyperlink" Target="https://www.who.int/teams/integrated-health-services/quality-of-care-and-patient-safety/patient-safety-guidance-and-tools/education-and-training/multi-professional-curriculum-guide" TargetMode="External"/><Relationship Id="rIdwtebfyhnrpqbwotwgv33r" Type="http://schemas.openxmlformats.org/officeDocument/2006/relationships/hyperlink" Target="https://saferbirth.org/psbs/severe-hypertension-in-pregnancy/" TargetMode="External"/><Relationship Id="rIdpmf71ewrxmvr4tomsceym" Type="http://schemas.openxmlformats.org/officeDocument/2006/relationships/hyperlink" Target="https://saferbirth.org/psbs/obstetric-hemorrhage/"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2026-08-16T22:23:03.516Z</dcterms:created>
  <dcterms:modified xsi:type="dcterms:W3CDTF">2026-08-16T22:23:03.530Z</dcterms:modified>
</cp:coreProperties>
</file>

<file path=docProps/custom.xml><?xml version="1.0" encoding="utf-8"?>
<Properties xmlns="http://schemas.openxmlformats.org/officeDocument/2006/custom-properties" xmlns:vt="http://schemas.openxmlformats.org/officeDocument/2006/docPropsVTypes"/>
</file>