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jc w:val="center"/>
      </w:pPr>
      <w:r>
        <w:rPr>
          <w:rFonts w:ascii="IBM Plex Sans" w:cs="IBM Plex Sans" w:eastAsia="IBM Plex Sans" w:hAnsi="IBM Plex Sans"/>
          <w:b/>
          <w:bCs/>
          <w:caps/>
          <w:color w:val="B45309"/>
          <w:sz w:val="20"/>
          <w:szCs w:val="20"/>
        </w:rPr>
        <w:t xml:space="preserve">EKOSISTEM LITERATUR STANDAR SpOG</w:t>
      </w:r>
    </w:p>
    <w:p>
      <w:pPr>
        <w:spacing w:after="40"/>
        <w:jc w:val="center"/>
      </w:pPr>
      <w:r>
        <w:rPr>
          <w:rFonts w:ascii="IBM Plex Sans" w:cs="IBM Plex Sans" w:eastAsia="IBM Plex Sans" w:hAnsi="IBM Plex Sans"/>
          <w:color w:val="475569"/>
          <w:sz w:val="20"/>
          <w:szCs w:val="20"/>
        </w:rPr>
        <w:t xml:space="preserve">Buku Tematik B11 — Dokumen 12 dari 15</w:t>
      </w:r>
    </w:p>
    <w:p>
      <w:pPr>
        <w:spacing w:after="200" w:before="500"/>
        <w:jc w:val="center"/>
      </w:pPr>
      <w:r>
        <w:rPr>
          <w:rFonts w:ascii="Source Serif 4" w:cs="Source Serif 4" w:eastAsia="Source Serif 4" w:hAnsi="Source Serif 4"/>
          <w:b/>
          <w:bCs/>
          <w:color w:val="4F46E5"/>
          <w:sz w:val="44"/>
          <w:szCs w:val="44"/>
        </w:rPr>
        <w:t xml:space="preserve">Kedokteran Sosial, Mediko-Legal, Kontrasepsi, dan Kesehatan Reproduksi Remaja</w:t>
      </w:r>
    </w:p>
    <w:p>
      <w:pPr>
        <w:spacing w:after="500"/>
        <w:jc w:val="center"/>
      </w:pPr>
      <w:r>
        <w:rPr>
          <w:rFonts w:ascii="Source Serif 4" w:cs="Source Serif 4" w:eastAsia="Source Serif 4" w:hAnsi="Source Serif 4"/>
          <w:i/>
          <w:iCs/>
          <w:color w:val="1E293B"/>
          <w:sz w:val="26"/>
          <w:szCs w:val="26"/>
        </w:rPr>
        <w:t xml:space="preserve">Tingkat Spesialis — Program Pendidikan Dokter Spesialis Obstetri dan Ginekologi</w:t>
      </w:r>
    </w:p>
    <w:p>
      <w:pPr>
        <w:spacing w:after="60" w:before="300"/>
        <w:jc w:val="center"/>
      </w:pPr>
      <w:r>
        <w:rPr>
          <w:rFonts w:ascii="IBM Plex Sans" w:cs="IBM Plex Sans" w:eastAsia="IBM Plex Sans" w:hAnsi="IBM Plex Sans"/>
          <w:b/>
          <w:bCs/>
          <w:color w:val="1E293B"/>
          <w:sz w:val="21"/>
          <w:szCs w:val="21"/>
        </w:rPr>
        <w:t xml:space="preserve">Divisi Pengampu: Obstetri Ginekologi Sosial</w:t>
      </w:r>
    </w:p>
    <w:p>
      <w:pPr>
        <w:spacing w:after="60"/>
        <w:jc w:val="center"/>
      </w:pPr>
      <w:r>
        <w:rPr>
          <w:rFonts w:ascii="IBM Plex Sans" w:cs="IBM Plex Sans" w:eastAsia="IBM Plex Sans" w:hAnsi="IBM Plex Sans"/>
          <w:color w:val="475569"/>
          <w:sz w:val="20"/>
          <w:szCs w:val="20"/>
        </w:rPr>
        <w:t xml:space="preserve">Audiens: Peserta Didik PPDS Obstetri dan Ginekologi seluruh tahun, penekanan Tahun III–IV</w:t>
      </w:r>
    </w:p>
    <w:p>
      <w:pPr>
        <w:spacing w:after="40" w:before="700"/>
        <w:jc w:val="center"/>
      </w:pPr>
      <w:r>
        <w:rPr>
          <w:rFonts w:ascii="IBM Plex Sans" w:cs="IBM Plex Sans" w:eastAsia="IBM Plex Sans" w:hAnsi="IBM Plex Sans"/>
          <w:b/>
          <w:bCs/>
          <w:caps/>
          <w:color w:val="B45309"/>
          <w:sz w:val="18"/>
          <w:szCs w:val="18"/>
        </w:rPr>
        <w:t xml:space="preserve">Dasar Hukum</w:t>
      </w:r>
    </w:p>
    <w:p>
      <w:pPr>
        <w:spacing w:after="20"/>
        <w:jc w:val="center"/>
      </w:pPr>
      <w:r>
        <w:rPr>
          <w:rFonts w:ascii="IBM Plex Sans" w:cs="IBM Plex Sans" w:eastAsia="IBM Plex Sans" w:hAnsi="IBM Plex Sans"/>
          <w:color w:val="475569"/>
          <w:sz w:val="18"/>
          <w:szCs w:val="18"/>
        </w:rPr>
        <w:t xml:space="preserve">Keputusan Ketua Konsil Kesehatan Indonesia No. HK.01.02/KKI/1318/2026 tentang Standar Kompetensi Dokter Spesialis dan Subspesialis Bidang Obstetri dan Ginekologi</w:t>
      </w:r>
    </w:p>
    <w:p>
      <w:pPr>
        <w:spacing w:after="500"/>
        <w:jc w:val="center"/>
      </w:pPr>
      <w:r>
        <w:rPr>
          <w:rFonts w:ascii="IBM Plex Mono" w:cs="IBM Plex Mono" w:eastAsia="IBM Plex Mono" w:hAnsi="IBM Plex Mono"/>
          <w:color w:val="475569"/>
          <w:sz w:val="17"/>
          <w:szCs w:val="17"/>
        </w:rPr>
        <w:t xml:space="preserve">Tabel 7 No. 67–70 dan No. 73 (Spektrum Penyakit dan Kondisi Klinis yang Ditangani Spesialis Obstetri dan Ginekologi)</w:t>
      </w:r>
    </w:p>
    <w:p>
      <w:pPr>
        <w:spacing w:after="6" w:before="300"/>
        <w:jc w:val="center"/>
      </w:pPr>
      <w:r>
        <w:rPr>
          <w:rFonts w:ascii="IBM Plex Sans" w:cs="IBM Plex Sans" w:eastAsia="IBM Plex Sans" w:hAnsi="IBM Plex Sans"/>
          <w:b/>
          <w:bCs/>
          <w:color w:val="1E293B"/>
          <w:sz w:val="21"/>
          <w:szCs w:val="21"/>
        </w:rPr>
        <w:t xml:space="preserve">Dr.dr. Budi Siswanto, Sp.OG., Subsp.Obginsos., SH., S.Kom.</w:t>
      </w:r>
    </w:p>
    <w:p>
      <w:pPr>
        <w:spacing w:after="220"/>
        <w:jc w:val="center"/>
      </w:pPr>
      <w:r>
        <w:rPr>
          <w:rFonts w:ascii="IBM Plex Sans" w:cs="IBM Plex Sans" w:eastAsia="IBM Plex Sans" w:hAnsi="IBM Plex Sans"/>
          <w:i/>
          <w:iCs/>
          <w:color w:val="475569"/>
          <w:sz w:val="16"/>
          <w:szCs w:val="16"/>
        </w:rPr>
        <w:t xml:space="preserve">Penulis</w:t>
      </w:r>
    </w:p>
    <w:p>
      <w:pPr>
        <w:spacing w:after="4"/>
        <w:jc w:val="center"/>
      </w:pPr>
      <w:r>
        <w:rPr>
          <w:rFonts w:ascii="IBM Plex Sans" w:cs="IBM Plex Sans" w:eastAsia="IBM Plex Sans" w:hAnsi="IBM Plex Sans"/>
          <w:b/>
          <w:bCs/>
          <w:color w:val="B45309"/>
          <w:sz w:val="19"/>
          <w:szCs w:val="19"/>
        </w:rPr>
        <w:t xml:space="preserve">Perpustakaan Digital ABBA</w:t>
      </w:r>
    </w:p>
    <w:p>
      <w:pPr>
        <w:spacing w:after="4"/>
        <w:jc w:val="center"/>
      </w:pPr>
      <w:r>
        <w:rPr>
          <w:rFonts w:ascii="IBM Plex Sans" w:cs="IBM Plex Sans" w:eastAsia="IBM Plex Sans" w:hAnsi="IBM Plex Sans"/>
          <w:color w:val="475569"/>
          <w:sz w:val="17"/>
          <w:szCs w:val="17"/>
        </w:rPr>
        <w:t xml:space="preserve">Jl. Kerinci Raya No. 9, Malang 65138</w:t>
      </w:r>
    </w:p>
    <w:p>
      <w:pPr>
        <w:jc w:val="center"/>
      </w:pPr>
      <w:r>
        <w:rPr>
          <w:rFonts w:ascii="IBM Plex Sans" w:cs="IBM Plex Sans" w:eastAsia="IBM Plex Sans" w:hAnsi="IBM Plex Sans"/>
          <w:color w:val="475569"/>
          <w:sz w:val="17"/>
          <w:szCs w:val="17"/>
        </w:rPr>
        <w:t xml:space="preserve">Cetakan Pertama · 2026</w:t>
      </w:r>
    </w:p>
    <w:p>
      <w:r>
        <w:br w:type="page"/>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4F46E5"/>
                <w:sz w:val="20"/>
                <w:szCs w:val="20"/>
              </w:rPr>
              <w:t xml:space="preserve">Ringkasan Dokumen</w:t>
            </w:r>
          </w:p>
          <w:p>
            <w:pPr>
              <w:spacing w:after="60"/>
            </w:pPr>
            <w:r>
              <w:rPr>
                <w:rFonts w:ascii="IBM Plex Sans" w:cs="IBM Plex Sans" w:eastAsia="IBM Plex Sans" w:hAnsi="IBM Plex Sans"/>
                <w:color w:val="1E293B"/>
                <w:sz w:val="20"/>
                <w:szCs w:val="20"/>
              </w:rPr>
              <w:t xml:space="preserve">Buku tematik ini membahas empat domain yang saling terkait dalam praktik Spesialis Obgin: kedokteran sosial, aspek mediko-legal, kontrasepsi, dan kesehatan reproduksi remaja, dilengkapi bab vaksinasi perempuan dan penanganan kekerasan terhadap perempuan.</w:t>
            </w:r>
          </w:p>
          <w:p>
            <w:pPr>
              <w:spacing w:after="60"/>
            </w:pPr>
            <w:r>
              <w:rPr>
                <w:rFonts w:ascii="IBM Plex Sans" w:cs="IBM Plex Sans" w:eastAsia="IBM Plex Sans" w:hAnsi="IBM Plex Sans"/>
                <w:color w:val="1E293B"/>
                <w:sz w:val="20"/>
                <w:szCs w:val="20"/>
              </w:rPr>
              <w:t xml:space="preserve">Dasar regulasi utama: Tabel 7 No. 67–70 dan No. 73 (Spektrum Penyakit dan Kondisi Klinis yang Ditangani Spesialis Obstetri dan Ginekologi).</w:t>
            </w:r>
          </w:p>
          <w:p>
            <w:pPr>
              <w:spacing w:after="60"/>
            </w:pPr>
            <w:r>
              <w:rPr>
                <w:rFonts w:ascii="IBM Plex Sans" w:cs="IBM Plex Sans" w:eastAsia="IBM Plex Sans" w:hAnsi="IBM Plex Sans"/>
                <w:color w:val="1E293B"/>
                <w:sz w:val="20"/>
                <w:szCs w:val="20"/>
              </w:rPr>
              <w:t xml:space="preserve">Target pembaca: Peserta Didik PPDS Obstetri dan Ginekologi seluruh tahun, penekanan Tahun III–IV.</w:t>
            </w:r>
          </w:p>
        </w:tc>
      </w:tr>
    </w:tbl>
    <w:p>
      <w:pPr>
        <w:spacing w:after="200"/>
      </w:pP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I — Pendahuluan dan Kedudukan Kedokteran Sosial dalam Praktik Spesialis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67, 68, 69, 70, dan 73 Kepkonsil No. HK.01.02/KKI/1318/2026 — Spektrum Penyakit dan Kondisi Klinis yang Ditangani Spesialis Obstetri dan Ginekologi.</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1.1 Latar Belakang dan Ruang Lingkup</w:t>
      </w:r>
    </w:p>
    <w:p>
      <w:pPr>
        <w:spacing w:after="160" w:line="276"/>
      </w:pPr>
      <w:r>
        <w:rPr>
          <w:rFonts w:ascii="IBM Plex Sans" w:cs="IBM Plex Sans" w:eastAsia="IBM Plex Sans" w:hAnsi="IBM Plex Sans"/>
          <w:color w:val="1E293B"/>
          <w:sz w:val="22"/>
          <w:szCs w:val="22"/>
        </w:rPr>
        <w:t xml:space="preserve">Kedokteran sosial (social medicine — Ind: kedokteran sosial) memandang kesehatan Pasien tidak semata sebagai fenomena biologis, melainkan hasil interaksi antara faktor biomedis, psikologis, sosial, ekonomi, budaya, dan hukum yang melingkupi kehidupan seorang perempuan. Dalam praktik Obstetri dan Ginekologi (Obgin), pendekatan ini menjadi krusial karena hampir seluruh peristiwa reproduktif — kehamilan, persalinan, nifas, kontrasepsi, hingga kekerasan berbasis gender — terjadi pada persimpangan antara tubuh, keluarga, masyarakat, dan sistem hukum.</w:t>
      </w:r>
    </w:p>
    <w:p>
      <w:pPr>
        <w:spacing w:after="160" w:line="276"/>
      </w:pPr>
      <w:r>
        <w:rPr>
          <w:rFonts w:ascii="IBM Plex Sans" w:cs="IBM Plex Sans" w:eastAsia="IBM Plex Sans" w:hAnsi="IBM Plex Sans"/>
          <w:color w:val="1E293B"/>
          <w:sz w:val="22"/>
          <w:szCs w:val="22"/>
        </w:rPr>
        <w:t xml:space="preserve">Buku tematik ini menyatukan empat domain yang pada praktik sehari-hari sering saling beririsan: kedokteran sosial sebagai kerangka berpikir, aspek mediko-legal sebagai batas dan pelindung praktik, kontrasepsi sebagai wujud konkret pengaturan fertilitas, dan kesehatan reproduksi remaja sebagai populasi prioritas dengan kerentanan biopsikososial tertinggi. Dua bab tambahan — vaksinasi pada perempuan dan penanganan kekerasan terhadap perempuan — melengkapi cakupan ini karena keduanya merupakan titik pertemuan langsung antara kompetensi medis, tanggung jawab sosial, dan kewajiban hukum seorang Spesialis Obgin.</w:t>
      </w:r>
    </w:p>
    <w:p>
      <w:pPr>
        <w:spacing w:after="160" w:line="276"/>
      </w:pPr>
      <w:r>
        <w:rPr>
          <w:rFonts w:ascii="IBM Plex Sans" w:cs="IBM Plex Sans" w:eastAsia="IBM Plex Sans" w:hAnsi="IBM Plex Sans"/>
          <w:color w:val="1E293B"/>
          <w:sz w:val="22"/>
          <w:szCs w:val="22"/>
        </w:rPr>
        <w:t xml:space="preserve">Keempat domain inti disatukan oleh benang merah yang sama: kompetensi dokter Spesialis Obgin untuk melihat Pasien secara utuh (holistik) dan bertindak dalam koridor hukum serta etik yang berlaku, tanpa mengorbankan salah satu di antara keduanya.</w:t>
      </w:r>
    </w:p>
    <w:p>
      <w:pPr>
        <w:pStyle w:val="Heading2"/>
        <w:spacing w:after="140" w:before="260"/>
      </w:pPr>
      <w:r>
        <w:rPr>
          <w:rFonts w:ascii="Source Serif 4" w:cs="Source Serif 4" w:eastAsia="Source Serif 4" w:hAnsi="Source Serif 4"/>
          <w:b/>
          <w:bCs/>
          <w:color w:val="1E293B"/>
          <w:sz w:val="26"/>
          <w:szCs w:val="26"/>
        </w:rPr>
        <w:t xml:space="preserve">1.2 Kedudukan dalam Kepkonsil No. HK.01.02/KKI/1318/2026</w:t>
      </w:r>
    </w:p>
    <w:p>
      <w:pPr>
        <w:spacing w:after="160" w:line="276"/>
      </w:pPr>
      <w:r>
        <w:rPr>
          <w:rFonts w:ascii="IBM Plex Sans" w:cs="IBM Plex Sans" w:eastAsia="IBM Plex Sans" w:hAnsi="IBM Plex Sans"/>
          <w:color w:val="1E293B"/>
          <w:sz w:val="22"/>
          <w:szCs w:val="22"/>
        </w:rPr>
        <w:t xml:space="preserve">Kedudukan kompetensi kedokteran sosial, mediko-legal, kontrasepsi, dan kesehatan reproduksi remaja secara eksplisit ditetapkan pada Area Kompetensi 2 (Kompetensi Medis), Tabel 7, sebagai bagian dari spektrum penyakit dan kondisi klinis yang wajib dikuasai seluruh dokter Spesialis Obstetri dan Ginekologi tanpa memandang minat subspesialisasi. Lima entri menjadi rujukan utama buku ini sebagaimana dirangkum pada tabel di bawah.</w:t>
      </w:r>
    </w:p>
    <w:p>
      <w:pPr>
        <w:spacing w:after="100" w:before="160"/>
      </w:pPr>
      <w:r>
        <w:rPr>
          <w:rFonts w:ascii="IBM Plex Sans" w:cs="IBM Plex Sans" w:eastAsia="IBM Plex Sans" w:hAnsi="IBM Plex Sans"/>
          <w:b/>
          <w:bCs/>
          <w:i/>
          <w:iCs/>
          <w:color w:val="475569"/>
          <w:sz w:val="19"/>
          <w:szCs w:val="19"/>
        </w:rPr>
        <w:t xml:space="preserve">Tabel 1.1 — Ringkasan Kompetensi Rujukan (diekstrak dari Tabel 7 Kepkonsil)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No</w:t>
            </w:r>
          </w:p>
        </w:tc>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Nama Penyakit/Kondisi</w:t>
            </w:r>
          </w:p>
        </w:tc>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Disease (En)</w:t>
            </w:r>
          </w:p>
        </w:tc>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ICD-10</w:t>
            </w:r>
          </w:p>
        </w:tc>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ICD-11</w:t>
            </w:r>
          </w:p>
        </w:tc>
        <w:tc>
          <w:tcPr>
            <w:tcW w:type="dxa" w:w="156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Keterangan/Populasi Prioritas</w:t>
            </w:r>
          </w:p>
        </w:tc>
      </w:tr>
      <w:tr>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67</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Kasus mediko-legal potensial</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Potential medico-legal case</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Z04.8</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QA04.7</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Situasi klinis dengan implikasi hukum</w:t>
            </w:r>
          </w:p>
        </w:tc>
      </w:tr>
      <w:tr>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68</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Pendekatan holistik</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Holistic approach</w:t>
            </w:r>
          </w:p>
        </w:tc>
        <w:tc>
          <w:tcPr>
            <w:tcW w:type="dxa" w:w="1560"/>
            <w:shd w:fill="F8FAFC"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Z55–Z65</w:t>
            </w:r>
          </w:p>
        </w:tc>
        <w:tc>
          <w:tcPr>
            <w:tcW w:type="dxa" w:w="1560"/>
            <w:shd w:fill="F8FAFC"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Pendekatan biopsikososial komprehensif</w:t>
            </w:r>
          </w:p>
        </w:tc>
      </w:tr>
      <w:tr>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69</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Kehamilan remaja</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Teenage pregnancy</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Z35.6</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QA43.5</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Kehamilan pada remaja</w:t>
            </w:r>
          </w:p>
        </w:tc>
      </w:tr>
      <w:tr>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70</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Kontrasepsi</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Contraception</w:t>
            </w:r>
          </w:p>
        </w:tc>
        <w:tc>
          <w:tcPr>
            <w:tcW w:type="dxa" w:w="1560"/>
            <w:shd w:fill="F8FAFC"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Z30</w:t>
            </w:r>
          </w:p>
        </w:tc>
        <w:tc>
          <w:tcPr>
            <w:tcW w:type="dxa" w:w="1560"/>
            <w:shd w:fill="F8FAFC"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QA21.1</w:t>
            </w:r>
          </w:p>
        </w:tc>
        <w:tc>
          <w:tcPr>
            <w:tcW w:type="dxa" w:w="156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Pengaturan fertilitas, wanita usia reproduksi</w:t>
            </w:r>
          </w:p>
        </w:tc>
      </w:tr>
      <w:tr>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73</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Vaksinasi pada perempuan</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Pregnancy state, incidental</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Z33.1; Z31.84</w:t>
            </w:r>
          </w:p>
        </w:tc>
        <w:tc>
          <w:tcPr>
            <w:tcW w:type="dxa" w:w="1560"/>
            <w:shd w:fill="FFFFFF" w:color="auto" w:val="clear"/>
            <w:tcMar>
              <w:top w:type="dxa" w:w="90"/>
              <w:left w:type="dxa" w:w="100"/>
              <w:bottom w:type="dxa" w:w="90"/>
              <w:right w:type="dxa" w:w="100"/>
            </w:tcMar>
          </w:tcPr>
          <w:p>
            <w:r>
              <w:rPr>
                <w:rFonts w:ascii="IBM Plex Mono" w:cs="IBM Plex Mono" w:eastAsia="IBM Plex Mono" w:hAnsi="IBM Plex Mono"/>
                <w:color w:val="1E293B"/>
                <w:sz w:val="18"/>
                <w:szCs w:val="18"/>
              </w:rPr>
              <w:t xml:space="preserve">QC02.Z</w:t>
            </w:r>
          </w:p>
        </w:tc>
        <w:tc>
          <w:tcPr>
            <w:tcW w:type="dxa" w:w="156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Vaksinasi pada perempuan</w:t>
            </w:r>
          </w:p>
        </w:tc>
      </w:tr>
    </w:tbl>
    <w:p>
      <w:pPr>
        <w:spacing w:after="100" w:before="140"/>
      </w:pPr>
    </w:p>
    <w:p>
      <w:pPr>
        <w:spacing w:after="160" w:line="276"/>
      </w:pPr>
      <w:r>
        <w:rPr>
          <w:rFonts w:ascii="IBM Plex Sans" w:cs="IBM Plex Sans" w:eastAsia="IBM Plex Sans" w:hAnsi="IBM Plex Sans"/>
          <w:color w:val="1E293B"/>
          <w:sz w:val="22"/>
          <w:szCs w:val="22"/>
        </w:rPr>
        <w:t xml:space="preserve">Entri No. 68 (Pendekatan holistik) berfungsi sebagai kerangka payung yang menaungi entri No. 67, 69, 70, dan 73 — menegaskan bahwa kelima kompetensi ini bukan topik yang berdiri sendiri, melainkan ekspresi konkret dari satu cara pandang biopsikososial yang harus melekat pada setiap tindakan klinis Spesialis Obgin. Konsil Kesehatan Indonesia sendiri merupakan lembaga yang dibentuk berdasarkan Pasal 268–271 Undang-Undang Nomor 17 Tahun 2023 tentang Kesehatan, hasil penggabungan Konsil Kedokteran Indonesia dan Konsil Tenaga Kesehatan Indonesia, dengan mandat menyusun dan menetapkan standar kompetensi tenaga medis dan tenaga kesehatan — termasuk Kepkonsil yang menjadi dasar regulasi buku ini.</w:t>
      </w:r>
    </w:p>
    <w:p>
      <w:pPr>
        <w:pStyle w:val="Heading2"/>
        <w:spacing w:after="140" w:before="260"/>
      </w:pPr>
      <w:r>
        <w:rPr>
          <w:rFonts w:ascii="Source Serif 4" w:cs="Source Serif 4" w:eastAsia="Source Serif 4" w:hAnsi="Source Serif 4"/>
          <w:b/>
          <w:bCs/>
          <w:color w:val="1E293B"/>
          <w:sz w:val="26"/>
          <w:szCs w:val="26"/>
        </w:rPr>
        <w:t xml:space="preserve">1.3 Kerangka Biopsikososial dalam Praktik Obstetri dan Ginekologi</w:t>
      </w:r>
    </w:p>
    <w:p>
      <w:pPr>
        <w:spacing w:after="160" w:line="276"/>
      </w:pPr>
      <w:r>
        <w:rPr>
          <w:rFonts w:ascii="IBM Plex Sans" w:cs="IBM Plex Sans" w:eastAsia="IBM Plex Sans" w:hAnsi="IBM Plex Sans"/>
          <w:color w:val="1E293B"/>
          <w:sz w:val="22"/>
          <w:szCs w:val="22"/>
        </w:rPr>
        <w:t xml:space="preserve">Kerangka biopsikososial (biopsychosocial framework) menempatkan tiga ranah — biologis, psikologis, dan sosial — sebagai satu kesatuan yang saling memengaruhi hasil kesehatan reproduksi. Pada praktiknya, kerangka ini menuntun dokter Spesialis Obgin untuk secara rutin menilai bukan hanya diagnosis klinis, tetapi juga konteks kehidupan Pasien: status ekonomi, dukungan keluarga, literasi kesehatan, risiko kekerasan, serta akses terhadap layanan.</w:t>
      </w:r>
    </w:p>
    <w:p>
      <w:pPr>
        <w:spacing w:after="160" w:line="276"/>
      </w:pPr>
      <w:r>
        <w:rPr>
          <w:rFonts w:ascii="IBM Plex Sans" w:cs="IBM Plex Sans" w:eastAsia="IBM Plex Sans" w:hAnsi="IBM Plex Sans"/>
          <w:color w:val="1E293B"/>
          <w:sz w:val="22"/>
          <w:szCs w:val="22"/>
        </w:rPr>
        <w:t xml:space="preserve">Penerapan kerangka ini bersifat bertingkat. Pada tingkat anamnesis, dokter menambahkan pertanyaan terarah mengenai kondisi rumah tangga, pekerjaan, dan sistem dukungan sosial di samping keluhan medis utama. Pada tingkat tata laksana, rencana terapi disesuaikan dengan kapasitas Pasien untuk menjalankannya — misalnya mempertimbangkan akses transportasi saat menjadwalkan kontrol antenatal, atau mempertimbangkan kerahasiaan saat memberikan konseling kontrasepsi pada remaja yang belum menikah. Pada tingkat sistem, dokter berperan mengidentifikasi kebutuhan rujukan lintas sektor sedini mungkin, alih-alih menunggu krisis terjadi.</w:t>
      </w:r>
    </w:p>
    <w:p>
      <w:pPr>
        <w:spacing w:after="160" w:line="276"/>
      </w:pPr>
      <w:r>
        <w:rPr>
          <w:rFonts w:ascii="IBM Plex Sans" w:cs="IBM Plex Sans" w:eastAsia="IBM Plex Sans" w:hAnsi="IBM Plex Sans"/>
          <w:color w:val="1E293B"/>
          <w:sz w:val="22"/>
          <w:szCs w:val="22"/>
        </w:rPr>
        <w:t xml:space="preserve">Bab-bab berikutnya dalam buku ini — determinan sosial (Bab II), mediko-legal (Bab III), kontrasepsi (Bab IV), kesehatan reproduksi remaja (Bab V), vaksinasi (Bab VI), dan kekerasan terhadap perempuan (Bab VII) — merupakan penjabaran operasional dari kerangka ini di berbagai titik pelayanan.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II — Determinan Sosial Kesehatan Reproduksi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68 (Pendekatan holistik, Z55–Z65) sebagai kerangka payung; diperkaya oleh kerangka determinan sosial kesehatan WHO.</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2.1 Kerangka Determinan Sosial Kesehatan</w:t>
      </w:r>
    </w:p>
    <w:p>
      <w:pPr>
        <w:spacing w:after="160" w:line="276"/>
      </w:pPr>
      <w:r>
        <w:rPr>
          <w:rFonts w:ascii="IBM Plex Sans" w:cs="IBM Plex Sans" w:eastAsia="IBM Plex Sans" w:hAnsi="IBM Plex Sans"/>
          <w:color w:val="1E293B"/>
          <w:sz w:val="22"/>
          <w:szCs w:val="22"/>
        </w:rPr>
        <w:t xml:space="preserve">Determinan sosial kesehatan (social determinants of health — Ind: determinan sosial kesehatan) mencakup kondisi tempat seseorang lahir, tumbuh, bekerja, tinggal, dan menua, termasuk sistem yang membentuk kondisi kehidupan sehari-hari tersebut: distribusi sumber daya, kekuasaan, dan kesempatan pada tingkat masyarakat. Dalam konteks kesehatan reproduksi, determinan ini mencakup pendidikan, pendapatan rumah tangga, akses transportasi ke fasilitas kesehatan, norma gender, status perkawinan, serta paparan terhadap kekerasan berbasis gender.</w:t>
      </w:r>
    </w:p>
    <w:p>
      <w:pPr>
        <w:spacing w:after="160" w:line="276"/>
      </w:pPr>
      <w:r>
        <w:rPr>
          <w:rFonts w:ascii="IBM Plex Sans" w:cs="IBM Plex Sans" w:eastAsia="IBM Plex Sans" w:hAnsi="IBM Plex Sans"/>
          <w:color w:val="1E293B"/>
          <w:sz w:val="22"/>
          <w:szCs w:val="22"/>
        </w:rPr>
        <w:t xml:space="preserve">Kode ICD Z55–Z65 (Persons with potential health hazards related to socioeconomic and psychosocial circumstances) menjadi rujukan sistematis untuk mendokumentasikan determinan ini dalam rekam medis, sehingga faktor sosial yang memengaruhi hasil klinis tidak hilang dari catatan layanan dan dapat ditelusuri untuk kepentingan rujukan lintas sektor. Pendokumentasian yang konsisten juga memungkinkan fasilitas layanan melakukan audit pola determinan sosial pada populasi Pasiennya dari waktu ke waktu.</w:t>
      </w:r>
    </w:p>
    <w:p>
      <w:pPr>
        <w:pStyle w:val="Heading2"/>
        <w:spacing w:after="140" w:before="260"/>
      </w:pPr>
      <w:r>
        <w:rPr>
          <w:rFonts w:ascii="Source Serif 4" w:cs="Source Serif 4" w:eastAsia="Source Serif 4" w:hAnsi="Source Serif 4"/>
          <w:b/>
          <w:bCs/>
          <w:color w:val="1E293B"/>
          <w:sz w:val="26"/>
          <w:szCs w:val="26"/>
        </w:rPr>
        <w:t xml:space="preserve">2.2 Determinan Sosial Spesifik Konteks Indonesia</w:t>
      </w:r>
    </w:p>
    <w:p>
      <w:pPr>
        <w:spacing w:after="160" w:line="276"/>
      </w:pPr>
      <w:r>
        <w:rPr>
          <w:rFonts w:ascii="IBM Plex Sans" w:cs="IBM Plex Sans" w:eastAsia="IBM Plex Sans" w:hAnsi="IBM Plex Sans"/>
          <w:color w:val="1E293B"/>
          <w:sz w:val="22"/>
          <w:szCs w:val="22"/>
        </w:rPr>
        <w:t xml:space="preserve">Pada konteks Indonesia, determinan sosial kesehatan reproduksi yang paling sering ditemui di layanan Obgin meliputi: kesenjangan akses antara wilayah perkotaan dan wilayah tertinggal, terpencil, dan perbatasan (3T); pernikahan usia anak yang berkorelasi dengan kehamilan remaja; rendahnya literasi kesehatan reproduksi pada kelompok tertentu; serta stigma sosial terhadap kehamilan di luar nikah dan korban kekerasan seksual. Dokter Spesialis Obgin berperan sebagai simpul pertama yang mengidentifikasi determinan ini dan menghubungkan Pasien dengan jejaring rujukan sosial — pekerja sosial, psikolog, lembaga bantuan hukum, maupun program perlindungan pemerintah.</w:t>
      </w:r>
    </w:p>
    <w:p>
      <w:pPr>
        <w:spacing w:after="160" w:line="276"/>
      </w:pPr>
      <w:r>
        <w:rPr>
          <w:rFonts w:ascii="IBM Plex Sans" w:cs="IBM Plex Sans" w:eastAsia="IBM Plex Sans" w:hAnsi="IBM Plex Sans"/>
          <w:color w:val="1E293B"/>
          <w:sz w:val="22"/>
          <w:szCs w:val="22"/>
        </w:rPr>
        <w:t xml:space="preserve">Kesenjangan tenaga kesehatan spesialistik antarwilayah turut menjadi determinan struktural yang relevan: rujukan berjenjang yang tidak berfungsi optimal dapat memperpanjang waktu tempuh Pasien menuju penanganan definitif pada kasus kegawatdaruratan obstetri, sehingga upaya penguatan sistem rujukan menjadi bagian tidak terpisahkan dari mitigasi determinan sosial pada level fasilitas.</w:t>
      </w:r>
    </w:p>
    <w:p>
      <w:pPr>
        <w:spacing w:after="160" w:line="276"/>
      </w:pPr>
      <w:r>
        <w:rPr>
          <w:rFonts w:ascii="IBM Plex Sans" w:cs="IBM Plex Sans" w:eastAsia="IBM Plex Sans" w:hAnsi="IBM Plex Sans"/>
          <w:color w:val="1E293B"/>
          <w:sz w:val="22"/>
          <w:szCs w:val="22"/>
        </w:rPr>
        <w:t xml:space="preserve">Data prevalensi dan tren epidemiologis terkini terkait determinan sosial ini bersifat dinamis dan wajib dirujuk pada sumber resmi terbaru. [DATA: rujuk laporan/registri resmi terbaru — mis. Kemenkes, BKKBN, POGI, WHO]</w:t>
      </w:r>
    </w:p>
    <w:p>
      <w:pPr>
        <w:pStyle w:val="Heading2"/>
        <w:spacing w:after="140" w:before="260"/>
      </w:pPr>
      <w:r>
        <w:rPr>
          <w:rFonts w:ascii="Source Serif 4" w:cs="Source Serif 4" w:eastAsia="Source Serif 4" w:hAnsi="Source Serif 4"/>
          <w:b/>
          <w:bCs/>
          <w:color w:val="1E293B"/>
          <w:sz w:val="26"/>
          <w:szCs w:val="26"/>
        </w:rPr>
        <w:t xml:space="preserve">2.3 Perbandingan dan Pengayaan Standar Internasional</w:t>
      </w:r>
    </w:p>
    <w:p>
      <w:pPr>
        <w:spacing w:after="160" w:line="276"/>
      </w:pPr>
      <w:r>
        <w:rPr>
          <w:rFonts w:ascii="IBM Plex Sans" w:cs="IBM Plex Sans" w:eastAsia="IBM Plex Sans" w:hAnsi="IBM Plex Sans"/>
          <w:color w:val="1E293B"/>
          <w:sz w:val="22"/>
          <w:szCs w:val="22"/>
        </w:rPr>
        <w:t xml:space="preserve">Standar nasional (Kepkonsil) menetapkan pendekatan holistik sebagai kompetensi payung (Tabel 7 No. 68) tanpa merinci instrumen skrining determinan sosial secara spesifik; standar internasional WHO melalui kerangka Social Determinants of Health merekomendasikan penilaian sistematis terhadap kondisi sosial-ekonomi yang membentuk hasil kesehatan, termasuk pada layanan kesehatan reproduksi; praktik di Indonesia mengikuti standar nasional dengan pendekatan holistik yang diserahkan pada penilaian klinis individual, sambil dianjurkan mengadaptasi penilaian determinan sosial secara lebih terstruktur sesuai konteks fasilitas.</w:t>
      </w:r>
    </w:p>
    <w:p>
      <w:pPr>
        <w:spacing w:after="160" w:line="276"/>
      </w:pPr>
      <w:r>
        <w:rPr>
          <w:rFonts w:ascii="IBM Plex Sans" w:cs="IBM Plex Sans" w:eastAsia="IBM Plex Sans" w:hAnsi="IBM Plex Sans"/>
          <w:color w:val="1E293B"/>
          <w:sz w:val="22"/>
          <w:szCs w:val="22"/>
        </w:rPr>
        <w:t xml:space="preserve">Tinjauan sistematis Cochrane mengenai dukungan berkelanjutan (continuous support) bagi perempuan selama persalinan menunjukkan bahwa kehadiran pendamping yang konsisten berasosiasi dengan peningkatan kemungkinan persalinan pervaginam spontan dan penurunan kebutuhan analgesia intrapartum, tanpa menimbulkan dampak merugikan — memperkuat argumen bahwa intervensi berbasis dukungan sosial memiliki manfaat klinis terukur, bukan sekadar nilai humanistik semata.</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WHO — Social Determinants of Health; Cochrane — Continuous Support for Women during Childbirth (2017)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III — Aspek Mediko-Legal Praktik Obstetri dan Ginekologi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67 (Kasus mediko-legal potensial, Z04.8/QA04.7); diperkaya Tabel 11 No. 5 (Kasus etik medikolegal, subspesialis Obstetri Ginekologi Sosial) serta Area Kompetensi 1 (Keselamatan Pasien dan Pelayanan Kesehatan) terkait shared decision-making dan informed consent.</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3.1 Persetujuan Tindakan Medis (Informed Consent)</w:t>
      </w:r>
    </w:p>
    <w:p>
      <w:pPr>
        <w:spacing w:after="160" w:line="276"/>
      </w:pPr>
      <w:r>
        <w:rPr>
          <w:rFonts w:ascii="IBM Plex Sans" w:cs="IBM Plex Sans" w:eastAsia="IBM Plex Sans" w:hAnsi="IBM Plex Sans"/>
          <w:color w:val="1E293B"/>
          <w:sz w:val="22"/>
          <w:szCs w:val="22"/>
        </w:rPr>
        <w:t xml:space="preserve">Persetujuan tindakan medis (informed consent — Ind: persetujuan tindakan medis) merupakan proses komunikasi dua arah antara dokter dan Pasien/keluarga sebelum pelaksanaan intervensi yang berdampak signifikan terhadap kondisi dan kualitas hidup Pasien, bukan sekadar dokumen penandatanganan. Kepkonsil, pada Area Kompetensi 1, menegaskan indikator bahwa sekurang-kurangnya 90% keputusan klinis harus terdokumentasi berbasis shared decision-making dan 100% informed consent ditandatangani setelah komunikasi dua arah dengan Pasien atau keluarga, diverifikasi melalui audit rekam medis.</w:t>
      </w:r>
    </w:p>
    <w:p>
      <w:pPr>
        <w:spacing w:after="160" w:line="276"/>
      </w:pPr>
      <w:r>
        <w:rPr>
          <w:rFonts w:ascii="IBM Plex Sans" w:cs="IBM Plex Sans" w:eastAsia="IBM Plex Sans" w:hAnsi="IBM Plex Sans"/>
          <w:color w:val="1E293B"/>
          <w:sz w:val="22"/>
          <w:szCs w:val="22"/>
        </w:rPr>
        <w:t xml:space="preserve">Dalam praktik Obgin, proses ini menjadi sangat penting pada tindakan dengan konsekuensi ireversibel — sterilisasi, histerektomi, terminasi kehamilan atas indikasi medis, maupun tindakan pada kegawatdaruratan obstetri yang memerlukan keputusan cepat namun tetap wajib mengomunikasikan risiko dan manfaat secara proporsional dengan waktu yang tersedia. Pada situasi kegawatdaruratan yang mengancam nyawa dan Pasien tidak dalam kondisi memberikan persetujuan, tindakan penyelamatan nyawa (life-saving) dapat dilakukan tanpa persetujuan tertulis terlebih dahulu sesuai asas kegawatdaruratan medis, dengan kewajiban mendokumentasikan alasan klinis secara rinci segera setelah tindakan.</w:t>
      </w:r>
    </w:p>
    <w:p>
      <w:pPr>
        <w:pStyle w:val="Heading2"/>
        <w:spacing w:after="140" w:before="260"/>
      </w:pPr>
      <w:r>
        <w:rPr>
          <w:rFonts w:ascii="Source Serif 4" w:cs="Source Serif 4" w:eastAsia="Source Serif 4" w:hAnsi="Source Serif 4"/>
          <w:b/>
          <w:bCs/>
          <w:color w:val="1E293B"/>
          <w:sz w:val="26"/>
          <w:szCs w:val="26"/>
        </w:rPr>
        <w:t xml:space="preserve">3.2 Rekam Medis dan Dokumentasi</w:t>
      </w:r>
    </w:p>
    <w:p>
      <w:pPr>
        <w:spacing w:after="160" w:line="276"/>
      </w:pPr>
      <w:r>
        <w:rPr>
          <w:rFonts w:ascii="IBM Plex Sans" w:cs="IBM Plex Sans" w:eastAsia="IBM Plex Sans" w:hAnsi="IBM Plex Sans"/>
          <w:color w:val="1E293B"/>
          <w:sz w:val="22"/>
          <w:szCs w:val="22"/>
        </w:rPr>
        <w:t xml:space="preserve">Rekam medis (medical record — Ind: rekam medis) adalah instrumen mediko-legal utama yang membuktikan proses pengambilan keputusan klinis telah dilakukan sesuai standar profesi. Dokumentasi yang lengkap mencakup: anamnesis, hasil pemeriksaan fisik dan penunjang, diagnosis kerja dan diagnosis banding, rasionalisasi tata laksana, catatan komunikasi risiko-manfaat, serta bukti persetujuan tindakan. Pada kasus dengan potensi implikasi hukum — termasuk kekerasan seksual, kekerasan dalam rumah tangga, atau kematian maternal — kelengkapan dan ketepatan waktu dokumentasi menjadi penentu utama keberhasilan proses hukum lanjutan, termasuk permohonan visum et repertum.</w:t>
      </w:r>
    </w:p>
    <w:p>
      <w:pPr>
        <w:spacing w:after="160" w:line="276"/>
      </w:pPr>
      <w:r>
        <w:rPr>
          <w:rFonts w:ascii="IBM Plex Sans" w:cs="IBM Plex Sans" w:eastAsia="IBM Plex Sans" w:hAnsi="IBM Plex Sans"/>
          <w:color w:val="1E293B"/>
          <w:sz w:val="22"/>
          <w:szCs w:val="22"/>
        </w:rPr>
        <w:t xml:space="preserve">Prinsip dokumentasi yang dianjurkan mencakup kejelasan kronologis, objektivitas (mencatat temuan bukan interpretasi semata), serta konsistensi antara catatan verbal dan tertulis, mengingat rekam medis dapat menjadi alat bukti dalam proses peradilan. Perubahan atau koreksi catatan setelah entri awal wajib dilakukan dengan metode yang transparan — mencoret dengan tetap dapat dibaca, mencantumkan waktu dan paraf koreksi — untuk menjaga integritas rekam medis sebagai dokumen hukum.</w:t>
      </w:r>
    </w:p>
    <w:p>
      <w:pPr>
        <w:pStyle w:val="Heading2"/>
        <w:spacing w:after="140" w:before="260"/>
      </w:pPr>
      <w:r>
        <w:rPr>
          <w:rFonts w:ascii="Source Serif 4" w:cs="Source Serif 4" w:eastAsia="Source Serif 4" w:hAnsi="Source Serif 4"/>
          <w:b/>
          <w:bCs/>
          <w:color w:val="1E293B"/>
          <w:sz w:val="26"/>
          <w:szCs w:val="26"/>
        </w:rPr>
        <w:t xml:space="preserve">3.3 Undang-Undang Nomor 17 Tahun 2023 tentang Kesehatan dan Implikasinya bagi Praktik Obgin</w:t>
      </w:r>
    </w:p>
    <w:p>
      <w:pPr>
        <w:spacing w:after="160" w:line="276"/>
      </w:pPr>
      <w:r>
        <w:rPr>
          <w:rFonts w:ascii="IBM Plex Sans" w:cs="IBM Plex Sans" w:eastAsia="IBM Plex Sans" w:hAnsi="IBM Plex Sans"/>
          <w:color w:val="1E293B"/>
          <w:sz w:val="22"/>
          <w:szCs w:val="22"/>
        </w:rPr>
        <w:t xml:space="preserve">Undang-Undang Nomor 17 Tahun 2023 tentang Kesehatan menjadi landasan hukum utama penyelenggaraan praktik kedokteran di Indonesia pasca reformasi regulasi kesehatan, termasuk menjadi dasar penerbitan Kepkonsil No. HK.01.02/KKI/1318/2026 itu sendiri (merujuk Pasal 220 ayat 2 UU 17/2023 dan Pasal 581 ayat 3 PP 28/2024). Undang-undang ini juga menjadi dasar pembentukan Konsil Kesehatan Indonesia pada Pasal 268–271, sebagai penggabungan Konsil Kedokteran Indonesia dan Konsil Tenaga Kesehatan Indonesia, dengan kewenangan menyusun standar kompetensi dan menerbitkan registrasi tenaga medis serta tenaga kesehatan.</w:t>
      </w:r>
    </w:p>
    <w:p>
      <w:pPr>
        <w:spacing w:after="160" w:line="276"/>
      </w:pPr>
      <w:r>
        <w:rPr>
          <w:rFonts w:ascii="IBM Plex Sans" w:cs="IBM Plex Sans" w:eastAsia="IBM Plex Sans" w:hAnsi="IBM Plex Sans"/>
          <w:color w:val="1E293B"/>
          <w:sz w:val="22"/>
          <w:szCs w:val="22"/>
        </w:rPr>
        <w:t xml:space="preserve">Bagi Spesialis Obgin, implikasi praktis undang-undang ini mencakup penguatan kewajiban standar profesi, standar pelayanan, dan standar prosedur operasional; penegasan hak Pasien atas informasi dan persetujuan; serta pengaturan mengenai pelayanan kesehatan reproduksi sebagai bagian dari upaya kesehatan perseorangan dan masyarakat. Spesialis Obgin wajib memastikan seluruh praktiknya — termasuk pelayanan kontrasepsi, konseling kesehatan reproduksi remaja, dan penanganan korban kekerasan — dilaksanakan sesuai standar profesi yang ditetapkan organisasi profesi dan Konsil, sebagai wujud kepatuhan terhadap kerangka hukum tersebut.</w:t>
      </w:r>
    </w:p>
    <w:p>
      <w:pPr>
        <w:pStyle w:val="Heading2"/>
        <w:spacing w:after="140" w:before="260"/>
      </w:pPr>
      <w:r>
        <w:rPr>
          <w:rFonts w:ascii="Source Serif 4" w:cs="Source Serif 4" w:eastAsia="Source Serif 4" w:hAnsi="Source Serif 4"/>
          <w:b/>
          <w:bCs/>
          <w:color w:val="1E293B"/>
          <w:sz w:val="26"/>
          <w:szCs w:val="26"/>
        </w:rPr>
        <w:t xml:space="preserve">3.4 Kasus Etik-Medikolegal Kompleks</w:t>
      </w:r>
    </w:p>
    <w:p>
      <w:pPr>
        <w:spacing w:after="160" w:line="276"/>
      </w:pPr>
      <w:r>
        <w:rPr>
          <w:rFonts w:ascii="IBM Plex Sans" w:cs="IBM Plex Sans" w:eastAsia="IBM Plex Sans" w:hAnsi="IBM Plex Sans"/>
          <w:color w:val="1E293B"/>
          <w:sz w:val="22"/>
          <w:szCs w:val="22"/>
        </w:rPr>
        <w:t xml:space="preserve">Kasus etik medikolegal (Tabel 11 No. 5, subspesialisasi Obstetri Ginekologi Sosial) mencakup situasi klinis dengan potensi permasalahan etik dan hukum yang lebih kompleks: kekerasan fisik, kasus perkosaan, penyerangan seksual disertai kekerasan fisik, masalah psikososial, riwayat trauma psikologis, kepura-puraan sakit (malingering), hingga kasus yang terkait permohonan visum et repertum. Penanganan kasus semacam ini menuntut kolaborasi lintas profesi — kedokteran forensik, psikologi/psikiatri, pekerja sosial, serta unit pelayanan terpadu perlindungan perempuan dan anak — dengan Spesialis Obgin berperan sebagai pemeriksa klinis sekaligus saksi ahli bila diperlukan.</w:t>
      </w:r>
    </w:p>
    <w:p>
      <w:pPr>
        <w:spacing w:after="160" w:line="276"/>
      </w:pPr>
      <w:r>
        <w:rPr>
          <w:rFonts w:ascii="IBM Plex Sans" w:cs="IBM Plex Sans" w:eastAsia="IBM Plex Sans" w:hAnsi="IBM Plex Sans"/>
          <w:color w:val="1E293B"/>
          <w:sz w:val="22"/>
          <w:szCs w:val="22"/>
        </w:rPr>
        <w:t xml:space="preserve">Prinsip kehati-hatian (do no further harm) wajib dipegang teguh: pemeriksaan dilakukan seminimal mungkin traumatis, dengan persetujuan eksplisit, privasi terjaga, dan dokumentasi forensik yang akurat sesuai standar rantai bukti (chain of custody), agar hasil pemeriksaan dapat digunakan secara sah dalam proses hukum tanpa menambah trauma pada korban.</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color w:val="1E293B"/>
          <w:sz w:val="22"/>
          <w:szCs w:val="22"/>
        </w:rPr>
        <w:t xml:space="preserve">Standar nasional (UU 17/2023, Kepkonsil) menetapkan kerangka umum persetujuan tindakan dan standar profesi tanpa memerinci format konsen per prosedur; standar internasional melalui FIGO Ethics and Professionalism Guidelines menekankan bahwa persetujuan tindakan harus merupakan proses berkelanjutan yang menghormati otonomi Pasien secara penuh, bukan formalitas tunggal di satu titik waktu, dengan perhatian khusus pada tindakan berisiko tinggi atau ireversibel; praktik di Indonesia mengikuti standar nasional dengan mengadopsi prinsip proses berkelanjutan tersebut sebagai praktik baik pada tingkat fasilitas.</w:t>
      </w:r>
    </w:p>
    <w:p>
      <w:pPr>
        <w:spacing w:after="160" w:line="276"/>
      </w:pPr>
      <w:r>
        <w:rPr>
          <w:rFonts w:ascii="IBM Plex Sans" w:cs="IBM Plex Sans" w:eastAsia="IBM Plex Sans" w:hAnsi="IBM Plex Sans"/>
          <w:i/>
          <w:iCs/>
          <w:color w:val="475569"/>
          <w:sz w:val="22"/>
          <w:szCs w:val="22"/>
        </w:rPr>
        <w:t xml:space="preserve">Sumber rujukan: FIGO — Ethics and Professionalism Guidelines (2021)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IV — Kontrasepsi dan Pengaturan Fertilitas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70 (Kontrasepsi, Z30/QA21.1); diperkaya Tabel 11 No. 3 (kontrasepsi pada komorbid berat/kompleks) dan No. 4 (kontrasepsi darurat pasca perkosaan/kegagalan kontrasepsi).</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4.1 Spektrum Layanan Kontrasepsi</w:t>
      </w:r>
    </w:p>
    <w:p>
      <w:pPr>
        <w:spacing w:after="160" w:line="276"/>
      </w:pPr>
      <w:r>
        <w:rPr>
          <w:rFonts w:ascii="IBM Plex Sans" w:cs="IBM Plex Sans" w:eastAsia="IBM Plex Sans" w:hAnsi="IBM Plex Sans"/>
          <w:color w:val="1E293B"/>
          <w:sz w:val="22"/>
          <w:szCs w:val="22"/>
        </w:rPr>
        <w:t xml:space="preserve">Kompetensi kontrasepsi (Tabel 7 No. 70) mencakup konseling dan pemberian nasihat umum kontrasepsi bagi wanita usia reproduksi sebagai bagian dari pengaturan fertilitas. Spektrum layanan meliputi metode kontrasepsi hormonal (pil, suntik, implan), metode kontrasepsi dalam rahim (AKDR/IUD hormonal dan non-hormonal), metode barier, metode kontrasepsi mantap (sterilisasi), hingga metode berbasis kesadaran kesuburan. Pemilihan metode wajib mempertimbangkan kriteria kelayakan medis, preferensi Pasien, serta konteks biopsikososial yang melingkupinya.</w:t>
      </w:r>
    </w:p>
    <w:p>
      <w:pPr>
        <w:pStyle w:val="Heading2"/>
        <w:spacing w:after="140" w:before="260"/>
      </w:pPr>
      <w:r>
        <w:rPr>
          <w:rFonts w:ascii="Source Serif 4" w:cs="Source Serif 4" w:eastAsia="Source Serif 4" w:hAnsi="Source Serif 4"/>
          <w:b/>
          <w:bCs/>
          <w:color w:val="1E293B"/>
          <w:sz w:val="26"/>
          <w:szCs w:val="26"/>
        </w:rPr>
        <w:t xml:space="preserve">4.2 Kontrasepsi pada Populasi Khusus</w:t>
      </w:r>
    </w:p>
    <w:p>
      <w:pPr>
        <w:spacing w:after="160" w:line="276"/>
      </w:pPr>
      <w:r>
        <w:rPr>
          <w:rFonts w:ascii="IBM Plex Sans" w:cs="IBM Plex Sans" w:eastAsia="IBM Plex Sans" w:hAnsi="IBM Plex Sans"/>
          <w:color w:val="1E293B"/>
          <w:sz w:val="22"/>
          <w:szCs w:val="22"/>
        </w:rPr>
        <w:t xml:space="preserve">Tabel 11 No. 3 Kepkonsil menetapkan kompetensi khusus untuk kontrasepsi pada kasus komorbid berat atau kompleks — Pasien dengan penyakit kardiovaskular, gangguan koagulasi, kanker hormon-sensitif, atau gangguan psikiatri berat — yang menuntut penilaian kelayakan medis lebih cermat menggunakan kerangka kriteria kelayakan medis kontrasepsi yang diakui secara internasional.</w:t>
      </w:r>
    </w:p>
    <w:p>
      <w:pPr>
        <w:spacing w:after="160" w:line="276"/>
      </w:pPr>
      <w:r>
        <w:rPr>
          <w:rFonts w:ascii="IBM Plex Sans" w:cs="IBM Plex Sans" w:eastAsia="IBM Plex Sans" w:hAnsi="IBM Plex Sans"/>
          <w:color w:val="1E293B"/>
          <w:sz w:val="22"/>
          <w:szCs w:val="22"/>
        </w:rPr>
        <w:t xml:space="preserve">Kontrasepsi darurat (Tabel 11 No. 4) merupakan kompetensi krusial pada kasus perkosaan atau kegagalan penggunaan kontrasepsi, dengan jendela waktu efektivitas hingga lima hari pascahubungan berisiko. Spesialis Obgin wajib menguasai indikasi, pilihan regimen, serta konseling lanjutan termasuk skrining infeksi menular seksual dan dukungan psikososial pada Pasien korban kekerasan seksual, dengan tetap mengacu pada prinsip kerahasiaan dan tanpa menghakimi.</w:t>
      </w:r>
    </w:p>
    <w:p>
      <w:pPr>
        <w:pStyle w:val="Heading2"/>
        <w:spacing w:after="140" w:before="260"/>
      </w:pPr>
      <w:r>
        <w:rPr>
          <w:rFonts w:ascii="Source Serif 4" w:cs="Source Serif 4" w:eastAsia="Source Serif 4" w:hAnsi="Source Serif 4"/>
          <w:b/>
          <w:bCs/>
          <w:color w:val="1E293B"/>
          <w:sz w:val="26"/>
          <w:szCs w:val="26"/>
        </w:rPr>
        <w:t xml:space="preserve">4.3 Konseling dan Pengambilan Keputusan Berimbang</w:t>
      </w:r>
    </w:p>
    <w:p>
      <w:pPr>
        <w:spacing w:after="160" w:line="276"/>
      </w:pPr>
      <w:r>
        <w:rPr>
          <w:rFonts w:ascii="IBM Plex Sans" w:cs="IBM Plex Sans" w:eastAsia="IBM Plex Sans" w:hAnsi="IBM Plex Sans"/>
          <w:color w:val="1E293B"/>
          <w:sz w:val="22"/>
          <w:szCs w:val="22"/>
        </w:rPr>
        <w:t xml:space="preserve">Konseling kontrasepsi yang berkualitas menerapkan prinsip pengambilan keputusan bersama (shared decision-making): penyampaian pilihan metode secara netral tanpa bias, diskusi dua arah mengenai manfaat dan risiko setiap metode, kesempatan bertanya, serta penghormatan terhadap otonomi Pasien untuk memilih atau menolak metode tertentu. Pendekatan ini konsisten dengan indikator Area Kompetensi 1 Kepkonsil mengenai shared decision-making dan sejalan dengan prinsip non-koersif yang ditekankan standar internasional — konseling tidak boleh diarahkan untuk memaksakan metode tertentu, termasuk metode jangka panjang, meskipun dengan niat baik meningkatkan cakupan program keluarga berencana.</w:t>
      </w:r>
    </w:p>
    <w:p>
      <w:pPr>
        <w:pStyle w:val="Heading2"/>
        <w:spacing w:after="140" w:before="260"/>
      </w:pPr>
      <w:r>
        <w:rPr>
          <w:rFonts w:ascii="Source Serif 4" w:cs="Source Serif 4" w:eastAsia="Source Serif 4" w:hAnsi="Source Serif 4"/>
          <w:b/>
          <w:bCs/>
          <w:color w:val="1E293B"/>
          <w:sz w:val="26"/>
          <w:szCs w:val="26"/>
        </w:rPr>
        <w:t xml:space="preserve">4.4 Perbandingan dan Pengayaan Standar Internasional</w:t>
      </w:r>
    </w:p>
    <w:p>
      <w:pPr>
        <w:spacing w:after="160" w:line="276"/>
      </w:pPr>
      <w:r>
        <w:rPr>
          <w:rFonts w:ascii="IBM Plex Sans" w:cs="IBM Plex Sans" w:eastAsia="IBM Plex Sans" w:hAnsi="IBM Plex Sans"/>
          <w:color w:val="1E293B"/>
          <w:sz w:val="22"/>
          <w:szCs w:val="22"/>
        </w:rPr>
        <w:t xml:space="preserve">Standar nasional (Kepkonsil) menetapkan kompetensi kontrasepsi secara umum pada Tabel 7 No. 70 tanpa merinci kerangka kelayakan medis spesifik; standar internasional WHO melalui Medical Eligibility Criteria for Contraceptive Use edisi ke-6 (2025) merekomendasikan kategorisasi empat kelas kelayakan (1–4) untuk setiap kombinasi metode kontrasepsi dan kondisi medis Pasien, dilengkapi Selected Practice Recommendations for Contraceptive Use edisi ke-4 (2025) yang mengatur cara penggunaan metode secara aman dan efektif setelah kelayakan ditetapkan; praktik di Indonesia mengikuti standar nasional dengan mengadopsi kedua kerangka WHO tersebut sebagai rujukan teknis dalam pengambilan keputusan klinis kontrasepsi, khususnya pada kasus komorbid dan populasi khusus.</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WHO — Medical Eligibility Criteria for Contraceptive Use, ed. ke-6 (2025); WHO — Selected Practice Recommendations for Contraceptive Use, ed. ke-4 (2025)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V — Kesehatan Reproduksi Remaja</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69 (Kehamilan remaja, Z35.6/QA43.5); diperkaya Tabel 11 No. 10 (Kehamilan remaja — supervisi, subspesialisasi Obstetri Ginekologi Sosial).</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5.1 Karakteristik dan Kerentanan Biopsikososial Remaja</w:t>
      </w:r>
    </w:p>
    <w:p>
      <w:pPr>
        <w:spacing w:after="160" w:line="276"/>
      </w:pPr>
      <w:r>
        <w:rPr>
          <w:rFonts w:ascii="IBM Plex Sans" w:cs="IBM Plex Sans" w:eastAsia="IBM Plex Sans" w:hAnsi="IBM Plex Sans"/>
          <w:color w:val="1E293B"/>
          <w:sz w:val="22"/>
          <w:szCs w:val="22"/>
        </w:rPr>
        <w:t xml:space="preserve">Remaja (adolescent) berada pada fase transisi biologis, psikologis, dan sosial yang membuat mereka rentan secara khusus terhadap risiko kesehatan reproduksi: organ reproduksi yang belum sepenuhnya matur meningkatkan risiko komplikasi obstetri, kematangan kognitif dan emosional yang masih berkembang memengaruhi kapasitas pengambilan keputusan, sementara tekanan sosial — termasuk pernikahan usia anak, putus sekolah, dan stigma — memperberat beban psikososial yang dihadapi.</w:t>
      </w:r>
    </w:p>
    <w:p>
      <w:pPr>
        <w:pStyle w:val="Heading2"/>
        <w:spacing w:after="140" w:before="260"/>
      </w:pPr>
      <w:r>
        <w:rPr>
          <w:rFonts w:ascii="Source Serif 4" w:cs="Source Serif 4" w:eastAsia="Source Serif 4" w:hAnsi="Source Serif 4"/>
          <w:b/>
          <w:bCs/>
          <w:color w:val="1E293B"/>
          <w:sz w:val="26"/>
          <w:szCs w:val="26"/>
        </w:rPr>
        <w:t xml:space="preserve">5.2 Kehamilan Remaja dan Tata Laksana Suportif</w:t>
      </w:r>
    </w:p>
    <w:p>
      <w:pPr>
        <w:spacing w:after="160" w:line="276"/>
      </w:pPr>
      <w:r>
        <w:rPr>
          <w:rFonts w:ascii="IBM Plex Sans" w:cs="IBM Plex Sans" w:eastAsia="IBM Plex Sans" w:hAnsi="IBM Plex Sans"/>
          <w:color w:val="1E293B"/>
          <w:sz w:val="22"/>
          <w:szCs w:val="22"/>
        </w:rPr>
        <w:t xml:space="preserve">Kehamilan remaja (Tabel 7 No. 69; Tabel 11 No. 10) menuntut pendekatan supervisi yang berbeda dari kehamilan pada usia reproduksi optimal, mengingat peningkatan risiko preeklampsia, anemia, persalinan preterm, dan berat bayi lahir rendah. Tata laksana suportif mencakup pemantauan antenatal yang lebih intensif, dukungan nutrisi, skrining kesehatan mental (mengingat tingginya risiko depresi dan ansietas pada kehamilan remaja), serta keterlibatan keluarga dan sistem pendukung sosial sepanjang memungkinkan dan sesuai dengan kepentingan terbaik remaja tersebut.</w:t>
      </w:r>
    </w:p>
    <w:p>
      <w:pPr>
        <w:spacing w:after="160" w:line="276"/>
      </w:pPr>
      <w:r>
        <w:rPr>
          <w:rFonts w:ascii="IBM Plex Sans" w:cs="IBM Plex Sans" w:eastAsia="IBM Plex Sans" w:hAnsi="IBM Plex Sans"/>
          <w:color w:val="1E293B"/>
          <w:sz w:val="22"/>
          <w:szCs w:val="22"/>
        </w:rPr>
        <w:t xml:space="preserve">Aspek mediko-legal turut relevan pada populasi ini: kehamilan remaja di bawah usia tertentu berpotensi mengindikasikan kekerasan seksual atau eksploitasi, sehingga skrining dan penilaian konteks kehamilan menjadi bagian tidak terpisahkan dari asuhan antenatal remaja. Setiap temuan yang mengarah pada kekerasan atau eksploitasi wajib ditindaklanjuti mengikuti alur mediko-legal yang dibahas pada Bab III dan Bab VII.</w:t>
      </w:r>
    </w:p>
    <w:p>
      <w:pPr>
        <w:pStyle w:val="Heading2"/>
        <w:spacing w:after="140" w:before="260"/>
      </w:pPr>
      <w:r>
        <w:rPr>
          <w:rFonts w:ascii="Source Serif 4" w:cs="Source Serif 4" w:eastAsia="Source Serif 4" w:hAnsi="Source Serif 4"/>
          <w:b/>
          <w:bCs/>
          <w:color w:val="1E293B"/>
          <w:sz w:val="26"/>
          <w:szCs w:val="26"/>
        </w:rPr>
        <w:t xml:space="preserve">5.3 Layanan Ramah Remaja (Adolescent-Friendly Services)</w:t>
      </w:r>
    </w:p>
    <w:p>
      <w:pPr>
        <w:spacing w:after="160" w:line="276"/>
      </w:pPr>
      <w:r>
        <w:rPr>
          <w:rFonts w:ascii="IBM Plex Sans" w:cs="IBM Plex Sans" w:eastAsia="IBM Plex Sans" w:hAnsi="IBM Plex Sans"/>
          <w:color w:val="1E293B"/>
          <w:sz w:val="22"/>
          <w:szCs w:val="22"/>
        </w:rPr>
        <w:t xml:space="preserve">Layanan kesehatan reproduksi ramah remaja dicirikan oleh aksesibilitas, kerahasiaan, sikap non-judgmental tenaga kesehatan, serta ruang konsultasi yang memberi rasa aman bagi remaja untuk mengungkapkan permasalahan tanpa rasa takut dihakimi. Prinsip ini mencakup pemberian informasi kontrasepsi dan kesehatan reproduksi secara komprehensif dan berbasis bukti, sambil tetap menghormati konteks budaya dan hukum yang mengatur usia persetujuan (age of consent) di Indonesia.</w:t>
      </w:r>
    </w:p>
    <w:p>
      <w:pPr>
        <w:pStyle w:val="Heading2"/>
        <w:spacing w:after="140" w:before="260"/>
      </w:pPr>
      <w:r>
        <w:rPr>
          <w:rFonts w:ascii="Source Serif 4" w:cs="Source Serif 4" w:eastAsia="Source Serif 4" w:hAnsi="Source Serif 4"/>
          <w:b/>
          <w:bCs/>
          <w:color w:val="1E293B"/>
          <w:sz w:val="26"/>
          <w:szCs w:val="26"/>
        </w:rPr>
        <w:t xml:space="preserve">5.4 Perbandingan dan Pengayaan Standar Internasional</w:t>
      </w:r>
    </w:p>
    <w:p>
      <w:pPr>
        <w:spacing w:after="160" w:line="276"/>
      </w:pPr>
      <w:r>
        <w:rPr>
          <w:rFonts w:ascii="IBM Plex Sans" w:cs="IBM Plex Sans" w:eastAsia="IBM Plex Sans" w:hAnsi="IBM Plex Sans"/>
          <w:color w:val="1E293B"/>
          <w:sz w:val="22"/>
          <w:szCs w:val="22"/>
        </w:rPr>
        <w:t xml:space="preserve">Standar nasional (Kepkonsil) menetapkan kompetensi kehamilan remaja dan supervisinya (Tabel 7 No. 69; Tabel 11 No. 10) sebagai kompetensi wajib tanpa merinci model layanan ramah remaja secara spesifik; standar internasional WHO melalui WHO Guideline on Preventing Early Pregnancy and Poor Reproductive Outcomes among Adolescents in Low- and Middle-Income Countries (2025) merekomendasikan kombinasi intervensi berbasis pendidikan, akses kontrasepsi bagi remaja, serta pencegahan pernikahan anak sebagai strategi pencegahan kehamilan remaja yang efektif; praktik di Indonesia mengikuti standar nasional dengan mendorong adopsi elemen-elemen strategi tersebut sesuai konteks program kesehatan reproduksi remaja nasional.</w:t>
      </w:r>
    </w:p>
    <w:p>
      <w:pPr>
        <w:spacing w:after="160" w:line="276"/>
      </w:pPr>
      <w:r>
        <w:rPr>
          <w:rFonts w:ascii="IBM Plex Sans" w:cs="IBM Plex Sans" w:eastAsia="IBM Plex Sans" w:hAnsi="IBM Plex Sans"/>
          <w:color w:val="1E293B"/>
          <w:sz w:val="22"/>
          <w:szCs w:val="22"/>
        </w:rPr>
        <w:t xml:space="preserve">ICM Essential Competencies for Midwifery Practice edisi 2024 turut menjadi rujukan pengayaan, khususnya pada kategori baru mengenai kesehatan dan hak seksual-reproduksi (sexual and reproductive health and rights) yang memperkuat kolaborasi interprofesi antara Spesialis Obgin dan bidan dalam pendampingan remaja hamil di layanan primer.</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WHO — Guideline on Preventing Early Pregnancy among Adolescents (2025); ICM — Essential Competencies for Midwifery Practice (2024)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VI — Vaksinasi pada Perempuan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73 (Vaksinasi pada perempuan, Z33.1; Z31.84/QC02.Z).</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6.1 Prinsip Vaksinasi Sepanjang Siklus Hidup Reproduksi</w:t>
      </w:r>
    </w:p>
    <w:p>
      <w:pPr>
        <w:spacing w:after="160" w:line="276"/>
      </w:pPr>
      <w:r>
        <w:rPr>
          <w:rFonts w:ascii="IBM Plex Sans" w:cs="IBM Plex Sans" w:eastAsia="IBM Plex Sans" w:hAnsi="IBM Plex Sans"/>
          <w:color w:val="1E293B"/>
          <w:sz w:val="22"/>
          <w:szCs w:val="22"/>
        </w:rPr>
        <w:t xml:space="preserve">Kompetensi vaksinasi pada perempuan (Tabel 7 No. 73) menempatkan Spesialis Obgin sebagai simpul penting dalam kontinum imunisasi sepanjang siklus hidup reproduksi perempuan — mulai dari vaksinasi human papillomavirus (HPV) pada remaja sebagai pencegahan primer kanker serviks, vaksinasi prakonsepsi, vaksinasi selama kehamilan, hingga vaksinasi pascasalin.</w:t>
      </w:r>
    </w:p>
    <w:p>
      <w:pPr>
        <w:pStyle w:val="Heading2"/>
        <w:spacing w:after="140" w:before="260"/>
      </w:pPr>
      <w:r>
        <w:rPr>
          <w:rFonts w:ascii="Source Serif 4" w:cs="Source Serif 4" w:eastAsia="Source Serif 4" w:hAnsi="Source Serif 4"/>
          <w:b/>
          <w:bCs/>
          <w:color w:val="1E293B"/>
          <w:sz w:val="26"/>
          <w:szCs w:val="26"/>
        </w:rPr>
        <w:t xml:space="preserve">6.2 Vaksinasi pada Kehamilan dan Prakonsepsi</w:t>
      </w:r>
    </w:p>
    <w:p>
      <w:pPr>
        <w:spacing w:after="160" w:line="276"/>
      </w:pPr>
      <w:r>
        <w:rPr>
          <w:rFonts w:ascii="IBM Plex Sans" w:cs="IBM Plex Sans" w:eastAsia="IBM Plex Sans" w:hAnsi="IBM Plex Sans"/>
          <w:color w:val="1E293B"/>
          <w:sz w:val="22"/>
          <w:szCs w:val="22"/>
        </w:rPr>
        <w:t xml:space="preserve">Vaksinasi pada kehamilan memerlukan pertimbangan khusus mengenai jenis vaksin yang aman diberikan: vaksin inaktif (misalnya influenza dan tetanus-difteri-pertusis aselular/Tdap) umumnya aman diberikan pada kehamilan, sementara vaksin hidup dilemahkan umumnya dikontraindikasikan. Sebagai acuan teknis terkini, ACOG melalui Committee Statement No. 26 (2026) merekomendasikan vaksinasi Tdap secara rutin pada setiap kehamilan — idealnya pada awal rentang usia gestasi 27–36 minggu — serta vaksinasi influenza inaktif atau rekombinan pada trimester berapa pun selama musim influenza.</w:t>
      </w:r>
    </w:p>
    <w:p>
      <w:pPr>
        <w:spacing w:after="160" w:line="276"/>
      </w:pPr>
      <w:r>
        <w:rPr>
          <w:rFonts w:ascii="IBM Plex Sans" w:cs="IBM Plex Sans" w:eastAsia="IBM Plex Sans" w:hAnsi="IBM Plex Sans"/>
          <w:color w:val="1E293B"/>
          <w:sz w:val="22"/>
          <w:szCs w:val="22"/>
        </w:rPr>
        <w:t xml:space="preserve">Konseling prakonsepsi menjadi momentum penting untuk menilai status imunisasi dan melengkapi vaksinasi yang tertunda sebelum kehamilan terjadi, khususnya vaksin hidup dilemahkan yang tidak dapat diberikan selama kehamilan. Vaksinasi HPV pada remaja sebelum paparan seksual pertama memberikan perlindungan optimal terhadap tipe HPV onkogenik utama penyebab kanker serviks.</w:t>
      </w:r>
    </w:p>
    <w:p>
      <w:pPr>
        <w:pStyle w:val="Heading2"/>
        <w:spacing w:after="140" w:before="260"/>
      </w:pPr>
      <w:r>
        <w:rPr>
          <w:rFonts w:ascii="Source Serif 4" w:cs="Source Serif 4" w:eastAsia="Source Serif 4" w:hAnsi="Source Serif 4"/>
          <w:b/>
          <w:bCs/>
          <w:color w:val="1E293B"/>
          <w:sz w:val="26"/>
          <w:szCs w:val="26"/>
        </w:rPr>
        <w:t xml:space="preserve">6.3 Perbandingan dan Pengayaan Standar Internasional</w:t>
      </w:r>
    </w:p>
    <w:p>
      <w:pPr>
        <w:spacing w:after="160" w:line="276"/>
      </w:pPr>
      <w:r>
        <w:rPr>
          <w:rFonts w:ascii="IBM Plex Sans" w:cs="IBM Plex Sans" w:eastAsia="IBM Plex Sans" w:hAnsi="IBM Plex Sans"/>
          <w:color w:val="1E293B"/>
          <w:sz w:val="22"/>
          <w:szCs w:val="22"/>
        </w:rPr>
        <w:t xml:space="preserve">Standar nasional (Kepkonsil) menetapkan vaksinasi pada perempuan sebagai kompetensi wajib (Tabel 7 No. 73) tanpa merinci jadwal spesifik per jenis vaksin dan trimester; standar internasional ACOG melalui Committee Statement No. 26 (2026) menerbitkan jadwal imunisasi maternal terperinci yang memetakan jenis vaksin, jendela waktu gestasi optimal, dan kontraindikasi secara spesifik, sementara WHO melalui Position Paper Vaksin HPV (2022) menetapkan rekomendasi jadwal dosis HPV termasuk skema satu atau dua dosis bagi remaja usia 9–14 tahun; praktik di Indonesia mengikuti standar nasional dengan mengacu pada jadwal imunisasi program nasional Kementerian Kesehatan serta mengadaptasi rekomendasi ACOG/WHO untuk kondisi klinis yang belum diatur dalam program nasional.</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ACOG — Committee Statement No. 26, Maternal Immunizations (2026); WHO — Position Paper, Vaksin HPV (Desember 2022)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VII — Kekerasan terhadap Perempuan: Deteksi dan Rujukan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Tabel 7 No. 67 (Kasus mediko-legal potensial); diperkaya Tabel 11 No. 5 (Kasus etik medikolegal) dan No. 16 (Korban KDRT, T74.1; Z63.4/6B40; XE041).</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7.1 Spektrum dan Beban Kekerasan terhadap Perempuan</w:t>
      </w:r>
    </w:p>
    <w:p>
      <w:pPr>
        <w:spacing w:after="160" w:line="276"/>
      </w:pPr>
      <w:r>
        <w:rPr>
          <w:rFonts w:ascii="IBM Plex Sans" w:cs="IBM Plex Sans" w:eastAsia="IBM Plex Sans" w:hAnsi="IBM Plex Sans"/>
          <w:color w:val="1E293B"/>
          <w:sz w:val="22"/>
          <w:szCs w:val="22"/>
        </w:rPr>
        <w:t xml:space="preserve">Kekerasan terhadap perempuan mencakup spektrum luas: kekerasan dalam rumah tangga (KDRT — Tabel 11 No. 16), kekerasan seksual, kekerasan psikologis, hingga eksploitasi. Dalam layanan Obgin, korban kekerasan dapat hadir dengan presentasi klinis yang tidak selalu eksplisit — nyeri panggul kronik tanpa penyebab organik jelas, kehamilan yang tidak diinginkan, infeksi menular seksual berulang, atau ketidakhadiran pasangan yang konsisten pada kunjungan antenatal — sehingga kewaspadaan klinis (index of suspicion) menjadi kunci deteksi dini.</w:t>
      </w:r>
    </w:p>
    <w:p>
      <w:pPr>
        <w:pStyle w:val="Heading2"/>
        <w:spacing w:after="140" w:before="260"/>
      </w:pPr>
      <w:r>
        <w:rPr>
          <w:rFonts w:ascii="Source Serif 4" w:cs="Source Serif 4" w:eastAsia="Source Serif 4" w:hAnsi="Source Serif 4"/>
          <w:b/>
          <w:bCs/>
          <w:color w:val="1E293B"/>
          <w:sz w:val="26"/>
          <w:szCs w:val="26"/>
        </w:rPr>
        <w:t xml:space="preserve">7.2 Skrining dan Deteksi Dini</w:t>
      </w:r>
    </w:p>
    <w:p>
      <w:pPr>
        <w:spacing w:after="160" w:line="276"/>
      </w:pPr>
      <w:r>
        <w:rPr>
          <w:rFonts w:ascii="IBM Plex Sans" w:cs="IBM Plex Sans" w:eastAsia="IBM Plex Sans" w:hAnsi="IBM Plex Sans"/>
          <w:color w:val="1E293B"/>
          <w:sz w:val="22"/>
          <w:szCs w:val="22"/>
        </w:rPr>
        <w:t xml:space="preserve">Skrining kekerasan idealnya dilakukan pada ruang privat tanpa kehadiran pasangan atau anggota keluarga yang berpotensi menjadi pelaku, menggunakan pertanyaan langsung namun empatik ketika kondisi klinis yang dihadapi Pasien konsisten dengan kemungkinan kekerasan. Tenaga kesehatan wajib peka terhadap tanda fisik (red flags) seperti pola cedera yang tidak konsisten dengan riwayat yang disampaikan, serta tanda psikologis seperti kecemasan berlebihan atau perilaku menghindar.</w:t>
      </w:r>
    </w:p>
    <w:p>
      <w:pPr>
        <w:pStyle w:val="Heading2"/>
        <w:spacing w:after="140" w:before="260"/>
      </w:pPr>
      <w:r>
        <w:rPr>
          <w:rFonts w:ascii="Source Serif 4" w:cs="Source Serif 4" w:eastAsia="Source Serif 4" w:hAnsi="Source Serif 4"/>
          <w:b/>
          <w:bCs/>
          <w:color w:val="1E293B"/>
          <w:sz w:val="26"/>
          <w:szCs w:val="26"/>
        </w:rPr>
        <w:t xml:space="preserve">7.3 Alur Rujukan dan Dokumentasi Forensik</w:t>
      </w:r>
    </w:p>
    <w:p>
      <w:pPr>
        <w:spacing w:after="160" w:line="276"/>
      </w:pPr>
      <w:r>
        <w:rPr>
          <w:rFonts w:ascii="IBM Plex Sans" w:cs="IBM Plex Sans" w:eastAsia="IBM Plex Sans" w:hAnsi="IBM Plex Sans"/>
          <w:color w:val="1E293B"/>
          <w:sz w:val="22"/>
          <w:szCs w:val="22"/>
        </w:rPr>
        <w:t xml:space="preserve">Deteksi kasus kekerasan wajib diikuti alur rujukan yang jelas: unit pelayanan terpadu perlindungan perempuan dan anak, layanan psikologi/psikiatri, lembaga bantuan hukum, serta aparat penegak hukum bila Pasien berkenan. Dokumentasi forensik — termasuk permohonan visum et repertum bila diperlukan — harus dilakukan sesuai standar rantai bukti, dengan persetujuan Pasien dan penjelasan jujur mengenai konsekuensi serta manfaat pelaporan formal, tanpa memaksakan pilihan tertentu kepada Pasien.</w:t>
      </w:r>
    </w:p>
    <w:p>
      <w:pPr>
        <w:pStyle w:val="Heading2"/>
        <w:spacing w:after="140" w:before="260"/>
      </w:pPr>
      <w:r>
        <w:rPr>
          <w:rFonts w:ascii="Source Serif 4" w:cs="Source Serif 4" w:eastAsia="Source Serif 4" w:hAnsi="Source Serif 4"/>
          <w:b/>
          <w:bCs/>
          <w:color w:val="1E293B"/>
          <w:sz w:val="26"/>
          <w:szCs w:val="26"/>
        </w:rPr>
        <w:t xml:space="preserve">7.4 Perbandingan dan Pengayaan Standar Internasional</w:t>
      </w:r>
    </w:p>
    <w:p>
      <w:pPr>
        <w:spacing w:after="160" w:line="276"/>
      </w:pPr>
      <w:r>
        <w:rPr>
          <w:rFonts w:ascii="IBM Plex Sans" w:cs="IBM Plex Sans" w:eastAsia="IBM Plex Sans" w:hAnsi="IBM Plex Sans"/>
          <w:color w:val="1E293B"/>
          <w:sz w:val="22"/>
          <w:szCs w:val="22"/>
        </w:rPr>
        <w:t xml:space="preserve">Standar nasional (Kepkonsil) menetapkan kompetensi penanganan kasus mediko-legal dan KDRT sebagai bagian dari Tabel 7 dan Tabel 11 tanpa merinci instrumen skrining kekerasan yang baku; standar internasional WHO melalui WHO Clinical and Policy Guidelines: Responding to Intimate Partner Violence and Sexual Violence against Women (2013) merekomendasikan pendekatan LIVES (Listen, Inquire, Validate, Enhance safety, Support) sebagai kerangka respons klinis terstandar; praktik di Indonesia mengikuti standar nasional dengan mengadopsi kerangka LIVES sebagai praktik baik yang dianjurkan pada tingkat fasilitas pendidikan dan pelayanan. Pembaruan pedoman WHO tersebut sedang berlangsung melalui kelompok pengembang pedoman yang dibentuk WHO sejak akhir 2024 dan belum diterbitkan per Agustus 2026, sehingga edisi 2013 tetap menjadi rujukan resmi yang berlaku.</w:t>
      </w:r>
    </w:p>
    <w:p>
      <w:pPr>
        <w:spacing w:after="160" w:line="276"/>
      </w:pPr>
      <w:r>
        <w:rPr>
          <w:rFonts w:ascii="IBM Plex Sans" w:cs="IBM Plex Sans" w:eastAsia="IBM Plex Sans" w:hAnsi="IBM Plex Sans"/>
          <w:color w:val="1E293B"/>
          <w:sz w:val="22"/>
          <w:szCs w:val="22"/>
        </w:rPr>
        <w:t xml:space="preserve">FIGO Ethics and Professionalism Guidelines turut menjadi rujukan pengayaan tambahan mengenai kewajiban profesional dokter Obgin dalam merespons kekerasan berbasis gender secara etis dan tanpa menghakimi korban.</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WHO — Clinical and Policy Guidelines, Kekerasan terhadap Perempuan (2013); FIGO — Ethics and Professionalism Guidelines (2021)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VIII — Perbandingan Standar Internasional: Kesehatan Seksual-Reproduksi WHO dan Pedoman Etik FIGO</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Sintesis lintas-bab merujuk Tabel 7 No. 67–70, 73, disandingkan dengan kerangka kesehatan seksual-reproduksi WHO dan pedoman etik FIGO sebagai pembanding non-superior.</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8.1 Kerangka Kesehatan Seksual dan Reproduksi WHO</w:t>
      </w:r>
    </w:p>
    <w:p>
      <w:pPr>
        <w:spacing w:after="160" w:line="276"/>
      </w:pPr>
      <w:r>
        <w:rPr>
          <w:rFonts w:ascii="IBM Plex Sans" w:cs="IBM Plex Sans" w:eastAsia="IBM Plex Sans" w:hAnsi="IBM Plex Sans"/>
          <w:color w:val="1E293B"/>
          <w:sz w:val="22"/>
          <w:szCs w:val="22"/>
        </w:rPr>
        <w:t xml:space="preserve">WHO mendefinisikan kesehatan seksual dan reproduksi sebagai keadaan sejahtera fisik, mental, dan sosial yang utuh dalam segala hal yang berkaitan dengan sistem reproduksi, bukan sekadar tidak adanya penyakit atau disfungsi. Determinan sosial kesehatan menjadi salah satu pilar utama kerangka ini, sebagaimana ditegaskan dalam program kerja WHO mengenai Social Determinants of Health — memperkuat argumen bahwa kesehatan maternal dan reproduksi tidak dapat dipisahkan dari konteks sosial-ekonomi tempat Pasien hidup.</w:t>
      </w:r>
    </w:p>
    <w:p>
      <w:pPr>
        <w:pStyle w:val="Heading2"/>
        <w:spacing w:after="140" w:before="260"/>
      </w:pPr>
      <w:r>
        <w:rPr>
          <w:rFonts w:ascii="Source Serif 4" w:cs="Source Serif 4" w:eastAsia="Source Serif 4" w:hAnsi="Source Serif 4"/>
          <w:b/>
          <w:bCs/>
          <w:color w:val="1E293B"/>
          <w:sz w:val="26"/>
          <w:szCs w:val="26"/>
        </w:rPr>
        <w:t xml:space="preserve">8.2 Pedoman Etik FIGO dan Relevansinya</w:t>
      </w:r>
    </w:p>
    <w:p>
      <w:pPr>
        <w:spacing w:after="160" w:line="276"/>
      </w:pPr>
      <w:r>
        <w:rPr>
          <w:rFonts w:ascii="IBM Plex Sans" w:cs="IBM Plex Sans" w:eastAsia="IBM Plex Sans" w:hAnsi="IBM Plex Sans"/>
          <w:color w:val="1E293B"/>
          <w:sz w:val="22"/>
          <w:szCs w:val="22"/>
        </w:rPr>
        <w:t xml:space="preserve">Federation of Gynecology and Obstetrics (FIGO), melalui Ethics and Professionalism Guidelines yang disusun oleh Komite Aspek Etik dan Profesional Reproduksi Manusia dan Kesehatan Perempuan, menetapkan prinsip otonomi Pasien, keadilan akses layanan, non-maleficence dalam tindakan reproduktif, serta kewajiban profesional dalam merespons kekerasan berbasis gender dan melindungi populasi rentan termasuk remaja. Pedoman ini memperkaya — bukan menggantikan — kerangka etik dan hukum nasional yang telah ditetapkan melalui UU 17/2023 dan Kepkonsil.</w:t>
      </w:r>
    </w:p>
    <w:p>
      <w:pPr>
        <w:pStyle w:val="Heading2"/>
        <w:spacing w:after="140" w:before="260"/>
      </w:pPr>
      <w:r>
        <w:rPr>
          <w:rFonts w:ascii="Source Serif 4" w:cs="Source Serif 4" w:eastAsia="Source Serif 4" w:hAnsi="Source Serif 4"/>
          <w:b/>
          <w:bCs/>
          <w:color w:val="1E293B"/>
          <w:sz w:val="26"/>
          <w:szCs w:val="26"/>
        </w:rPr>
        <w:t xml:space="preserve">8.3 Sintesis Perbandingan: Nasional dan Internasional</w:t>
      </w:r>
    </w:p>
    <w:p>
      <w:pPr>
        <w:spacing w:after="160" w:line="276"/>
      </w:pPr>
      <w:r>
        <w:rPr>
          <w:rFonts w:ascii="IBM Plex Sans" w:cs="IBM Plex Sans" w:eastAsia="IBM Plex Sans" w:hAnsi="IBM Plex Sans"/>
          <w:color w:val="1E293B"/>
          <w:sz w:val="22"/>
          <w:szCs w:val="22"/>
        </w:rPr>
        <w:t xml:space="preserve">Secara umum, standar nasional (Kepkonsil) menetapkan kompetensi pada tingkat capaian kompetensi (apa yang harus mampu dilakukan seorang Spesialis Obgin) tanpa selalu merinci instrumen atau protokol teknis operasional; standar internasional (WHO, FIGO, ACOG, ICM, Cochrane) umumnya menyediakan instrumen, kerangka kerja, dan protokol teknis yang lebih terperinci untuk mengoperasionalkan kompetensi tersebut. Praktik di Indonesia secara konsisten mengikuti standar nasional sebagai acuan utama otoritatif, sambil memanfaatkan instrumen dan kerangka internasional sebagai pengayaan teknis pada level implementasi — bukan sebagai pengganti kewajiban regulatif nasional.</w:t>
      </w:r>
    </w:p>
    <w:p>
      <w:pPr>
        <w:spacing w:after="160" w:line="276"/>
      </w:pPr>
      <w:r>
        <w:rPr>
          <w:rFonts w:ascii="IBM Plex Sans" w:cs="IBM Plex Sans" w:eastAsia="IBM Plex Sans" w:hAnsi="IBM Plex Sans"/>
          <w:color w:val="1E293B"/>
          <w:sz w:val="22"/>
          <w:szCs w:val="22"/>
        </w:rPr>
        <w:t xml:space="preserve">Pendekatan berlapis ini — nasional sebagai kerangka wajib, internasional sebagai pengayaan non-superior — konsisten diterapkan di seluruh bab substantif buku ini (Bab II hingga Bab VII), sebagaimana disyaratkan pada aturan pengayaan internasional ekosistem literatur SpOG.</w:t>
      </w:r>
    </w:p>
    <w:p>
      <w:pPr>
        <w:pStyle w:val="Heading3"/>
        <w:spacing w:after="120" w:before="200"/>
      </w:pPr>
      <w:r>
        <w:rPr>
          <w:rFonts w:ascii="Source Serif 4" w:cs="Source Serif 4" w:eastAsia="Source Serif 4" w:hAnsi="Source Serif 4"/>
          <w:b/>
          <w:bCs/>
          <w:color w:val="B45309"/>
          <w:sz w:val="23"/>
          <w:szCs w:val="23"/>
        </w:rPr>
        <w:t xml:space="preserve">Perbandingan dan Pengayaan Standar Internasional</w:t>
      </w:r>
    </w:p>
    <w:p>
      <w:pPr>
        <w:spacing w:after="160" w:line="276"/>
      </w:pPr>
      <w:r>
        <w:rPr>
          <w:rFonts w:ascii="IBM Plex Sans" w:cs="IBM Plex Sans" w:eastAsia="IBM Plex Sans" w:hAnsi="IBM Plex Sans"/>
          <w:i/>
          <w:iCs/>
          <w:color w:val="475569"/>
          <w:sz w:val="22"/>
          <w:szCs w:val="22"/>
        </w:rPr>
        <w:t xml:space="preserve">Sumber rujukan: WHO — Social Determinants of Health; FIGO — Ethics and Professionalism Guidelines (2021) — lihat Kepustakaan.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IX — Buku Ini sebagai Wujud Penuh Kontribusi Divisi Obstetri Ginekologi Sosial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color="auto" w:val="clear"/>
            <w:tcMar>
              <w:top w:type="dxa" w:w="160"/>
              <w:left w:type="dxa" w:w="200"/>
              <w:bottom w:type="dxa" w:w="160"/>
              <w:right w:type="dxa" w:w="200"/>
            </w:tcMar>
          </w:tcPr>
          <w:p>
            <w:pPr>
              <w:spacing w:after="80"/>
            </w:pPr>
            <w:r>
              <w:rPr>
                <w:rFonts w:ascii="IBM Plex Sans" w:cs="IBM Plex Sans" w:eastAsia="IBM Plex Sans" w:hAnsi="IBM Plex Sans"/>
                <w:b/>
                <w:bCs/>
                <w:cap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Pemetaan resmi lima subspesialis Kepkonsil; Tabel 11 Kepkonsil (Spektrum Penyakit dan Kondisi Klinis Subspesialis Obstetri Ginekologi Sosial).</w:t>
            </w:r>
          </w:p>
        </w:tc>
      </w:tr>
    </w:tbl>
    <w:p>
      <w:pPr>
        <w:spacing w:after="120"/>
      </w:pPr>
    </w:p>
    <w:p>
      <w:pPr>
        <w:pStyle w:val="Heading2"/>
        <w:spacing w:after="140" w:before="260"/>
      </w:pPr>
      <w:r>
        <w:rPr>
          <w:rFonts w:ascii="Source Serif 4" w:cs="Source Serif 4" w:eastAsia="Source Serif 4" w:hAnsi="Source Serif 4"/>
          <w:b/>
          <w:bCs/>
          <w:color w:val="1E293B"/>
          <w:sz w:val="26"/>
          <w:szCs w:val="26"/>
        </w:rPr>
        <w:t xml:space="preserve">9.A Deskripsi</w:t>
      </w:r>
    </w:p>
    <w:p>
      <w:pPr>
        <w:spacing w:after="160" w:line="276"/>
      </w:pPr>
      <w:r>
        <w:rPr>
          <w:rFonts w:ascii="IBM Plex Sans" w:cs="IBM Plex Sans" w:eastAsia="IBM Plex Sans" w:hAnsi="IBM Plex Sans"/>
          <w:color w:val="1E293B"/>
          <w:sz w:val="22"/>
          <w:szCs w:val="22"/>
        </w:rPr>
        <w:t xml:space="preserve">Buku tematik B11 ini disusun sepenuhnya di bawah pengampuan Divisi Obstetri Ginekologi Sosial, berbeda dari buku tematik lain dalam ekosistem literatur SpOG yang umumnya memuat kotak kontribusi divisi sebagai satu bagian di antara beberapa perspektif. Relevansi divisi ini terhadap keseluruhan buku bersifat menyeluruh karena kedokteran sosial, mediko-legal, kontrasepsi, kesehatan reproduksi remaja, vaksinasi, dan penanganan kekerasan terhadap perempuan merupakan inti kompetensi Subspesialis Obstetri Ginekologi Sosial sebagaimana ditetapkan pada Tabel 11 Kepkonsil.</w:t>
      </w:r>
    </w:p>
    <w:p>
      <w:pPr>
        <w:pStyle w:val="Heading2"/>
        <w:spacing w:after="140" w:before="260"/>
      </w:pPr>
      <w:r>
        <w:rPr>
          <w:rFonts w:ascii="Source Serif 4" w:cs="Source Serif 4" w:eastAsia="Source Serif 4" w:hAnsi="Source Serif 4"/>
          <w:b/>
          <w:bCs/>
          <w:color w:val="1E293B"/>
          <w:sz w:val="26"/>
          <w:szCs w:val="26"/>
        </w:rPr>
        <w:t xml:space="preserve">9.B Kerangka Analisis Terpadu: Dari Kompetensi Individual menuju Praktik Sosial yang Berkeadilan</w:t>
      </w:r>
    </w:p>
    <w:p>
      <w:pPr>
        <w:spacing w:after="160" w:line="276"/>
      </w:pPr>
      <w:r>
        <w:rPr>
          <w:rFonts w:ascii="IBM Plex Sans" w:cs="IBM Plex Sans" w:eastAsia="IBM Plex Sans" w:hAnsi="IBM Plex Sans"/>
          <w:color w:val="1E293B"/>
          <w:sz w:val="22"/>
          <w:szCs w:val="22"/>
        </w:rPr>
        <w:t xml:space="preserve">Divisi Obstetri Ginekologi Sosial memandang bahwa penguasaan teknis semata — pemilihan metode kontrasepsi yang tepat, kemampuan mengisi rekam medis yang lengkap, atau hafalan jadwal vaksinasi — belum cukup untuk mewujudkan praktik Obgin yang berkeadilan sosial. Diperlukan kerangka analisis terpadu yang menghubungkan tiga lapis: lapis individual (kompetensi klinis per kasus), lapis institusional (sistem, protokol, dan budaya fasilitas layanan), dan lapis struktural (kebijakan, hukum, dan norma sosial yang membentuk akses serta hasil kesehatan reproduksi).</w:t>
      </w:r>
    </w:p>
    <w:p>
      <w:pPr>
        <w:spacing w:after="160" w:line="276"/>
      </w:pPr>
      <w:r>
        <w:rPr>
          <w:rFonts w:ascii="IBM Plex Sans" w:cs="IBM Plex Sans" w:eastAsia="IBM Plex Sans" w:hAnsi="IBM Plex Sans"/>
          <w:color w:val="1E293B"/>
          <w:sz w:val="22"/>
          <w:szCs w:val="22"/>
        </w:rPr>
        <w:t xml:space="preserve">Pada lapis individual, kompetensi yang dibahas di Bab III hingga Bab VII — persetujuan tindakan, konseling kontrasepsi, tata laksana kehamilan remaja, vaksinasi, dan deteksi kekerasan — merupakan keterampilan minimal yang wajib dikuasai. Pada lapis institusional, Spesialis Obgin berperan sebagai penggerak perbaikan sistem: mendorong tersedianya ruang konsultasi privat untuk skrining kekerasan, memastikan alur rujukan lintas profesi berfungsi, dan mengadvokasi ketersediaan layanan ramah remaja di fasilitasnya. Pada lapis struktural, divisi ini mendorong keterlibatan Spesialis Obgin dalam advokasi kebijakan — baik melalui organisasi profesi, kontribusi pada pengembangan pedoman nasional, maupun partisipasi dalam program kesehatan masyarakat yang menyasar determinan sosial kesehatan reproduksi.</w:t>
      </w:r>
    </w:p>
    <w:p>
      <w:pPr>
        <w:spacing w:after="160" w:line="276"/>
      </w:pPr>
      <w:r>
        <w:rPr>
          <w:rFonts w:ascii="IBM Plex Sans" w:cs="IBM Plex Sans" w:eastAsia="IBM Plex Sans" w:hAnsi="IBM Plex Sans"/>
          <w:color w:val="1E293B"/>
          <w:sz w:val="22"/>
          <w:szCs w:val="22"/>
        </w:rPr>
        <w:t xml:space="preserve">Kerangka tiga lapis ini menjadi alat analisis yang dapat diterapkan peserta didik PPDS pada setiap kasus kompleks yang melibatkan dimensi sosial — bukan sekadar daftar periksa, melainkan cara berpikir yang menjembatani kompetensi medis dengan tanggung jawab sosial profesi.</w:t>
      </w:r>
    </w:p>
    <w:p>
      <w:pPr>
        <w:pStyle w:val="Heading2"/>
        <w:spacing w:after="140" w:before="260"/>
      </w:pPr>
      <w:r>
        <w:rPr>
          <w:rFonts w:ascii="Source Serif 4" w:cs="Source Serif 4" w:eastAsia="Source Serif 4" w:hAnsi="Source Serif 4"/>
          <w:b/>
          <w:bCs/>
          <w:color w:val="1E293B"/>
          <w:sz w:val="26"/>
          <w:szCs w:val="26"/>
        </w:rPr>
        <w:t xml:space="preserve">9.C Ilustrasi Kasus Lapangan</w:t>
      </w:r>
    </w:p>
    <w:p>
      <w:pPr>
        <w:spacing w:after="160" w:line="276"/>
      </w:pPr>
      <w:r>
        <w:rPr>
          <w:rFonts w:ascii="IBM Plex Sans" w:cs="IBM Plex Sans" w:eastAsia="IBM Plex Sans" w:hAnsi="IBM Plex Sans"/>
          <w:color w:val="1E293B"/>
          <w:sz w:val="22"/>
          <w:szCs w:val="22"/>
        </w:rPr>
        <w:t xml:space="preserve">Seorang perempuan berusia 16 tahun datang ke poliklinik Obgin diantar ibunya dengan keluhan terlambat haid tiga bulan. Pemeriksaan mengonfirmasi kehamilan usia 12 minggu. Saat anamnesis dilakukan secara terpisah tanpa kehadiran ibu, Pasien mengungkapkan bahwa kehamilan terjadi akibat hubungan dengan seorang kerabat dewasa yang tinggal serumah, dan ia merasa takut untuk bercerita sejak awal.</w:t>
      </w:r>
    </w:p>
    <w:p>
      <w:pPr>
        <w:spacing w:after="160" w:line="276"/>
      </w:pPr>
      <w:r>
        <w:rPr>
          <w:rFonts w:ascii="IBM Plex Sans" w:cs="IBM Plex Sans" w:eastAsia="IBM Plex Sans" w:hAnsi="IBM Plex Sans"/>
          <w:color w:val="1E293B"/>
          <w:sz w:val="22"/>
          <w:szCs w:val="22"/>
        </w:rPr>
        <w:t xml:space="preserve">Peserta didik PPDS yang menangani kasus ini menerapkan kerangka tiga lapis. Pada lapis individual, ia melakukan skrining kekerasan menggunakan pendekatan LIVES, mendokumentasikan temuan secara objektif di rekam medis, dan memfasilitasi persetujuan tindakan pemeriksaan lanjutan secara sensitif tanpa memaksa. Pada lapis institusional, ia mengaktifkan alur rujukan internal ke unit pelayanan terpadu perlindungan perempuan dan anak serta psikolog anak-remaja rumah sakit, dan berkoordinasi dengan Konsulen Obstetri Ginekologi Sosial untuk supervisi kasus etik medikolegal, termasuk kemungkinan permohonan visum et repertum. Pada lapis struktural, kasus ini turut dilaporkan secara teragregasi (tanpa identitas) pada audit etik tahunan fasilitas sebagai bagian dari pemantauan mutu penanganan kasus kekerasan seksual pada remaja.</w:t>
      </w:r>
    </w:p>
    <w:p>
      <w:pPr>
        <w:spacing w:after="160" w:line="276"/>
      </w:pPr>
      <w:r>
        <w:rPr>
          <w:rFonts w:ascii="IBM Plex Sans" w:cs="IBM Plex Sans" w:eastAsia="IBM Plex Sans" w:hAnsi="IBM Plex Sans"/>
          <w:color w:val="1E293B"/>
          <w:sz w:val="22"/>
          <w:szCs w:val="22"/>
        </w:rPr>
        <w:t xml:space="preserve">Resolusi kasus: Pasien menerima asuhan antenatal terintegrasi dengan pemantauan psikologis, proses hukum difasilitasi sesuai kesediaan Pasien dan keluarga melalui pendampingan lembaga bantuan hukum, dan supervisi kehamilan remaja dilaksanakan mengikuti prinsip tata laksana suportif sebagaimana dibahas pada Bab V. Kasus ini menjadi ilustrasi bagaimana kompetensi individual, sistem institusional, dan kesadaran struktural bekerja bersama dalam satu episode layanan.</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Bab X — Ringkasan</w:t>
      </w:r>
    </w:p>
    <w:p>
      <w:pPr>
        <w:pStyle w:val="Heading2"/>
        <w:spacing w:after="140" w:before="260"/>
      </w:pPr>
      <w:r>
        <w:rPr>
          <w:rFonts w:ascii="Source Serif 4" w:cs="Source Serif 4" w:eastAsia="Source Serif 4" w:hAnsi="Source Serif 4"/>
          <w:b/>
          <w:bCs/>
          <w:color w:val="1E293B"/>
          <w:sz w:val="26"/>
          <w:szCs w:val="26"/>
        </w:rPr>
        <w:t xml:space="preserve">10.1 Rangkuman Capaian Kompetensi</w:t>
      </w:r>
    </w:p>
    <w:p>
      <w:pPr>
        <w:spacing w:after="160" w:line="276"/>
      </w:pPr>
      <w:r>
        <w:rPr>
          <w:rFonts w:ascii="IBM Plex Sans" w:cs="IBM Plex Sans" w:eastAsia="IBM Plex Sans" w:hAnsi="IBM Plex Sans"/>
          <w:color w:val="1E293B"/>
          <w:sz w:val="22"/>
          <w:szCs w:val="22"/>
        </w:rPr>
        <w:t xml:space="preserve">Buku tematik ini menjabarkan lima kompetensi inti dari Tabel 7 Kepkonsil (No. 67, 68, 69, 70, 73) — kasus mediko-legal potensial, pendekatan holistik, kehamilan remaja, kontrasepsi, dan vaksinasi pada perempuan — sebagai satu kesatuan kerangka kedokteran sosial yang wajib dikuasai setiap dokter Spesialis Obstetri dan Ginekologi. Pembahasan diperkaya dengan kompetensi subspesialistik terkait dari Tabel 11 (kontrasepsi pada komorbid berat, kontrasepsi darurat, kasus etik medikolegal, supervisi kehamilan remaja, dan penanganan korban KDRT) untuk memberikan gambaran kontinum kompetensi dari tingkat spesialis menuju subspesialis.</w:t>
      </w:r>
    </w:p>
    <w:p>
      <w:pPr>
        <w:pStyle w:val="Heading2"/>
        <w:spacing w:after="140" w:before="260"/>
      </w:pPr>
      <w:r>
        <w:rPr>
          <w:rFonts w:ascii="Source Serif 4" w:cs="Source Serif 4" w:eastAsia="Source Serif 4" w:hAnsi="Source Serif 4"/>
          <w:b/>
          <w:bCs/>
          <w:color w:val="1E293B"/>
          <w:sz w:val="26"/>
          <w:szCs w:val="26"/>
        </w:rPr>
        <w:t xml:space="preserve">10.2 Tabel Ringkasan Rujukan Silang Antarbab</w:t>
      </w:r>
    </w:p>
    <w:p>
      <w:pPr>
        <w:spacing w:after="160" w:line="276"/>
      </w:pPr>
      <w:r>
        <w:rPr>
          <w:rFonts w:ascii="IBM Plex Sans" w:cs="IBM Plex Sans" w:eastAsia="IBM Plex Sans" w:hAnsi="IBM Plex Sans"/>
          <w:color w:val="1E293B"/>
          <w:sz w:val="22"/>
          <w:szCs w:val="22"/>
        </w:rPr>
        <w:t xml:space="preserve">Tabel di bawah merangkum rujukan silang setiap bab substantif terhadap dasar regulasi utamanya, untuk memudahkan penelusuran bagi peserta didik maupun penyusun PPK/PPKK terkait di kemudian hari.</w:t>
      </w:r>
    </w:p>
    <w:p>
      <w:pPr>
        <w:spacing w:after="100" w:before="160"/>
      </w:pPr>
      <w:r>
        <w:rPr>
          <w:rFonts w:ascii="IBM Plex Sans" w:cs="IBM Plex Sans" w:eastAsia="IBM Plex Sans" w:hAnsi="IBM Plex Sans"/>
          <w:b/>
          <w:bCs/>
          <w:i/>
          <w:iCs/>
          <w:color w:val="475569"/>
          <w:sz w:val="19"/>
          <w:szCs w:val="19"/>
        </w:rPr>
        <w:t xml:space="preserve">Tabel 10.1 — Rujukan Silang Bab terhadap Dasar Regulasi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Bab</w:t>
            </w:r>
          </w:p>
        </w:tc>
        <w:tc>
          <w:tcPr>
            <w:tcW w:type="dxa" w:w="312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Topik</w:t>
            </w:r>
          </w:p>
        </w:tc>
        <w:tc>
          <w:tcPr>
            <w:tcW w:type="dxa" w:w="3120"/>
            <w:shd w:fill="4F46E5" w:color="auto"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Dasar Regulasi Utama</w:t>
            </w:r>
          </w:p>
        </w:tc>
      </w:tr>
      <w:tr>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II</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Determinan Sosial Kesehatan Reproduksi</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68</w:t>
            </w:r>
          </w:p>
        </w:tc>
      </w:tr>
      <w:tr>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III</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Aspek Mediko-Legal Praktik Obgin</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67; Tabel 11 No. 5</w:t>
            </w:r>
          </w:p>
        </w:tc>
      </w:tr>
      <w:tr>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IV</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Kontrasepsi dan Pengaturan Fertilitas</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70; Tabel 11 No. 3, 4</w:t>
            </w:r>
          </w:p>
        </w:tc>
      </w:tr>
      <w:tr>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Kesehatan Reproduksi Remaja</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69; Tabel 11 No. 10</w:t>
            </w:r>
          </w:p>
        </w:tc>
      </w:tr>
      <w:tr>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VI</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Vaksinasi pada Perempuan</w:t>
            </w:r>
          </w:p>
        </w:tc>
        <w:tc>
          <w:tcPr>
            <w:tcW w:type="dxa" w:w="3120"/>
            <w:shd w:fill="FFFFFF"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73</w:t>
            </w:r>
          </w:p>
        </w:tc>
      </w:tr>
      <w:tr>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VII</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Kekerasan terhadap Perempuan</w:t>
            </w:r>
          </w:p>
        </w:tc>
        <w:tc>
          <w:tcPr>
            <w:tcW w:type="dxa" w:w="3120"/>
            <w:shd w:fill="F8FAFC" w:color="auto" w:val="clear"/>
            <w:tcMar>
              <w:top w:type="dxa" w:w="90"/>
              <w:left w:type="dxa" w:w="100"/>
              <w:bottom w:type="dxa" w:w="90"/>
              <w:right w:type="dxa" w:w="100"/>
            </w:tcMar>
          </w:tcPr>
          <w:p>
            <w:r>
              <w:rPr>
                <w:rFonts w:ascii="IBM Plex Sans" w:cs="IBM Plex Sans" w:eastAsia="IBM Plex Sans" w:hAnsi="IBM Plex Sans"/>
                <w:color w:val="1E293B"/>
                <w:sz w:val="18"/>
                <w:szCs w:val="18"/>
              </w:rPr>
              <w:t xml:space="preserve">Tabel 7 No. 67; Tabel 11 No. 16</w:t>
            </w:r>
          </w:p>
        </w:tc>
      </w:tr>
    </w:tbl>
    <w:p>
      <w:pPr>
        <w:spacing w:after="100" w:before="140"/>
      </w:pPr>
    </w:p>
    <w:p>
      <w:pPr>
        <w:pStyle w:val="Heading2"/>
        <w:spacing w:after="140" w:before="260"/>
      </w:pPr>
      <w:r>
        <w:rPr>
          <w:rFonts w:ascii="Source Serif 4" w:cs="Source Serif 4" w:eastAsia="Source Serif 4" w:hAnsi="Source Serif 4"/>
          <w:b/>
          <w:bCs/>
          <w:color w:val="1E293B"/>
          <w:sz w:val="26"/>
          <w:szCs w:val="26"/>
        </w:rPr>
        <w:t xml:space="preserve">10.3 Penutup</w:t>
      </w:r>
    </w:p>
    <w:p>
      <w:pPr>
        <w:spacing w:after="160" w:line="276"/>
      </w:pPr>
      <w:r>
        <w:rPr>
          <w:rFonts w:ascii="IBM Plex Sans" w:cs="IBM Plex Sans" w:eastAsia="IBM Plex Sans" w:hAnsi="IBM Plex Sans"/>
          <w:color w:val="1E293B"/>
          <w:sz w:val="22"/>
          <w:szCs w:val="22"/>
        </w:rPr>
        <w:t xml:space="preserve">Penguasaan materi dalam buku tematik ini diharapkan menjadi fondasi bagi peserta didik PPDS, khususnya Tahun III–IV, untuk mempraktikkan kedokteran Obgin yang tidak hanya kompeten secara teknis-biomedis, tetapi juga peka konteks sosial, taat kaidah hukum dan etik, serta berpihak pada perlindungan kelompok rentan — remaja dan korban kekerasan — sebagai wujud tanggung jawab profesi Spesialis Obstetri dan Ginekologi Indonesia.</w:t>
      </w:r>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Kepustakaan</w:t>
      </w:r>
    </w:p>
    <w:p>
      <w:pPr>
        <w:spacing w:after="160" w:line="276"/>
      </w:pPr>
      <w:r>
        <w:rPr>
          <w:rFonts w:ascii="IBM Plex Sans" w:cs="IBM Plex Sans" w:eastAsia="IBM Plex Sans" w:hAnsi="IBM Plex Sans"/>
          <w:color w:val="1E293B"/>
          <w:sz w:val="22"/>
          <w:szCs w:val="22"/>
        </w:rPr>
        <w:t xml:space="preserve">Seluruh rujukan berikut telah diverifikasi ulang terhadap laman resmi penerbitnya. Tautan aktif per Agustus 2026.</w:t>
      </w:r>
    </w:p>
    <w:p>
      <w:pPr>
        <w:spacing w:after="160"/>
      </w:pPr>
      <w:r>
        <w:rPr>
          <w:rFonts w:ascii="IBM Plex Sans" w:cs="IBM Plex Sans" w:eastAsia="IBM Plex Sans" w:hAnsi="IBM Plex Sans"/>
          <w:color w:val="1E293B"/>
          <w:sz w:val="21"/>
          <w:szCs w:val="21"/>
        </w:rPr>
        <w:t xml:space="preserve">1. Republik Indonesia. Undang-Undang Nomor 17 Tahun 2023 tentang Kesehatan. Lembaran Negara Republik Indonesia Tahun 2023 Nomor 105, Tambahan Lembaran Negara Republik Indonesia Nomor 6887.</w:t>
      </w:r>
      <w:r>
        <w:rPr>
          <w:rFonts w:ascii="IBM Plex Sans" w:cs="IBM Plex Sans" w:eastAsia="IBM Plex Sans" w:hAnsi="IBM Plex Sans"/>
          <w:sz w:val="21"/>
          <w:szCs w:val="21"/>
        </w:rPr>
        <w:t xml:space="preserve">  </w:t>
      </w:r>
      <w:hyperlink w:history="1" r:id="rIdbnsuo9stgrxnruwtlvnyl">
        <w:r>
          <w:rPr>
            <w:rFonts w:ascii="IBM Plex Mono" w:cs="IBM Plex Mono" w:eastAsia="IBM Plex Mono" w:hAnsi="IBM Plex Mono"/>
            <w:color w:val="4F46E5"/>
            <w:sz w:val="18"/>
            <w:szCs w:val="18"/>
            <w:u w:val="single"/>
          </w:rPr>
          <w:t xml:space="preserve">https://peraturan.bpk.go.id/Details/258028/uu-no-17-tahun-2023</w:t>
        </w:r>
      </w:hyperlink>
    </w:p>
    <w:p>
      <w:pPr>
        <w:spacing w:after="160"/>
      </w:pPr>
      <w:r>
        <w:rPr>
          <w:rFonts w:ascii="IBM Plex Sans" w:cs="IBM Plex Sans" w:eastAsia="IBM Plex Sans" w:hAnsi="IBM Plex Sans"/>
          <w:color w:val="1E293B"/>
          <w:sz w:val="21"/>
          <w:szCs w:val="21"/>
        </w:rPr>
        <w:t xml:space="preserve">2. Konsil Kesehatan Indonesia. Keputusan Ketua Konsil Kesehatan Indonesia Nomor HK.01.02/KKI/1318/2026 tentang Standar Kompetensi Dokter Spesialis dan Subspesialis Bidang Obstetri dan Ginekologi. Jakarta: Konsil Kesehatan Indonesia; 2026.</w:t>
      </w:r>
    </w:p>
    <w:p>
      <w:pPr>
        <w:spacing w:after="160"/>
      </w:pPr>
      <w:r>
        <w:rPr>
          <w:rFonts w:ascii="IBM Plex Sans" w:cs="IBM Plex Sans" w:eastAsia="IBM Plex Sans" w:hAnsi="IBM Plex Sans"/>
          <w:color w:val="1E293B"/>
          <w:sz w:val="21"/>
          <w:szCs w:val="21"/>
        </w:rPr>
        <w:t xml:space="preserve">3. World Health Organization. Social Determinants of Health. Geneva: WHO.</w:t>
      </w:r>
      <w:r>
        <w:rPr>
          <w:rFonts w:ascii="IBM Plex Sans" w:cs="IBM Plex Sans" w:eastAsia="IBM Plex Sans" w:hAnsi="IBM Plex Sans"/>
          <w:sz w:val="21"/>
          <w:szCs w:val="21"/>
        </w:rPr>
        <w:t xml:space="preserve">  </w:t>
      </w:r>
      <w:hyperlink w:history="1" r:id="rIdcqhcqblptdohvacxaubxq">
        <w:r>
          <w:rPr>
            <w:rFonts w:ascii="IBM Plex Mono" w:cs="IBM Plex Mono" w:eastAsia="IBM Plex Mono" w:hAnsi="IBM Plex Mono"/>
            <w:color w:val="4F46E5"/>
            <w:sz w:val="18"/>
            <w:szCs w:val="18"/>
            <w:u w:val="single"/>
          </w:rPr>
          <w:t xml:space="preserve">https://www.who.int/health-topics/social-determinants-of-health</w:t>
        </w:r>
      </w:hyperlink>
    </w:p>
    <w:p>
      <w:pPr>
        <w:spacing w:after="160"/>
      </w:pPr>
      <w:r>
        <w:rPr>
          <w:rFonts w:ascii="IBM Plex Sans" w:cs="IBM Plex Sans" w:eastAsia="IBM Plex Sans" w:hAnsi="IBM Plex Sans"/>
          <w:color w:val="1E293B"/>
          <w:sz w:val="21"/>
          <w:szCs w:val="21"/>
        </w:rPr>
        <w:t xml:space="preserve">4. Bohren MA, Hofmeyr GJ, Sakala C, Fukuzawa RK, Cuthbert A. Continuous Support for Women during Childbirth. Cochrane Database of Systematic Reviews. 2017;7:CD003766.</w:t>
      </w:r>
      <w:r>
        <w:rPr>
          <w:rFonts w:ascii="IBM Plex Sans" w:cs="IBM Plex Sans" w:eastAsia="IBM Plex Sans" w:hAnsi="IBM Plex Sans"/>
          <w:sz w:val="21"/>
          <w:szCs w:val="21"/>
        </w:rPr>
        <w:t xml:space="preserve">  </w:t>
      </w:r>
      <w:hyperlink w:history="1" r:id="rIdrnh4kmdpedfcg_zeok8yh">
        <w:r>
          <w:rPr>
            <w:rFonts w:ascii="IBM Plex Mono" w:cs="IBM Plex Mono" w:eastAsia="IBM Plex Mono" w:hAnsi="IBM Plex Mono"/>
            <w:color w:val="4F46E5"/>
            <w:sz w:val="18"/>
            <w:szCs w:val="18"/>
            <w:u w:val="single"/>
          </w:rPr>
          <w:t xml:space="preserve">https://www.cochranelibrary.com/cdsr/doi/10.1002/14651858.CD003766.pub6/full</w:t>
        </w:r>
      </w:hyperlink>
    </w:p>
    <w:p>
      <w:pPr>
        <w:spacing w:after="160"/>
      </w:pPr>
      <w:r>
        <w:rPr>
          <w:rFonts w:ascii="IBM Plex Sans" w:cs="IBM Plex Sans" w:eastAsia="IBM Plex Sans" w:hAnsi="IBM Plex Sans"/>
          <w:color w:val="1E293B"/>
          <w:sz w:val="21"/>
          <w:szCs w:val="21"/>
        </w:rPr>
        <w:t xml:space="preserve">5. FIGO Committee on Ethical and Professional Aspects of Human Reproduction and Women's Health. FIGO Ethics and Professionalism Guidelines. London: International Federation of Gynecology and Obstetrics; 2021.</w:t>
      </w:r>
      <w:r>
        <w:rPr>
          <w:rFonts w:ascii="IBM Plex Sans" w:cs="IBM Plex Sans" w:eastAsia="IBM Plex Sans" w:hAnsi="IBM Plex Sans"/>
          <w:sz w:val="21"/>
          <w:szCs w:val="21"/>
        </w:rPr>
        <w:t xml:space="preserve">  </w:t>
      </w:r>
      <w:hyperlink w:history="1" r:id="rId6fhrlqynacunfa1h3cwq1">
        <w:r>
          <w:rPr>
            <w:rFonts w:ascii="IBM Plex Mono" w:cs="IBM Plex Mono" w:eastAsia="IBM Plex Mono" w:hAnsi="IBM Plex Mono"/>
            <w:color w:val="4F46E5"/>
            <w:sz w:val="18"/>
            <w:szCs w:val="18"/>
            <w:u w:val="single"/>
          </w:rPr>
          <w:t xml:space="preserve">https://www.figo.org/sites/default/files/2021-11/FIGO-Ethics-Guidelines-onlinePDF.pdf</w:t>
        </w:r>
      </w:hyperlink>
    </w:p>
    <w:p>
      <w:pPr>
        <w:spacing w:after="160"/>
      </w:pPr>
      <w:r>
        <w:rPr>
          <w:rFonts w:ascii="IBM Plex Sans" w:cs="IBM Plex Sans" w:eastAsia="IBM Plex Sans" w:hAnsi="IBM Plex Sans"/>
          <w:color w:val="1E293B"/>
          <w:sz w:val="21"/>
          <w:szCs w:val="21"/>
        </w:rPr>
        <w:t xml:space="preserve">6. World Health Organization. Medical Eligibility Criteria for Contraceptive Use, 6th edition. Geneva: WHO; 2025.</w:t>
      </w:r>
      <w:r>
        <w:rPr>
          <w:rFonts w:ascii="IBM Plex Sans" w:cs="IBM Plex Sans" w:eastAsia="IBM Plex Sans" w:hAnsi="IBM Plex Sans"/>
          <w:sz w:val="21"/>
          <w:szCs w:val="21"/>
        </w:rPr>
        <w:t xml:space="preserve">  </w:t>
      </w:r>
      <w:hyperlink w:history="1" r:id="rId8njenptil7shgkqzk_yxt">
        <w:r>
          <w:rPr>
            <w:rFonts w:ascii="IBM Plex Mono" w:cs="IBM Plex Mono" w:eastAsia="IBM Plex Mono" w:hAnsi="IBM Plex Mono"/>
            <w:color w:val="4F46E5"/>
            <w:sz w:val="18"/>
            <w:szCs w:val="18"/>
            <w:u w:val="single"/>
          </w:rPr>
          <w:t xml:space="preserve">https://www.who.int/publications/i/item/B09597</w:t>
        </w:r>
      </w:hyperlink>
    </w:p>
    <w:p>
      <w:pPr>
        <w:spacing w:after="160"/>
      </w:pPr>
      <w:r>
        <w:rPr>
          <w:rFonts w:ascii="IBM Plex Sans" w:cs="IBM Plex Sans" w:eastAsia="IBM Plex Sans" w:hAnsi="IBM Plex Sans"/>
          <w:color w:val="1E293B"/>
          <w:sz w:val="21"/>
          <w:szCs w:val="21"/>
        </w:rPr>
        <w:t xml:space="preserve">7. World Health Organization. Selected Practice Recommendations for Contraceptive Use, 4th edition. Geneva: WHO; 2025.</w:t>
      </w:r>
      <w:r>
        <w:rPr>
          <w:rFonts w:ascii="IBM Plex Sans" w:cs="IBM Plex Sans" w:eastAsia="IBM Plex Sans" w:hAnsi="IBM Plex Sans"/>
          <w:sz w:val="21"/>
          <w:szCs w:val="21"/>
        </w:rPr>
        <w:t xml:space="preserve">  </w:t>
      </w:r>
      <w:hyperlink w:history="1" r:id="rIdbhg3z7rsiygkcwmui13a3">
        <w:r>
          <w:rPr>
            <w:rFonts w:ascii="IBM Plex Mono" w:cs="IBM Plex Mono" w:eastAsia="IBM Plex Mono" w:hAnsi="IBM Plex Mono"/>
            <w:color w:val="4F46E5"/>
            <w:sz w:val="18"/>
            <w:szCs w:val="18"/>
            <w:u w:val="single"/>
          </w:rPr>
          <w:t xml:space="preserve">https://www.who.int/publications/i/item/9789240115606</w:t>
        </w:r>
      </w:hyperlink>
    </w:p>
    <w:p>
      <w:pPr>
        <w:spacing w:after="160"/>
      </w:pPr>
      <w:r>
        <w:rPr>
          <w:rFonts w:ascii="IBM Plex Sans" w:cs="IBM Plex Sans" w:eastAsia="IBM Plex Sans" w:hAnsi="IBM Plex Sans"/>
          <w:color w:val="1E293B"/>
          <w:sz w:val="21"/>
          <w:szCs w:val="21"/>
        </w:rPr>
        <w:t xml:space="preserve">8. World Health Organization. WHO Guideline on Preventing Early Pregnancy and Poor Reproductive Outcomes among Adolescents in Low- and Middle-Income Countries. Geneva: WHO; 2025.</w:t>
      </w:r>
      <w:r>
        <w:rPr>
          <w:rFonts w:ascii="IBM Plex Sans" w:cs="IBM Plex Sans" w:eastAsia="IBM Plex Sans" w:hAnsi="IBM Plex Sans"/>
          <w:sz w:val="21"/>
          <w:szCs w:val="21"/>
        </w:rPr>
        <w:t xml:space="preserve">  </w:t>
      </w:r>
      <w:hyperlink w:history="1" r:id="rIdbpvd84h_ntno5t0y_digx">
        <w:r>
          <w:rPr>
            <w:rFonts w:ascii="IBM Plex Mono" w:cs="IBM Plex Mono" w:eastAsia="IBM Plex Mono" w:hAnsi="IBM Plex Mono"/>
            <w:color w:val="4F46E5"/>
            <w:sz w:val="18"/>
            <w:szCs w:val="18"/>
            <w:u w:val="single"/>
          </w:rPr>
          <w:t xml:space="preserve">https://www.who.int/news/item/23-04-2025-who-releases-new-guideline-to-prevent-adolescent-pregnancies-and-improve-girls--health</w:t>
        </w:r>
      </w:hyperlink>
    </w:p>
    <w:p>
      <w:pPr>
        <w:spacing w:after="160"/>
      </w:pPr>
      <w:r>
        <w:rPr>
          <w:rFonts w:ascii="IBM Plex Sans" w:cs="IBM Plex Sans" w:eastAsia="IBM Plex Sans" w:hAnsi="IBM Plex Sans"/>
          <w:color w:val="1E293B"/>
          <w:sz w:val="21"/>
          <w:szCs w:val="21"/>
        </w:rPr>
        <w:t xml:space="preserve">9. International Confederation of Midwives. Essential Competencies for Midwifery Practice. The Hague: ICM; 2024.</w:t>
      </w:r>
      <w:r>
        <w:rPr>
          <w:rFonts w:ascii="IBM Plex Sans" w:cs="IBM Plex Sans" w:eastAsia="IBM Plex Sans" w:hAnsi="IBM Plex Sans"/>
          <w:sz w:val="21"/>
          <w:szCs w:val="21"/>
        </w:rPr>
        <w:t xml:space="preserve">  </w:t>
      </w:r>
      <w:hyperlink w:history="1" r:id="rIdmpsvjeiwwna34z76n2urn">
        <w:r>
          <w:rPr>
            <w:rFonts w:ascii="IBM Plex Mono" w:cs="IBM Plex Mono" w:eastAsia="IBM Plex Mono" w:hAnsi="IBM Plex Mono"/>
            <w:color w:val="4F46E5"/>
            <w:sz w:val="18"/>
            <w:szCs w:val="18"/>
            <w:u w:val="single"/>
          </w:rPr>
          <w:t xml:space="preserve">https://internationalmidwives.org/resources/essential-competencies-for-midwifery-practice/</w:t>
        </w:r>
      </w:hyperlink>
    </w:p>
    <w:p>
      <w:pPr>
        <w:spacing w:after="160"/>
      </w:pPr>
      <w:r>
        <w:rPr>
          <w:rFonts w:ascii="IBM Plex Sans" w:cs="IBM Plex Sans" w:eastAsia="IBM Plex Sans" w:hAnsi="IBM Plex Sans"/>
          <w:color w:val="1E293B"/>
          <w:sz w:val="21"/>
          <w:szCs w:val="21"/>
        </w:rPr>
        <w:t xml:space="preserve">10. American College of Obstetricians and Gynecologists. Committee Statement No. 26: Maternal Immunizations. Obstetrics &amp; Gynecology. 2026.</w:t>
      </w:r>
      <w:r>
        <w:rPr>
          <w:rFonts w:ascii="IBM Plex Sans" w:cs="IBM Plex Sans" w:eastAsia="IBM Plex Sans" w:hAnsi="IBM Plex Sans"/>
          <w:sz w:val="21"/>
          <w:szCs w:val="21"/>
        </w:rPr>
        <w:t xml:space="preserve">  </w:t>
      </w:r>
      <w:hyperlink w:history="1" r:id="rIdy1nktz9bz81xbd0kd3drn">
        <w:r>
          <w:rPr>
            <w:rFonts w:ascii="IBM Plex Mono" w:cs="IBM Plex Mono" w:eastAsia="IBM Plex Mono" w:hAnsi="IBM Plex Mono"/>
            <w:color w:val="4F46E5"/>
            <w:sz w:val="18"/>
            <w:szCs w:val="18"/>
            <w:u w:val="single"/>
          </w:rPr>
          <w:t xml:space="preserve">https://www.acog.org/clinical/clinical-guidance/committee-statement/articles/2026/02/maternal-immunizations</w:t>
        </w:r>
      </w:hyperlink>
    </w:p>
    <w:p>
      <w:pPr>
        <w:spacing w:after="160"/>
      </w:pPr>
      <w:r>
        <w:rPr>
          <w:rFonts w:ascii="IBM Plex Sans" w:cs="IBM Plex Sans" w:eastAsia="IBM Plex Sans" w:hAnsi="IBM Plex Sans"/>
          <w:color w:val="1E293B"/>
          <w:sz w:val="21"/>
          <w:szCs w:val="21"/>
        </w:rPr>
        <w:t xml:space="preserve">11. World Health Organization. Human Papillomavirus Vaccines: WHO Position Paper, December 2022. Weekly Epidemiological Record. 2022;97(50):645–672.</w:t>
      </w:r>
      <w:r>
        <w:rPr>
          <w:rFonts w:ascii="IBM Plex Sans" w:cs="IBM Plex Sans" w:eastAsia="IBM Plex Sans" w:hAnsi="IBM Plex Sans"/>
          <w:sz w:val="21"/>
          <w:szCs w:val="21"/>
        </w:rPr>
        <w:t xml:space="preserve">  </w:t>
      </w:r>
      <w:hyperlink w:history="1" r:id="rId2bd-0mu29ody1ux7wvrj2">
        <w:r>
          <w:rPr>
            <w:rFonts w:ascii="IBM Plex Mono" w:cs="IBM Plex Mono" w:eastAsia="IBM Plex Mono" w:hAnsi="IBM Plex Mono"/>
            <w:color w:val="4F46E5"/>
            <w:sz w:val="18"/>
            <w:szCs w:val="18"/>
            <w:u w:val="single"/>
          </w:rPr>
          <w:t xml:space="preserve">https://www.who.int/publications/i/item/who-wer9750-645-672</w:t>
        </w:r>
      </w:hyperlink>
    </w:p>
    <w:p>
      <w:pPr>
        <w:spacing w:after="160"/>
      </w:pPr>
      <w:r>
        <w:rPr>
          <w:rFonts w:ascii="IBM Plex Sans" w:cs="IBM Plex Sans" w:eastAsia="IBM Plex Sans" w:hAnsi="IBM Plex Sans"/>
          <w:color w:val="1E293B"/>
          <w:sz w:val="21"/>
          <w:szCs w:val="21"/>
        </w:rPr>
        <w:t xml:space="preserve">12. World Health Organization. Responding to Intimate Partner Violence and Sexual Violence against Women: WHO Clinical and Policy Guidelines. Geneva: WHO; 2013.</w:t>
      </w:r>
      <w:r>
        <w:rPr>
          <w:rFonts w:ascii="IBM Plex Sans" w:cs="IBM Plex Sans" w:eastAsia="IBM Plex Sans" w:hAnsi="IBM Plex Sans"/>
          <w:sz w:val="21"/>
          <w:szCs w:val="21"/>
        </w:rPr>
        <w:t xml:space="preserve">  </w:t>
      </w:r>
      <w:hyperlink w:history="1" r:id="rId_e75o9uy9u4emdirrtpkr">
        <w:r>
          <w:rPr>
            <w:rFonts w:ascii="IBM Plex Mono" w:cs="IBM Plex Mono" w:eastAsia="IBM Plex Mono" w:hAnsi="IBM Plex Mono"/>
            <w:color w:val="4F46E5"/>
            <w:sz w:val="18"/>
            <w:szCs w:val="18"/>
            <w:u w:val="single"/>
          </w:rPr>
          <w:t xml:space="preserve">https://www.who.int/publications/i/item/WHO-RHR-13.10</w:t>
        </w:r>
      </w:hyperlink>
    </w:p>
    <w:p>
      <w:r>
        <w:br w:type="page"/>
      </w:r>
    </w:p>
    <w:p>
      <w:pPr>
        <w:pStyle w:val="Heading1"/>
        <w:pBdr>
          <w:bottom w:val="single" w:color="4F46E5" w:sz="6" w:space="6"/>
        </w:pBdr>
        <w:spacing w:after="200" w:before="360"/>
      </w:pPr>
      <w:r>
        <w:rPr>
          <w:rFonts w:ascii="Source Serif 4" w:cs="Source Serif 4" w:eastAsia="Source Serif 4" w:hAnsi="Source Serif 4"/>
          <w:b/>
          <w:bCs/>
          <w:color w:val="4F46E5"/>
          <w:sz w:val="32"/>
          <w:szCs w:val="32"/>
        </w:rPr>
        <w:t xml:space="preserve">Glosarium</w:t>
      </w:r>
    </w:p>
    <w:p>
      <w:pPr>
        <w:spacing w:after="20" w:before="100"/>
      </w:pPr>
      <w:r>
        <w:rPr>
          <w:rFonts w:ascii="IBM Plex Sans" w:cs="IBM Plex Sans" w:eastAsia="IBM Plex Sans" w:hAnsi="IBM Plex Sans"/>
          <w:b/>
          <w:bCs/>
          <w:color w:val="1E293B"/>
          <w:sz w:val="21"/>
          <w:szCs w:val="21"/>
        </w:rPr>
        <w:t xml:space="preserve">Biopsikososial</w:t>
      </w:r>
    </w:p>
    <w:p>
      <w:pPr>
        <w:spacing w:after="140"/>
      </w:pPr>
      <w:r>
        <w:rPr>
          <w:rFonts w:ascii="IBM Plex Sans" w:cs="IBM Plex Sans" w:eastAsia="IBM Plex Sans" w:hAnsi="IBM Plex Sans"/>
          <w:color w:val="1E293B"/>
          <w:sz w:val="21"/>
          <w:szCs w:val="21"/>
        </w:rPr>
        <w:t xml:space="preserve">Kerangka pemahaman kesehatan yang memandang kondisi biologis, psikologis, dan sosial seseorang sebagai satu kesatuan yang saling memengaruhi hasil kesehatan.</w:t>
      </w:r>
    </w:p>
    <w:p>
      <w:pPr>
        <w:spacing w:after="20" w:before="100"/>
      </w:pPr>
      <w:r>
        <w:rPr>
          <w:rFonts w:ascii="IBM Plex Sans" w:cs="IBM Plex Sans" w:eastAsia="IBM Plex Sans" w:hAnsi="IBM Plex Sans"/>
          <w:b/>
          <w:bCs/>
          <w:color w:val="1E293B"/>
          <w:sz w:val="21"/>
          <w:szCs w:val="21"/>
        </w:rPr>
        <w:t xml:space="preserve">Determinan sosial kesehatan</w:t>
      </w:r>
    </w:p>
    <w:p>
      <w:pPr>
        <w:spacing w:after="140"/>
      </w:pPr>
      <w:r>
        <w:rPr>
          <w:rFonts w:ascii="IBM Plex Sans" w:cs="IBM Plex Sans" w:eastAsia="IBM Plex Sans" w:hAnsi="IBM Plex Sans"/>
          <w:color w:val="1E293B"/>
          <w:sz w:val="21"/>
          <w:szCs w:val="21"/>
        </w:rPr>
        <w:t xml:space="preserve">Kondisi tempat seseorang lahir, tumbuh, bekerja, tinggal, dan menua, beserta sistem yang membentuk kondisi kehidupan sehari-hari tersebut, yang memengaruhi status kesehatan.</w:t>
      </w:r>
    </w:p>
    <w:p>
      <w:pPr>
        <w:spacing w:after="20" w:before="100"/>
      </w:pPr>
      <w:r>
        <w:rPr>
          <w:rFonts w:ascii="IBM Plex Sans" w:cs="IBM Plex Sans" w:eastAsia="IBM Plex Sans" w:hAnsi="IBM Plex Sans"/>
          <w:b/>
          <w:bCs/>
          <w:color w:val="1E293B"/>
          <w:sz w:val="21"/>
          <w:szCs w:val="21"/>
        </w:rPr>
        <w:t xml:space="preserve">Informed consent (persetujuan tindakan medis)</w:t>
      </w:r>
    </w:p>
    <w:p>
      <w:pPr>
        <w:spacing w:after="140"/>
      </w:pPr>
      <w:r>
        <w:rPr>
          <w:rFonts w:ascii="IBM Plex Sans" w:cs="IBM Plex Sans" w:eastAsia="IBM Plex Sans" w:hAnsi="IBM Plex Sans"/>
          <w:color w:val="1E293B"/>
          <w:sz w:val="21"/>
          <w:szCs w:val="21"/>
        </w:rPr>
        <w:t xml:space="preserve">Proses komunikasi dua arah antara dokter dan Pasien/keluarga sebelum pelaksanaan tindakan medis, mencakup penjelasan risiko, manfaat, dan alternatif, sebagai dasar persetujuan yang sah secara hukum dan etik.</w:t>
      </w:r>
    </w:p>
    <w:p>
      <w:pPr>
        <w:spacing w:after="20" w:before="100"/>
      </w:pPr>
      <w:r>
        <w:rPr>
          <w:rFonts w:ascii="IBM Plex Sans" w:cs="IBM Plex Sans" w:eastAsia="IBM Plex Sans" w:hAnsi="IBM Plex Sans"/>
          <w:b/>
          <w:bCs/>
          <w:color w:val="1E293B"/>
          <w:sz w:val="21"/>
          <w:szCs w:val="21"/>
        </w:rPr>
        <w:t xml:space="preserve">Shared decision-making</w:t>
      </w:r>
    </w:p>
    <w:p>
      <w:pPr>
        <w:spacing w:after="140"/>
      </w:pPr>
      <w:r>
        <w:rPr>
          <w:rFonts w:ascii="IBM Plex Sans" w:cs="IBM Plex Sans" w:eastAsia="IBM Plex Sans" w:hAnsi="IBM Plex Sans"/>
          <w:color w:val="1E293B"/>
          <w:sz w:val="21"/>
          <w:szCs w:val="21"/>
        </w:rPr>
        <w:t xml:space="preserve">Pendekatan pengambilan keputusan klinis yang melibatkan Pasien secara aktif melalui penyampaian pilihan secara netral, diskusi risiko-manfaat, dan penghormatan terhadap preferensi Pasien.</w:t>
      </w:r>
    </w:p>
    <w:p>
      <w:pPr>
        <w:spacing w:after="20" w:before="100"/>
      </w:pPr>
      <w:r>
        <w:rPr>
          <w:rFonts w:ascii="IBM Plex Sans" w:cs="IBM Plex Sans" w:eastAsia="IBM Plex Sans" w:hAnsi="IBM Plex Sans"/>
          <w:b/>
          <w:bCs/>
          <w:color w:val="1E293B"/>
          <w:sz w:val="21"/>
          <w:szCs w:val="21"/>
        </w:rPr>
        <w:t xml:space="preserve">Visum et repertum</w:t>
      </w:r>
    </w:p>
    <w:p>
      <w:pPr>
        <w:spacing w:after="140"/>
      </w:pPr>
      <w:r>
        <w:rPr>
          <w:rFonts w:ascii="IBM Plex Sans" w:cs="IBM Plex Sans" w:eastAsia="IBM Plex Sans" w:hAnsi="IBM Plex Sans"/>
          <w:color w:val="1E293B"/>
          <w:sz w:val="21"/>
          <w:szCs w:val="21"/>
        </w:rPr>
        <w:t xml:space="preserve">Keterangan tertulis yang dibuat dokter atas permintaan penyidik mengenai hasil pemeriksaan medis terhadap korban atau barang bukti untuk kepentingan peradilan.</w:t>
      </w:r>
    </w:p>
    <w:p>
      <w:pPr>
        <w:spacing w:after="20" w:before="100"/>
      </w:pPr>
      <w:r>
        <w:rPr>
          <w:rFonts w:ascii="IBM Plex Sans" w:cs="IBM Plex Sans" w:eastAsia="IBM Plex Sans" w:hAnsi="IBM Plex Sans"/>
          <w:b/>
          <w:bCs/>
          <w:color w:val="1E293B"/>
          <w:sz w:val="21"/>
          <w:szCs w:val="21"/>
        </w:rPr>
        <w:t xml:space="preserve">Chain of custody (rantai bukti)</w:t>
      </w:r>
    </w:p>
    <w:p>
      <w:pPr>
        <w:spacing w:after="140"/>
      </w:pPr>
      <w:r>
        <w:rPr>
          <w:rFonts w:ascii="IBM Plex Sans" w:cs="IBM Plex Sans" w:eastAsia="IBM Plex Sans" w:hAnsi="IBM Plex Sans"/>
          <w:color w:val="1E293B"/>
          <w:sz w:val="21"/>
          <w:szCs w:val="21"/>
        </w:rPr>
        <w:t xml:space="preserve">Prosedur pendokumentasian dan penanganan barang bukti forensik secara berkesinambungan agar keasliannya dapat dipertanggungjawabkan secara hukum.</w:t>
      </w:r>
    </w:p>
    <w:p>
      <w:pPr>
        <w:spacing w:after="20" w:before="100"/>
      </w:pPr>
      <w:r>
        <w:rPr>
          <w:rFonts w:ascii="IBM Plex Sans" w:cs="IBM Plex Sans" w:eastAsia="IBM Plex Sans" w:hAnsi="IBM Plex Sans"/>
          <w:b/>
          <w:bCs/>
          <w:color w:val="1E293B"/>
          <w:sz w:val="21"/>
          <w:szCs w:val="21"/>
        </w:rPr>
        <w:t xml:space="preserve">Kontrasepsi darurat</w:t>
      </w:r>
    </w:p>
    <w:p>
      <w:pPr>
        <w:spacing w:after="140"/>
      </w:pPr>
      <w:r>
        <w:rPr>
          <w:rFonts w:ascii="IBM Plex Sans" w:cs="IBM Plex Sans" w:eastAsia="IBM Plex Sans" w:hAnsi="IBM Plex Sans"/>
          <w:color w:val="1E293B"/>
          <w:sz w:val="21"/>
          <w:szCs w:val="21"/>
        </w:rPr>
        <w:t xml:space="preserve">Metode kontrasepsi yang digunakan setelah hubungan seksual berisiko atau kegagalan kontrasepsi untuk mencegah kehamilan, efektif bila digunakan dalam jendela waktu tertentu pascahubungan.</w:t>
      </w:r>
    </w:p>
    <w:p>
      <w:pPr>
        <w:spacing w:after="20" w:before="100"/>
      </w:pPr>
      <w:r>
        <w:rPr>
          <w:rFonts w:ascii="IBM Plex Sans" w:cs="IBM Plex Sans" w:eastAsia="IBM Plex Sans" w:hAnsi="IBM Plex Sans"/>
          <w:b/>
          <w:bCs/>
          <w:color w:val="1E293B"/>
          <w:sz w:val="21"/>
          <w:szCs w:val="21"/>
        </w:rPr>
        <w:t xml:space="preserve">Medical Eligibility Criteria (MEC)</w:t>
      </w:r>
    </w:p>
    <w:p>
      <w:pPr>
        <w:spacing w:after="140"/>
      </w:pPr>
      <w:r>
        <w:rPr>
          <w:rFonts w:ascii="IBM Plex Sans" w:cs="IBM Plex Sans" w:eastAsia="IBM Plex Sans" w:hAnsi="IBM Plex Sans"/>
          <w:color w:val="1E293B"/>
          <w:sz w:val="21"/>
          <w:szCs w:val="21"/>
        </w:rPr>
        <w:t xml:space="preserve">Kerangka klasifikasi empat kategori kelayakan medis penggunaan metode kontrasepsi tertentu pada kondisi kesehatan spesifik, diterbitkan oleh WHO.</w:t>
      </w:r>
    </w:p>
    <w:p>
      <w:pPr>
        <w:spacing w:after="20" w:before="100"/>
      </w:pPr>
      <w:r>
        <w:rPr>
          <w:rFonts w:ascii="IBM Plex Sans" w:cs="IBM Plex Sans" w:eastAsia="IBM Plex Sans" w:hAnsi="IBM Plex Sans"/>
          <w:b/>
          <w:bCs/>
          <w:color w:val="1E293B"/>
          <w:sz w:val="21"/>
          <w:szCs w:val="21"/>
        </w:rPr>
        <w:t xml:space="preserve">Layanan ramah remaja (adolescent-friendly services)</w:t>
      </w:r>
    </w:p>
    <w:p>
      <w:pPr>
        <w:spacing w:after="140"/>
      </w:pPr>
      <w:r>
        <w:rPr>
          <w:rFonts w:ascii="IBM Plex Sans" w:cs="IBM Plex Sans" w:eastAsia="IBM Plex Sans" w:hAnsi="IBM Plex Sans"/>
          <w:color w:val="1E293B"/>
          <w:sz w:val="21"/>
          <w:szCs w:val="21"/>
        </w:rPr>
        <w:t xml:space="preserve">Model layanan kesehatan yang dirancang aksesibel, rahasia, dan tidak menghakimi bagi remaja, guna mendorong pemanfaatan layanan kesehatan reproduksi secara nyaman.</w:t>
      </w:r>
    </w:p>
    <w:p>
      <w:pPr>
        <w:spacing w:after="20" w:before="100"/>
      </w:pPr>
      <w:r>
        <w:rPr>
          <w:rFonts w:ascii="IBM Plex Sans" w:cs="IBM Plex Sans" w:eastAsia="IBM Plex Sans" w:hAnsi="IBM Plex Sans"/>
          <w:b/>
          <w:bCs/>
          <w:color w:val="1E293B"/>
          <w:sz w:val="21"/>
          <w:szCs w:val="21"/>
        </w:rPr>
        <w:t xml:space="preserve">Kekerasan dalam rumah tangga (KDRT)</w:t>
      </w:r>
    </w:p>
    <w:p>
      <w:pPr>
        <w:spacing w:after="140"/>
      </w:pPr>
      <w:r>
        <w:rPr>
          <w:rFonts w:ascii="IBM Plex Sans" w:cs="IBM Plex Sans" w:eastAsia="IBM Plex Sans" w:hAnsi="IBM Plex Sans"/>
          <w:color w:val="1E293B"/>
          <w:sz w:val="21"/>
          <w:szCs w:val="21"/>
        </w:rPr>
        <w:t xml:space="preserve">Setiap perbuatan yang mengakibatkan kesengsaraan fisik, seksual, psikologis, atau penelantaran rumah tangga, termasuk ancaman, pemaksaan, atau perampasan kemerdekaan secara melawan hukum dalam lingkup rumah tangga.</w:t>
      </w:r>
    </w:p>
    <w:p>
      <w:pPr>
        <w:spacing w:after="20" w:before="100"/>
      </w:pPr>
      <w:r>
        <w:rPr>
          <w:rFonts w:ascii="IBM Plex Sans" w:cs="IBM Plex Sans" w:eastAsia="IBM Plex Sans" w:hAnsi="IBM Plex Sans"/>
          <w:b/>
          <w:bCs/>
          <w:color w:val="1E293B"/>
          <w:sz w:val="21"/>
          <w:szCs w:val="21"/>
        </w:rPr>
        <w:t xml:space="preserve">Pendekatan LIVES</w:t>
      </w:r>
    </w:p>
    <w:p>
      <w:pPr>
        <w:spacing w:after="140"/>
      </w:pPr>
      <w:r>
        <w:rPr>
          <w:rFonts w:ascii="IBM Plex Sans" w:cs="IBM Plex Sans" w:eastAsia="IBM Plex Sans" w:hAnsi="IBM Plex Sans"/>
          <w:color w:val="1E293B"/>
          <w:sz w:val="21"/>
          <w:szCs w:val="21"/>
        </w:rPr>
        <w:t xml:space="preserve">Kerangka respons klinis WHO terhadap korban kekerasan berbasis gender yang terdiri atas lima langkah: Listen (mendengarkan), Inquire (menanyakan kebutuhan), Validate (memvalidasi pengalaman), Enhance safety (meningkatkan keamanan), dan Support (memberi dukungan lanjutan).</w:t>
      </w:r>
    </w:p>
    <w:p>
      <w:pPr>
        <w:spacing w:after="20" w:before="100"/>
      </w:pPr>
      <w:r>
        <w:rPr>
          <w:rFonts w:ascii="IBM Plex Sans" w:cs="IBM Plex Sans" w:eastAsia="IBM Plex Sans" w:hAnsi="IBM Plex Sans"/>
          <w:b/>
          <w:bCs/>
          <w:color w:val="1E293B"/>
          <w:sz w:val="21"/>
          <w:szCs w:val="21"/>
        </w:rPr>
        <w:t xml:space="preserve">Imunisasi maternal</w:t>
      </w:r>
    </w:p>
    <w:p>
      <w:pPr>
        <w:spacing w:after="140"/>
      </w:pPr>
      <w:r>
        <w:rPr>
          <w:rFonts w:ascii="IBM Plex Sans" w:cs="IBM Plex Sans" w:eastAsia="IBM Plex Sans" w:hAnsi="IBM Plex Sans"/>
          <w:color w:val="1E293B"/>
          <w:sz w:val="21"/>
          <w:szCs w:val="21"/>
        </w:rPr>
        <w:t xml:space="preserve">Pemberian vaksin kepada perempuan selama kehamilan atau periode prakonsepsi untuk melindungi ibu dan/atau memberikan transfer imunitas pasif kepada janin.</w:t>
      </w:r>
    </w:p>
    <w:p>
      <w:pPr>
        <w:spacing w:after="20" w:before="100"/>
      </w:pPr>
      <w:r>
        <w:rPr>
          <w:rFonts w:ascii="IBM Plex Sans" w:cs="IBM Plex Sans" w:eastAsia="IBM Plex Sans" w:hAnsi="IBM Plex Sans"/>
          <w:b/>
          <w:bCs/>
          <w:color w:val="1E293B"/>
          <w:sz w:val="21"/>
          <w:szCs w:val="21"/>
        </w:rPr>
        <w:t xml:space="preserve">Vaksin inaktif</w:t>
      </w:r>
    </w:p>
    <w:p>
      <w:pPr>
        <w:spacing w:after="140"/>
      </w:pPr>
      <w:r>
        <w:rPr>
          <w:rFonts w:ascii="IBM Plex Sans" w:cs="IBM Plex Sans" w:eastAsia="IBM Plex Sans" w:hAnsi="IBM Plex Sans"/>
          <w:color w:val="1E293B"/>
          <w:sz w:val="21"/>
          <w:szCs w:val="21"/>
        </w:rPr>
        <w:t xml:space="preserve">Vaksin yang mengandung mikroorganisme atau komponen yang telah dimatikan sehingga tidak dapat bereplikasi, umumnya dapat diberikan pada kehamilan sesuai indikasi.</w:t>
      </w:r>
    </w:p>
    <w:p>
      <w:pPr>
        <w:spacing w:after="20" w:before="100"/>
      </w:pPr>
      <w:r>
        <w:rPr>
          <w:rFonts w:ascii="IBM Plex Sans" w:cs="IBM Plex Sans" w:eastAsia="IBM Plex Sans" w:hAnsi="IBM Plex Sans"/>
          <w:b/>
          <w:bCs/>
          <w:color w:val="1E293B"/>
          <w:sz w:val="21"/>
          <w:szCs w:val="21"/>
        </w:rPr>
        <w:t xml:space="preserve">Vaksin hidup dilemahkan (live-attenuated)</w:t>
      </w:r>
    </w:p>
    <w:p>
      <w:pPr>
        <w:spacing w:after="140"/>
      </w:pPr>
      <w:r>
        <w:rPr>
          <w:rFonts w:ascii="IBM Plex Sans" w:cs="IBM Plex Sans" w:eastAsia="IBM Plex Sans" w:hAnsi="IBM Plex Sans"/>
          <w:color w:val="1E293B"/>
          <w:sz w:val="21"/>
          <w:szCs w:val="21"/>
        </w:rPr>
        <w:t xml:space="preserve">Vaksin yang mengandung mikroorganisme hidup yang telah dilemahkan virulensinya; umumnya dikontraindikasikan pada kehamilan karena potensi risiko terhadap janin.</w:t>
      </w:r>
    </w:p>
    <w:p>
      <w:pPr>
        <w:spacing w:after="20" w:before="100"/>
      </w:pPr>
      <w:r>
        <w:rPr>
          <w:rFonts w:ascii="IBM Plex Sans" w:cs="IBM Plex Sans" w:eastAsia="IBM Plex Sans" w:hAnsi="IBM Plex Sans"/>
          <w:b/>
          <w:bCs/>
          <w:color w:val="1E293B"/>
          <w:sz w:val="21"/>
          <w:szCs w:val="21"/>
        </w:rPr>
        <w:t xml:space="preserve">Pendekatan holistik</w:t>
      </w:r>
    </w:p>
    <w:p>
      <w:pPr>
        <w:spacing w:after="140"/>
      </w:pPr>
      <w:r>
        <w:rPr>
          <w:rFonts w:ascii="IBM Plex Sans" w:cs="IBM Plex Sans" w:eastAsia="IBM Plex Sans" w:hAnsi="IBM Plex Sans"/>
          <w:color w:val="1E293B"/>
          <w:sz w:val="21"/>
          <w:szCs w:val="21"/>
        </w:rPr>
        <w:t xml:space="preserve">Cara pandang klinis yang mempertimbangkan Pasien secara menyeluruh — biologis, psikologis, sosial, dan kultural — bukan semata pada keluhan atau diagnosis tunggal.</w:t>
      </w:r>
    </w:p>
    <w:p>
      <w:pPr>
        <w:spacing w:after="20" w:before="100"/>
      </w:pPr>
      <w:r>
        <w:rPr>
          <w:rFonts w:ascii="IBM Plex Sans" w:cs="IBM Plex Sans" w:eastAsia="IBM Plex Sans" w:hAnsi="IBM Plex Sans"/>
          <w:b/>
          <w:bCs/>
          <w:color w:val="1E293B"/>
          <w:sz w:val="21"/>
          <w:szCs w:val="21"/>
        </w:rPr>
        <w:t xml:space="preserve">Kasus etik medikolegal</w:t>
      </w:r>
    </w:p>
    <w:p>
      <w:pPr>
        <w:spacing w:after="140"/>
      </w:pPr>
      <w:r>
        <w:rPr>
          <w:rFonts w:ascii="IBM Plex Sans" w:cs="IBM Plex Sans" w:eastAsia="IBM Plex Sans" w:hAnsi="IBM Plex Sans"/>
          <w:color w:val="1E293B"/>
          <w:sz w:val="21"/>
          <w:szCs w:val="21"/>
        </w:rPr>
        <w:t xml:space="preserve">Situasi klinis yang berpotensi menimbulkan permasalahan etik sekaligus implikasi hukum, misalnya kekerasan fisik, kekerasan seksual, atau kasus yang memerlukan keterangan ahli di pengadilan.</w:t>
      </w:r>
    </w:p>
    <w:p>
      <w:pPr>
        <w:spacing w:after="20" w:before="100"/>
      </w:pPr>
      <w:r>
        <w:rPr>
          <w:rFonts w:ascii="IBM Plex Sans" w:cs="IBM Plex Sans" w:eastAsia="IBM Plex Sans" w:hAnsi="IBM Plex Sans"/>
          <w:b/>
          <w:bCs/>
          <w:color w:val="1E293B"/>
          <w:sz w:val="21"/>
          <w:szCs w:val="21"/>
        </w:rPr>
        <w:t xml:space="preserve">Rekam medis</w:t>
      </w:r>
    </w:p>
    <w:p>
      <w:pPr>
        <w:spacing w:after="140"/>
      </w:pPr>
      <w:r>
        <w:rPr>
          <w:rFonts w:ascii="IBM Plex Sans" w:cs="IBM Plex Sans" w:eastAsia="IBM Plex Sans" w:hAnsi="IBM Plex Sans"/>
          <w:color w:val="1E293B"/>
          <w:sz w:val="21"/>
          <w:szCs w:val="21"/>
        </w:rPr>
        <w:t xml:space="preserve">Berkas yang memuat catatan dan dokumen identitas Pasien, hasil pemeriksaan, pengobatan, tindakan, dan pelayanan lain yang telah diberikan kepada Pasien.</w:t>
      </w:r>
    </w:p>
    <w:p>
      <w:pPr>
        <w:spacing w:after="20" w:before="100"/>
      </w:pPr>
      <w:r>
        <w:rPr>
          <w:rFonts w:ascii="IBM Plex Sans" w:cs="IBM Plex Sans" w:eastAsia="IBM Plex Sans" w:hAnsi="IBM Plex Sans"/>
          <w:b/>
          <w:bCs/>
          <w:color w:val="1E293B"/>
          <w:sz w:val="21"/>
          <w:szCs w:val="21"/>
        </w:rPr>
        <w:t xml:space="preserve">Kriteria kelayakan medis kontrasepsi</w:t>
      </w:r>
    </w:p>
    <w:p>
      <w:pPr>
        <w:spacing w:after="140"/>
      </w:pPr>
      <w:r>
        <w:rPr>
          <w:rFonts w:ascii="IBM Plex Sans" w:cs="IBM Plex Sans" w:eastAsia="IBM Plex Sans" w:hAnsi="IBM Plex Sans"/>
          <w:color w:val="1E293B"/>
          <w:sz w:val="21"/>
          <w:szCs w:val="21"/>
        </w:rPr>
        <w:t xml:space="preserve">Lihat Medical Eligibility Criteria (MEC).</w:t>
      </w:r>
    </w:p>
    <w:p>
      <w:pPr>
        <w:spacing w:after="20" w:before="100"/>
      </w:pPr>
      <w:r>
        <w:rPr>
          <w:rFonts w:ascii="IBM Plex Sans" w:cs="IBM Plex Sans" w:eastAsia="IBM Plex Sans" w:hAnsi="IBM Plex Sans"/>
          <w:b/>
          <w:bCs/>
          <w:color w:val="1E293B"/>
          <w:sz w:val="21"/>
          <w:szCs w:val="21"/>
        </w:rPr>
        <w:t xml:space="preserve">Kehamilan remaja</w:t>
      </w:r>
    </w:p>
    <w:p>
      <w:pPr>
        <w:spacing w:after="140"/>
      </w:pPr>
      <w:r>
        <w:rPr>
          <w:rFonts w:ascii="IBM Plex Sans" w:cs="IBM Plex Sans" w:eastAsia="IBM Plex Sans" w:hAnsi="IBM Plex Sans"/>
          <w:color w:val="1E293B"/>
          <w:sz w:val="21"/>
          <w:szCs w:val="21"/>
        </w:rPr>
        <w:t xml:space="preserve">Kehamilan yang terjadi pada perempuan berusia di bawah 20 tahun, berasosiasi dengan peningkatan risiko komplikasi obstetri dan kerentanan psikososial.</w:t>
      </w:r>
    </w:p>
    <w:sectPr>
      <w:headerReference w:type="default" r:id="rId7"/>
      <w:footerReference w:type="default" r:id="rId8"/>
      <w:pgSz w:w="11906" w:h="16838"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Sans" w:cs="IBM Plex Sans" w:eastAsia="IBM Plex Sans" w:hAnsi="IBM Plex Sans"/>
        <w:color w:val="475569"/>
        <w:sz w:val="16"/>
        <w:szCs w:val="16"/>
      </w:rPr>
      <w:t xml:space="preserve">Dokumen 12 dari 15 — Kategori Buku</w:t>
    </w:r>
    <w:r>
      <w:rPr>
        <w:rFonts w:ascii="IBM Plex Sans" w:cs="IBM Plex Sans" w:eastAsia="IBM Plex Sans" w:hAnsi="IBM Plex Sans"/>
        <w:color w:val="475569"/>
        <w:sz w:val="16"/>
        <w:szCs w:val="16"/>
      </w:rPr>
      <w:t xml:space="preserve">	Halaman </w:t>
    </w:r>
    <w:r>
      <w:rPr>
        <w:rFonts w:ascii="IBM Plex Sans" w:cs="IBM Plex Sans" w:eastAsia="IBM Plex Sans" w:hAnsi="IBM Plex Sans"/>
        <w:color w:val="475569"/>
        <w:sz w:val="16"/>
        <w:szCs w:val="16"/>
      </w:rPr>
      <w:fldChar w:fldCharType="begin"/>
      <w:instrText xml:space="preserve">PAGE</w:instrText>
      <w:fldChar w:fldCharType="separate"/>
      <w:fldChar w:fldCharType="end"/>
    </w:r>
    <w:r>
      <w:rPr>
        <w:rFonts w:ascii="IBM Plex Sans" w:cs="IBM Plex Sans" w:eastAsia="IBM Plex Sans" w:hAnsi="IBM Plex Sans"/>
        <w:color w:val="475569"/>
        <w:sz w:val="16"/>
        <w:szCs w:val="16"/>
      </w:rPr>
      <w:t xml:space="preserve"> / </w:t>
    </w:r>
    <w:r>
      <w:rPr>
        <w:rFonts w:ascii="IBM Plex Sans" w:cs="IBM Plex Sans" w:eastAsia="IBM Plex Sans" w:hAnsi="IBM Plex Sans"/>
        <w:color w:val="47556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Sans" w:cs="IBM Plex Sans" w:eastAsia="IBM Plex Sans" w:hAnsi="IBM Plex Sans"/>
        <w:color w:val="475569"/>
        <w:sz w:val="16"/>
        <w:szCs w:val="16"/>
      </w:rPr>
      <w:t xml:space="preserve">B11 · Kedokteran Sosial, Mediko-Legal, Kontrasepsi, dan Kesehatan Reproduksi Remaja</w:t>
    </w:r>
    <w:r>
      <w:rPr>
        <w:rFonts w:ascii="IBM Plex Sans" w:cs="IBM Plex Sans" w:eastAsia="IBM Plex Sans" w:hAnsi="IBM Plex Sans"/>
        <w:color w:val="475569"/>
        <w:sz w:val="16"/>
        <w:szCs w:val="16"/>
      </w:rPr>
      <w:t xml:space="preserve">	Buku Tematik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bnsuo9stgrxnruwtlvnyl" Type="http://schemas.openxmlformats.org/officeDocument/2006/relationships/hyperlink" Target="https://peraturan.bpk.go.id/Details/258028/uu-no-17-tahun-2023" TargetMode="External"/><Relationship Id="rIdcqhcqblptdohvacxaubxq" Type="http://schemas.openxmlformats.org/officeDocument/2006/relationships/hyperlink" Target="https://www.who.int/health-topics/social-determinants-of-health" TargetMode="External"/><Relationship Id="rIdrnh4kmdpedfcg_zeok8yh" Type="http://schemas.openxmlformats.org/officeDocument/2006/relationships/hyperlink" Target="https://www.cochranelibrary.com/cdsr/doi/10.1002/14651858.CD003766.pub6/full" TargetMode="External"/><Relationship Id="rId6fhrlqynacunfa1h3cwq1" Type="http://schemas.openxmlformats.org/officeDocument/2006/relationships/hyperlink" Target="https://www.figo.org/sites/default/files/2021-11/FIGO-Ethics-Guidelines-onlinePDF.pdf" TargetMode="External"/><Relationship Id="rId8njenptil7shgkqzk_yxt" Type="http://schemas.openxmlformats.org/officeDocument/2006/relationships/hyperlink" Target="https://www.who.int/publications/i/item/B09597" TargetMode="External"/><Relationship Id="rIdbhg3z7rsiygkcwmui13a3" Type="http://schemas.openxmlformats.org/officeDocument/2006/relationships/hyperlink" Target="https://www.who.int/publications/i/item/9789240115606" TargetMode="External"/><Relationship Id="rIdbpvd84h_ntno5t0y_digx" Type="http://schemas.openxmlformats.org/officeDocument/2006/relationships/hyperlink" Target="https://www.who.int/news/item/23-04-2025-who-releases-new-guideline-to-prevent-adolescent-pregnancies-and-improve-girls--health" TargetMode="External"/><Relationship Id="rIdmpsvjeiwwna34z76n2urn" Type="http://schemas.openxmlformats.org/officeDocument/2006/relationships/hyperlink" Target="https://internationalmidwives.org/resources/essential-competencies-for-midwifery-practice/" TargetMode="External"/><Relationship Id="rIdy1nktz9bz81xbd0kd3drn" Type="http://schemas.openxmlformats.org/officeDocument/2006/relationships/hyperlink" Target="https://www.acog.org/clinical/clinical-guidance/committee-statement/articles/2026/02/maternal-immunizations" TargetMode="External"/><Relationship Id="rId2bd-0mu29ody1ux7wvrj2" Type="http://schemas.openxmlformats.org/officeDocument/2006/relationships/hyperlink" Target="https://www.who.int/publications/i/item/who-wer9750-645-672" TargetMode="External"/><Relationship Id="rId_e75o9uy9u4emdirrtpkr" Type="http://schemas.openxmlformats.org/officeDocument/2006/relationships/hyperlink" Target="https://www.who.int/publications/i/item/WHO-RHR-13.10"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Kedokteran Sosial, Mediko-Legal, Kontrasepsi, dan Kesehatan Reproduksi Remaja — Tingkat Spesialis — Program Pendidikan Dokter Spesialis Obstetri dan Ginekologi</dc:title>
  <dc:creator>Dr.dr. Budi Siswanto, Sp.OG., Subsp.Obginsos., SH., S.Kom.</dc:creator>
  <dc:description>Perpustakaan Digital ABBA, Jl. Kerinci Raya No. 9, Malang 65138</dc:description>
  <cp:lastModifiedBy>Un-named</cp:lastModifiedBy>
  <cp:revision>1</cp:revision>
  <dcterms:created xsi:type="dcterms:W3CDTF">2026-08-16T23:19:17.287Z</dcterms:created>
  <dcterms:modified xsi:type="dcterms:W3CDTF">2026-08-16T23:19:17.287Z</dcterms:modified>
</cp:coreProperties>
</file>

<file path=docProps/custom.xml><?xml version="1.0" encoding="utf-8"?>
<Properties xmlns="http://schemas.openxmlformats.org/officeDocument/2006/custom-properties" xmlns:vt="http://schemas.openxmlformats.org/officeDocument/2006/docPropsVTypes"/>
</file>