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jc w:val="center"/>
      </w:pPr>
      <w:r>
        <w:rPr>
          <w:rFonts w:ascii="IBM Plex Mono" w:cs="IBM Plex Mono" w:eastAsia="IBM Plex Mono" w:hAnsi="IBM Plex Mono"/>
          <w:b/>
          <w:bCs/>
          <w:color w:val="B45309"/>
          <w:sz w:val="20"/>
          <w:szCs w:val="20"/>
        </w:rPr>
        <w:t xml:space="preserve">EKOSISTEM LITERATUR STANDAR SpOG</w:t>
      </w:r>
    </w:p>
    <w:p>
      <w:pPr>
        <w:spacing w:after="80" w:before="80"/>
        <w:jc w:val="center"/>
      </w:pPr>
      <w:r>
        <w:rPr>
          <w:rFonts w:ascii="IBM Plex Mono" w:cs="IBM Plex Mono" w:eastAsia="IBM Plex Mono" w:hAnsi="IBM Plex Mono"/>
          <w:b/>
          <w:bCs/>
          <w:color w:val="4F46E5"/>
          <w:sz w:val="20"/>
          <w:szCs w:val="20"/>
        </w:rPr>
        <w:t xml:space="preserve">BUKU TEMATIK B12</w:t>
      </w:r>
    </w:p>
    <w:p>
      <w:pPr>
        <w:spacing w:after="400" w:before="400"/>
        <w:jc w:val="center"/>
      </w:pPr>
      <w:r>
        <w:rPr>
          <w:rFonts w:ascii="Source Serif 4" w:cs="Source Serif 4" w:eastAsia="Source Serif 4" w:hAnsi="Source Serif 4"/>
          <w:b/>
          <w:bCs/>
          <w:color w:val="1E1B4B"/>
          <w:sz w:val="44"/>
          <w:szCs w:val="44"/>
        </w:rPr>
        <w:t xml:space="preserve">Keterampilan Prosedural dan Kompetensi Teknis Spesialis Obstetri dan Ginekologi</w:t>
      </w:r>
    </w:p>
    <w:p>
      <w:pPr>
        <w:spacing w:after="800" w:before="200"/>
        <w:jc w:val="center"/>
      </w:pPr>
      <w:r>
        <w:rPr>
          <w:rFonts w:ascii="IBM Plex Sans" w:cs="IBM Plex Sans" w:eastAsia="IBM Plex Sans" w:hAnsi="IBM Plex Sans"/>
          <w:color w:val="334155"/>
          <w:sz w:val="22"/>
          <w:szCs w:val="22"/>
        </w:rPr>
        <w:t xml:space="preserve">Dokumen 13 dari 15</w:t>
      </w:r>
    </w:p>
    <w:p>
      <w:pPr>
        <w:spacing w:before="2000"/>
        <w:jc w:val="center"/>
      </w:pPr>
      <w:r>
        <w:rPr>
          <w:rFonts w:ascii="IBM Plex Sans" w:cs="IBM Plex Sans" w:eastAsia="IBM Plex Sans" w:hAnsi="IBM Plex Sans"/>
          <w:b/>
          <w:bCs/>
          <w:color w:val="B45309"/>
          <w:sz w:val="20"/>
          <w:szCs w:val="20"/>
        </w:rPr>
        <w:t xml:space="preserve">Dasar Regulasi</w:t>
      </w:r>
    </w:p>
    <w:p>
      <w:pPr>
        <w:spacing w:before="80"/>
        <w:jc w:val="center"/>
      </w:pPr>
      <w:r>
        <w:rPr>
          <w:rFonts w:ascii="IBM Plex Sans" w:cs="IBM Plex Sans" w:eastAsia="IBM Plex Sans" w:hAnsi="IBM Plex Sans"/>
          <w:i/>
          <w:iCs/>
          <w:color w:val="334155"/>
          <w:sz w:val="18"/>
          <w:szCs w:val="18"/>
        </w:rPr>
        <w:t xml:space="preserve">Keputusan Ketua Konsil Kesehatan Indonesia Nomor HK.01.02/KKI/1318/2026 tentang Standar Kompetensi Dokter Spesialis dan Subspesialis Bidang Obstetri dan Ginekologi ('Kepkonsil'), ditetapkan di Jakarta pada tanggal 7 Mei 2026.</w:t>
      </w:r>
    </w:p>
    <w:p>
      <w:pPr>
        <w:spacing w:before="600"/>
        <w:jc w:val="center"/>
      </w:pPr>
      <w:r>
        <w:rPr>
          <w:rFonts w:ascii="IBM Plex Sans" w:cs="IBM Plex Sans" w:eastAsia="IBM Plex Sans" w:hAnsi="IBM Plex Sans"/>
          <w:color w:val="334155"/>
          <w:sz w:val="18"/>
          <w:szCs w:val="18"/>
        </w:rPr>
        <w:t xml:space="preserve">Audiens: Peserta Program Pendidikan Dokter Spesialis (PPDS) Obstetri dan Ginekologi seluruh tahun, sesuai tingkat kewenangan bertingkat.</w:t>
      </w:r>
    </w:p>
    <w:p>
      <w:pPr>
        <w:spacing w:before="1400"/>
        <w:jc w:val="center"/>
      </w:pPr>
      <w:r>
        <w:rPr>
          <w:rFonts w:ascii="IBM Plex Sans" w:cs="IBM Plex Sans" w:eastAsia="IBM Plex Sans" w:hAnsi="IBM Plex Sans"/>
          <w:b/>
          <w:bCs/>
          <w:color w:val="1E1B4B"/>
          <w:sz w:val="22"/>
          <w:szCs w:val="22"/>
        </w:rPr>
        <w:t xml:space="preserve">Dr.dr. Budi Siswanto, Sp.OG., Subsp.Obginsos., SH., S.Kom.</w:t>
      </w:r>
    </w:p>
    <w:p>
      <w:pPr>
        <w:spacing w:before="100"/>
        <w:jc w:val="center"/>
      </w:pPr>
      <w:r>
        <w:rPr>
          <w:rFonts w:ascii="IBM Plex Sans" w:cs="IBM Plex Sans" w:eastAsia="IBM Plex Sans" w:hAnsi="IBM Plex Sans"/>
          <w:color w:val="334155"/>
          <w:sz w:val="19"/>
          <w:szCs w:val="19"/>
        </w:rPr>
        <w:t xml:space="preserve">Perpustakaan Digital ABBA · 2026</w:t>
      </w:r>
    </w:p>
    <w:p>
      <w:pPr>
        <w:spacing w:before="40"/>
        <w:jc w:val="center"/>
      </w:pPr>
      <w:r>
        <w:rPr>
          <w:rFonts w:ascii="IBM Plex Sans" w:cs="IBM Plex Sans" w:eastAsia="IBM Plex Sans" w:hAnsi="IBM Plex Sans"/>
          <w:color w:val="334155"/>
          <w:sz w:val="17"/>
          <w:szCs w:val="17"/>
        </w:rPr>
        <w:t xml:space="preserve">Jl. Kerinci Raya No. 9, Malang 65138</w:t>
      </w:r>
    </w:p>
    <w:p>
      <w:r>
        <w:br w:type="page"/>
      </w:r>
    </w:p>
    <w:p>
      <w:pPr>
        <w:sectPr>
          <w:pgSz w:w="12240" w:h="15840" w:orient="portrait"/>
          <w:pgMar w:top="1440" w:right="1350" w:bottom="1440" w:left="1350" w:header="708" w:footer="708" w:gutter="0"/>
          <w:pgNumType/>
          <w:docGrid w:linePitch="360"/>
        </w:sectPr>
      </w:pPr>
    </w:p>
    <w:p>
      <w:pPr>
        <w:pStyle w:val="Heading1"/>
      </w:pPr>
      <w:r>
        <w:t xml:space="preserve">Daftar Isi</w:t>
      </w:r>
    </w:p>
    <w:sdt>
      <w:sdtPr>
        <w:alias w:val="Daftar Isi"/>
      </w:sdtPr>
      <w:sdtContent>
        <w:p>
          <w:r>
            <w:fldChar w:fldCharType="begin" w:dirty="true"/>
            <w:instrText xml:space="preserve">TOC \h \o "1-3"</w:instrText>
            <w:fldChar w:fldCharType="separate"/>
          </w:r>
        </w:p>
        <w:p>
          <w:r>
            <w:fldChar w:fldCharType="end"/>
          </w:r>
        </w:p>
      </w:sdtContent>
    </w:sdt>
    <w:p>
      <w:r>
        <w:br w:type="page"/>
      </w:r>
    </w:p>
    <w:p>
      <w:pPr>
        <w:pStyle w:val="Heading1"/>
        <w:spacing w:after="200" w:before="200"/>
      </w:pPr>
      <w:r>
        <w:t xml:space="preserve">BAB I — PENDAHULUAN</w:t>
      </w:r>
    </w:p>
    <w:p>
      <w:pPr>
        <w:pStyle w:val="Heading2"/>
        <w:spacing w:after="120" w:before="240"/>
      </w:pPr>
      <w:r>
        <w:t xml:space="preserve">1.1 Latar Belakang</w:t>
      </w:r>
    </w:p>
    <w:p>
      <w:pPr>
        <w:spacing w:after="160" w:line="300"/>
      </w:pPr>
      <w:r>
        <w:rPr>
          <w:rFonts w:ascii="IBM Plex Sans" w:cs="IBM Plex Sans" w:eastAsia="IBM Plex Sans" w:hAnsi="IBM Plex Sans"/>
          <w:color w:val="1E293B"/>
          <w:sz w:val="22"/>
          <w:szCs w:val="22"/>
        </w:rPr>
        <w:t xml:space="preserve">Keterampilan prosedural dan kompetensi teknis merupakan inti dari praktik klinis Dokter Spesialis Obstetri dan Ginekologi (Sp.OG — Obstetrics and Gynecology Specialist). Berbeda dari kompetensi kognitif yang dapat dinilai melalui ujian tertulis, kompetensi prosedural menuntut pembuktian langsung berupa penguasaan teknik, ketepatan indikasi, keamanan tindakan, dan kemampuan menangani komplikasi intra maupun pascatindakan. Buku tematik ini menyusun secara sistematis daftar prosedur klinis yang wajib dikuasai oleh Dokter Spesialis Obstetri dan Ginekologi serta kelima subspesialisasinya, berikut kriteria kinerja minimal (volume kasus, target keberhasilan, dan batas komplikasi) yang menjadi acuan penilaian kompetensi selama pendidikan maupun pascakelulusan.</w:t>
      </w:r>
    </w:p>
    <w:p>
      <w:pPr>
        <w:spacing w:after="160" w:line="300"/>
      </w:pPr>
      <w:r>
        <w:rPr>
          <w:rFonts w:ascii="IBM Plex Sans" w:cs="IBM Plex Sans" w:eastAsia="IBM Plex Sans" w:hAnsi="IBM Plex Sans"/>
          <w:color w:val="1E293B"/>
          <w:sz w:val="22"/>
          <w:szCs w:val="22"/>
        </w:rPr>
        <w:t xml:space="preserve">Penyusunan buku ini didasarkan langsung pada Lampiran Kepkonsil Nomor HK.01.02/KKI/1318/2026, khususnya Tabel 13 (Intervensi Klinis dan Prosedur Klinis yang Dikuasai Spesialis dan Subspesialis) dan Tabel 21 (Kompetensi Prosedur Klinis Spesialis Obstetri dan Ginekologi), beserta Tabel 22-24 yang memuat kompetensi prosedur klinis tiap subspesialisasi. Seluruh daftar prosedur, kriteria kinerja minimal, dan volume kasus pada buku ini diekstrak ulang langsung dari teks lampiran tersebut, bukan dari ringkasan pihak ketiga.</w:t>
      </w:r>
    </w:p>
    <w:tbl>
      <w:tblPr>
        <w:tblW w:type="dxa" w:w="9350"/>
        <w:tblBorders>
          <w:top w:val="single" w:color="B45309" w:sz="12"/>
          <w:left w:val="single" w:color="B45309" w:sz="24"/>
          <w:bottom w:val="single" w:color="B45309" w:sz="12"/>
          <w:right w:val="single" w:color="B45309" w:sz="12"/>
          <w:insideH w:val="single" w:color="auto" w:sz="4"/>
          <w:insideV w:val="single" w:color="auto" w:sz="4"/>
        </w:tblBorders>
      </w:tblPr>
      <w:tblGrid>
        <w:gridCol w:w="100"/>
      </w:tblGrid>
      <w:tr>
        <w:tc>
          <w:tcPr>
            <w:tcW w:type="dxa" w:w="9350"/>
            <w:shd w:fill="FEF3E2" w:val="clear"/>
            <w:tcMar>
              <w:top w:type="dxa" w:w="160"/>
              <w:left w:type="dxa" w:w="200"/>
              <w:bottom w:type="dxa" w:w="160"/>
              <w:right w:type="dxa" w:w="200"/>
            </w:tcMar>
          </w:tcPr>
          <w:p>
            <w:pPr>
              <w:spacing w:after="60"/>
            </w:pPr>
            <w:r>
              <w:rPr>
                <w:rFonts w:ascii="IBM Plex Sans" w:cs="IBM Plex Sans" w:eastAsia="IBM Plex Sans" w:hAnsi="IBM Plex Sans"/>
                <w:b/>
                <w:bCs/>
                <w:color w:val="B45309"/>
                <w:sz w:val="20"/>
                <w:szCs w:val="20"/>
              </w:rPr>
              <w:t xml:space="preserve">DASAR REGULASI</w:t>
            </w:r>
          </w:p>
          <w:p>
            <w:r>
              <w:rPr>
                <w:rFonts w:ascii="IBM Plex Mono" w:cs="IBM Plex Mono" w:eastAsia="IBM Plex Mono" w:hAnsi="IBM Plex Mono"/>
                <w:color w:val="78350F"/>
                <w:sz w:val="18"/>
                <w:szCs w:val="18"/>
              </w:rPr>
              <w:t xml:space="preserve">Kepkonsil No. HK.01.02/KKI/1318/2026, Lampiran BAB III bagian A.2 ('Intervensi Klinis dan Prosedur Klinis yang Dikuasai') Tabel 13, dan bagian c ('Kompetensi Prosedur Klinis') Tabel 21-24.</w:t>
            </w:r>
          </w:p>
        </w:tc>
      </w:tr>
    </w:tbl>
    <w:p>
      <w:pPr>
        <w:spacing w:after="160"/>
      </w:pPr>
    </w:p>
    <w:p>
      <w:pPr>
        <w:pStyle w:val="Heading2"/>
        <w:spacing w:after="120" w:before="240"/>
      </w:pPr>
      <w:r>
        <w:t xml:space="preserve">1.2 Tujuan Buku Tematik</w:t>
      </w:r>
    </w:p>
    <w:p>
      <w:pPr>
        <w:pStyle w:val="ListParagraph"/>
        <w:numPr>
          <w:ilvl w:val="0"/>
          <w:numId w:val="2"/>
        </w:numPr>
        <w:spacing w:after="100"/>
      </w:pPr>
      <w:r>
        <w:rPr>
          <w:rFonts w:ascii="IBM Plex Sans" w:cs="IBM Plex Sans" w:eastAsia="IBM Plex Sans" w:hAnsi="IBM Plex Sans"/>
          <w:color w:val="1E293B"/>
          <w:sz w:val="22"/>
          <w:szCs w:val="22"/>
        </w:rPr>
        <w:t xml:space="preserve">Menyediakan peta lengkap prosedur klinis obstetri dan ginekologi berjenjang, dari kompetensi dasar spesialis hingga kompetensi lanjutan lima subspesialisasi.</w:t>
      </w:r>
    </w:p>
    <w:p>
      <w:pPr>
        <w:pStyle w:val="ListParagraph"/>
        <w:numPr>
          <w:ilvl w:val="0"/>
          <w:numId w:val="2"/>
        </w:numPr>
        <w:spacing w:after="100"/>
      </w:pPr>
      <w:r>
        <w:rPr>
          <w:rFonts w:ascii="IBM Plex Sans" w:cs="IBM Plex Sans" w:eastAsia="IBM Plex Sans" w:hAnsi="IBM Plex Sans"/>
          <w:color w:val="1E293B"/>
          <w:sz w:val="22"/>
          <w:szCs w:val="22"/>
        </w:rPr>
        <w:t xml:space="preserve">Menjadi acuan penyusunan logbook, portofolio prosedural, dan penilaian Objective Structured Assessment of Technical Skills (OSATS) bagi peserta didik PPDS.</w:t>
      </w:r>
    </w:p>
    <w:p>
      <w:pPr>
        <w:pStyle w:val="ListParagraph"/>
        <w:numPr>
          <w:ilvl w:val="0"/>
          <w:numId w:val="2"/>
        </w:numPr>
        <w:spacing w:after="100"/>
      </w:pPr>
      <w:r>
        <w:rPr>
          <w:rFonts w:ascii="IBM Plex Sans" w:cs="IBM Plex Sans" w:eastAsia="IBM Plex Sans" w:hAnsi="IBM Plex Sans"/>
          <w:color w:val="1E293B"/>
          <w:sz w:val="22"/>
          <w:szCs w:val="22"/>
        </w:rPr>
        <w:t xml:space="preserve">Menjembatani kompetensi prosedural nasional dengan kerangka kompetensi teknis internasional (ACGME Milestones, RCOG Workplace-Based Assessment) sebagai pembanding tanpa menggantikan standar nasional.</w:t>
      </w:r>
    </w:p>
    <w:p>
      <w:pPr>
        <w:pStyle w:val="ListParagraph"/>
        <w:numPr>
          <w:ilvl w:val="0"/>
          <w:numId w:val="2"/>
        </w:numPr>
        <w:spacing w:after="100"/>
      </w:pPr>
      <w:r>
        <w:rPr>
          <w:rFonts w:ascii="IBM Plex Sans" w:cs="IBM Plex Sans" w:eastAsia="IBM Plex Sans" w:hAnsi="IBM Plex Sans"/>
          <w:color w:val="1E293B"/>
          <w:sz w:val="22"/>
          <w:szCs w:val="22"/>
        </w:rPr>
        <w:t xml:space="preserve">Menjadi dasar evaluasi kewenangan klinis bertingkat (clinical privileging) di fasilitas pelayanan kesehatan pendidikan.</w:t>
      </w:r>
    </w:p>
    <w:p>
      <w:pPr>
        <w:spacing w:after="80"/>
      </w:pPr>
    </w:p>
    <w:p>
      <w:pPr>
        <w:pStyle w:val="Heading2"/>
        <w:spacing w:after="120" w:before="240"/>
      </w:pPr>
      <w:r>
        <w:t xml:space="preserve">1.3 Ruang Lingkup</w:t>
      </w:r>
    </w:p>
    <w:p>
      <w:pPr>
        <w:spacing w:after="160" w:line="300"/>
      </w:pPr>
      <w:r>
        <w:rPr>
          <w:rFonts w:ascii="IBM Plex Sans" w:cs="IBM Plex Sans" w:eastAsia="IBM Plex Sans" w:hAnsi="IBM Plex Sans"/>
          <w:color w:val="1E293B"/>
          <w:sz w:val="22"/>
          <w:szCs w:val="22"/>
        </w:rPr>
        <w:t xml:space="preserve">Buku ini mencakup tiga domain prosedural sebagaimana distrukturkan dalam Kepkonsil: (1) prosedur obstetri, meliputi persalinan pervaginam spontan dan operatif, seksio sesarea dengan berbagai indikasi, serta tata laksana perdarahan dan robekan jalan lahir; (2) prosedur ginekologi umum dan endoskopi dasar, meliputi tindakan bedah minor hingga mayor pada kelainan jinak, serta laparoskopi dan histeroskopi diagnostik; dan (3) prosedur kegawatdaruratan obstetri-ginekologi yang menuntut respons cepat dan terstandar. Selain itu, buku ini memuat prosedur khas tiap divisi subspesialisasi sebagai pembeda kedalaman kompetensi antara Dokter Spesialis dan Dokter Subspesialis, sesuai peta diferensiasi kompetensi pada Tabel 14 Kepkonsil.</w:t>
      </w:r>
    </w:p>
    <w:p>
      <w:pPr>
        <w:pStyle w:val="Heading2"/>
        <w:spacing w:after="120" w:before="240"/>
      </w:pPr>
      <w:r>
        <w:t xml:space="preserve">1.4 Perbandingan dan Pengayaan Standar Internasional</w:t>
      </w:r>
    </w:p>
    <w:p>
      <w:pPr>
        <w:spacing w:after="160" w:line="300"/>
      </w:pPr>
      <w:r>
        <w:rPr>
          <w:rFonts w:ascii="IBM Plex Sans" w:cs="IBM Plex Sans" w:eastAsia="IBM Plex Sans" w:hAnsi="IBM Plex Sans"/>
          <w:color w:val="1E293B"/>
          <w:sz w:val="22"/>
          <w:szCs w:val="22"/>
        </w:rPr>
        <w:t xml:space="preserve">Sebagai pembanding non-superior terhadap standar nasional, buku ini merujuk pada dua kerangka kompetensi teknis internasional yang telah tervalidasi secara luas: ACGME Milestones (Accreditation Council for Graduate Medical Education, Amerika Serikat) yang menilai kompetensi prosedural residen obstetri-ginekologi melalui skala perkembangan lima tingkat (Level 1-5) pada setiap subkompetensi, dan RCOG Workplace-Based Assessment (Royal College of Obstetricians and Gynaecologists, Inggris) yang menilai keterampilan prosedural melalui Objective Structured Assessment of Technical Skills (OSATS) dan Case-Based Discussion terstruktur pada modul-modul kompetensi inti (Core Surgical Skills). Standar nasional (Kepkonsil) menetapkan volume kasus minimal dan target performa numerik eksplisit per prosedur; standar internasional ACGME dan RCOG merekomendasikan penilaian berbasis perkembangan (developmental milestone) yang lebih menekankan pencapaian tingkat kemandirian daripada jumlah kasus mutlak; praktik di Indonesia mengikuti standar nasional Kepkonsil sebagai acuan utama, dengan kerangka internasional sebagai pengayaan pendekatan penilaian.</w:t>
      </w:r>
    </w:p>
    <w:p>
      <w:pPr>
        <w:pStyle w:val="Heading2"/>
        <w:spacing w:after="120" w:before="240"/>
      </w:pPr>
      <w:r>
        <w:t xml:space="preserve">1.5 Struktur dan Cara Membaca Buku Ini</w:t>
      </w:r>
    </w:p>
    <w:p>
      <w:pPr>
        <w:spacing w:after="160" w:line="300"/>
      </w:pPr>
      <w:r>
        <w:rPr>
          <w:rFonts w:ascii="IBM Plex Sans" w:cs="IBM Plex Sans" w:eastAsia="IBM Plex Sans" w:hAnsi="IBM Plex Sans"/>
          <w:color w:val="1E293B"/>
          <w:sz w:val="22"/>
          <w:szCs w:val="22"/>
        </w:rPr>
        <w:t xml:space="preserve">Setiap bab substantif pada buku ini disusun dengan pola yang konsisten: uraian naratif pembuka, kotak 'Dasar Regulasi' yang mengutip pasal atau tabel spesifik Kepkonsil, tabel kompetensi prosedural yang diekstrak verbatim dari Lampiran Kepkonsil (dengan penomoran asli dipertahankan agar dapat ditelusuri balik ke sumber), dan subbagian 'Perbandingan dan Pengayaan Standar Internasional' yang mengutip minimal dua sumber rujukan internasional. Pola ini memungkinkan pembaca -- baik peserta didik PPDS, staf pengajar, maupun penyusun kurikulum -- menelusuri setiap klaim kompetensi kembali ke sumber aslinya tanpa perantara ringkasan pihak ketiga.</w:t>
      </w:r>
    </w:p>
    <w:p>
      <w:pPr>
        <w:spacing w:after="80" w:before="120"/>
      </w:pPr>
      <w:r>
        <w:rPr>
          <w:rFonts w:ascii="IBM Plex Sans" w:cs="IBM Plex Sans" w:eastAsia="IBM Plex Sans" w:hAnsi="IBM Plex Sans"/>
          <w:i/>
          <w:iCs/>
          <w:color w:val="334155"/>
          <w:sz w:val="18"/>
          <w:szCs w:val="18"/>
        </w:rPr>
        <w:t xml:space="preserve">Tabel B12.0 -- Peta Struktur Buku Tematik B12</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16"/>
        <w:gridCol w:w="3116"/>
        <w:gridCol w:w="3116"/>
      </w:tblGrid>
      <w:tr>
        <w:trPr>
          <w:tblHeader/>
        </w:trPr>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Bab</w:t>
            </w:r>
          </w:p>
        </w:tc>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Domain Prosedural</w:t>
            </w:r>
          </w:p>
        </w:tc>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Fokus Utama</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II</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Prinsip Kewenangan Klinis Bertingkat</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Progresi supervisi dan akumulasi volume kasus</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III</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Prosedur Obstetri</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Asuhan antenatal, persalinan, seksio sesarea</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IV</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Prosedur Ginekologi Umum &amp; Endoskopi Dasar</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Bedah jinak, laparoskopi/histeroskopi dasar</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V</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Prosedur Kegawatdaruratan</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Eskalasi tata laksana PPH dan komplikasi akut</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VI</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Prosedur Khas per Divisi</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Lima subspesialisasi (pola Deskripsi-Substansi-Vignette)</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VII</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Perbandingan Standar Internasional</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ACGME Milestones, RCOG Workplace-Based Assessment</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VIII</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Ringkasan</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Ikhtisar lintas domain dan rekomendasi implementasi</w:t>
            </w:r>
          </w:p>
        </w:tc>
      </w:tr>
    </w:tbl>
    <w:p>
      <w:pPr>
        <w:spacing w:after="160"/>
      </w:pPr>
    </w:p>
    <w:p>
      <w:r>
        <w:br w:type="page"/>
      </w:r>
    </w:p>
    <w:p>
      <w:pPr>
        <w:pStyle w:val="Heading1"/>
        <w:spacing w:after="200" w:before="200"/>
      </w:pPr>
      <w:r>
        <w:t xml:space="preserve">BAB II — PRINSIP KEWENANGAN KLINIS BERTINGKAT</w:t>
      </w:r>
    </w:p>
    <w:p>
      <w:pPr>
        <w:pStyle w:val="Heading2"/>
        <w:spacing w:after="120" w:before="240"/>
      </w:pPr>
      <w:r>
        <w:t xml:space="preserve">2.1 Dasar Konseptual Kewenangan Bertingkat</w:t>
      </w:r>
    </w:p>
    <w:p>
      <w:pPr>
        <w:spacing w:after="160" w:line="300"/>
      </w:pPr>
      <w:r>
        <w:rPr>
          <w:rFonts w:ascii="IBM Plex Sans" w:cs="IBM Plex Sans" w:eastAsia="IBM Plex Sans" w:hAnsi="IBM Plex Sans"/>
          <w:color w:val="1E293B"/>
          <w:sz w:val="22"/>
          <w:szCs w:val="22"/>
        </w:rPr>
        <w:t xml:space="preserve">Kepkonsil No. HK.01.02/KKI/1318/2026 menetapkan pembedaan kompleksitas kasus menjadi tiga jenjang — sedang, kompleks, dan sangat kompleks — yang ditangani berturut-turut oleh Dokter, Dokter Spesialis, dan Dokter Subspesialis (Tabel 4 dan Tabel 5 Kepkonsil). Prinsip ini menjadi dasar konseptual bagi kewenangan klinis bertingkat (graded clinical privileging) yang diterapkan sepanjang masa pendidikan spesialis: peserta didik PPDS memperoleh kewenangan melakukan prosedur tertentu secara bertahap, dimulai dari observasi dan asistensi, menuju pelaksanaan mandiri di bawah supervisi, hingga akhirnya kompetensi mandiri penuh yang diverifikasi melalui pencapaian volume kasus dan kriteria kinerja minimal sebagaimana dirinci pada Tabel 21 Kepkonsil.</w:t>
      </w:r>
    </w:p>
    <w:p>
      <w:pPr>
        <w:spacing w:after="160" w:line="300"/>
      </w:pPr>
      <w:r>
        <w:rPr>
          <w:rFonts w:ascii="IBM Plex Sans" w:cs="IBM Plex Sans" w:eastAsia="IBM Plex Sans" w:hAnsi="IBM Plex Sans"/>
          <w:color w:val="1E293B"/>
          <w:sz w:val="22"/>
          <w:szCs w:val="22"/>
        </w:rPr>
        <w:t xml:space="preserve">Kepkonsil tidak menetapkan secara eksplisit pembagian kewenangan prosedural per tahun pendidikan (Tahun I-IV) dalam bentuk tabel tersendiri; pembagian tersebut merupakan wewenang kurikulum program studi dan kolegium yang mengacu pada capaian volume kasus kumulatif Tabel 21 Kepkonsil sebagai batas kompetensi akhir program. [DATA: rujuk laporan/registri resmi terbaru — mis. Kemenkes, POGI, WHO] Pemetaan spesifik kewenangan prosedural per tahun pendidikan (Tahun I-IV) mengikuti kurikulum program studi PPDS Obstetri dan Ginekologi dan Kolegium Obstetri dan Ginekologi Indonesia (POGI) yang berlaku di masing-masing institusi pendidikan.</w:t>
      </w:r>
    </w:p>
    <w:tbl>
      <w:tblPr>
        <w:tblW w:type="dxa" w:w="9350"/>
        <w:tblBorders>
          <w:top w:val="single" w:color="B45309" w:sz="12"/>
          <w:left w:val="single" w:color="B45309" w:sz="24"/>
          <w:bottom w:val="single" w:color="B45309" w:sz="12"/>
          <w:right w:val="single" w:color="B45309" w:sz="12"/>
          <w:insideH w:val="single" w:color="auto" w:sz="4"/>
          <w:insideV w:val="single" w:color="auto" w:sz="4"/>
        </w:tblBorders>
      </w:tblPr>
      <w:tblGrid>
        <w:gridCol w:w="100"/>
      </w:tblGrid>
      <w:tr>
        <w:tc>
          <w:tcPr>
            <w:tcW w:type="dxa" w:w="9350"/>
            <w:shd w:fill="FEF3E2" w:val="clear"/>
            <w:tcMar>
              <w:top w:type="dxa" w:w="160"/>
              <w:left w:type="dxa" w:w="200"/>
              <w:bottom w:type="dxa" w:w="160"/>
              <w:right w:type="dxa" w:w="200"/>
            </w:tcMar>
          </w:tcPr>
          <w:p>
            <w:pPr>
              <w:spacing w:after="60"/>
            </w:pPr>
            <w:r>
              <w:rPr>
                <w:rFonts w:ascii="IBM Plex Sans" w:cs="IBM Plex Sans" w:eastAsia="IBM Plex Sans" w:hAnsi="IBM Plex Sans"/>
                <w:b/>
                <w:bCs/>
                <w:color w:val="B45309"/>
                <w:sz w:val="20"/>
                <w:szCs w:val="20"/>
              </w:rPr>
              <w:t xml:space="preserve">DASAR REGULASI</w:t>
            </w:r>
          </w:p>
          <w:p>
            <w:r>
              <w:rPr>
                <w:rFonts w:ascii="IBM Plex Mono" w:cs="IBM Plex Mono" w:eastAsia="IBM Plex Mono" w:hAnsi="IBM Plex Mono"/>
                <w:color w:val="78350F"/>
                <w:sz w:val="18"/>
                <w:szCs w:val="18"/>
              </w:rPr>
              <w:t xml:space="preserve">Kepkonsil No. HK.01.02/KKI/1318/2026, Lampiran BAB II bagian B (Tabel 4, Tabel 5) tentang kedalaman dan keluasan kasus, dan BAB III bagian A.2.3 (Matriks Diferensiasi Kompetensi Spesialis-Subspesialis, Tabel 14).</w:t>
            </w:r>
          </w:p>
        </w:tc>
      </w:tr>
    </w:tbl>
    <w:p>
      <w:pPr>
        <w:spacing w:after="160"/>
      </w:pPr>
    </w:p>
    <w:p>
      <w:pPr>
        <w:pStyle w:val="Heading2"/>
        <w:spacing w:after="120" w:before="240"/>
      </w:pPr>
      <w:r>
        <w:t xml:space="preserve">2.2 Prinsip Progresi Kompetensi Prosedural</w:t>
      </w:r>
    </w:p>
    <w:p>
      <w:pPr>
        <w:spacing w:after="160" w:line="300"/>
      </w:pPr>
      <w:r>
        <w:rPr>
          <w:rFonts w:ascii="IBM Plex Sans" w:cs="IBM Plex Sans" w:eastAsia="IBM Plex Sans" w:hAnsi="IBM Plex Sans"/>
          <w:color w:val="1E293B"/>
          <w:sz w:val="22"/>
          <w:szCs w:val="22"/>
        </w:rPr>
        <w:t xml:space="preserve">Progresi kewenangan klinis bertingkat mengikuti empat prinsip yang konsisten dengan struktur kriteria kinerja minimal Kepkonsil:</w:t>
      </w:r>
    </w:p>
    <w:p>
      <w:pPr>
        <w:pStyle w:val="ListParagraph"/>
        <w:numPr>
          <w:ilvl w:val="0"/>
          <w:numId w:val="2"/>
        </w:numPr>
        <w:spacing w:after="100"/>
      </w:pPr>
      <w:r>
        <w:rPr>
          <w:rFonts w:ascii="IBM Plex Sans" w:cs="IBM Plex Sans" w:eastAsia="IBM Plex Sans" w:hAnsi="IBM Plex Sans"/>
          <w:color w:val="1E293B"/>
          <w:sz w:val="22"/>
          <w:szCs w:val="22"/>
        </w:rPr>
        <w:t xml:space="preserve">Prinsip supervisi berjenjang — setiap prosedur baru dimulai dengan supervisi langsung (direct supervision) oleh staf pengajar bersertifikat, secara bertahap beralih menjadi supervisi tidak langsung (indirect supervision) setelah tercapai ambang volume dan performa tertentu.</w:t>
      </w:r>
    </w:p>
    <w:p>
      <w:pPr>
        <w:pStyle w:val="ListParagraph"/>
        <w:numPr>
          <w:ilvl w:val="0"/>
          <w:numId w:val="2"/>
        </w:numPr>
        <w:spacing w:after="100"/>
      </w:pPr>
      <w:r>
        <w:rPr>
          <w:rFonts w:ascii="IBM Plex Sans" w:cs="IBM Plex Sans" w:eastAsia="IBM Plex Sans" w:hAnsi="IBM Plex Sans"/>
          <w:color w:val="1E293B"/>
          <w:sz w:val="22"/>
          <w:szCs w:val="22"/>
        </w:rPr>
        <w:t xml:space="preserve">Prinsip akumulasi volume kasus terverifikasi — setiap prosedur pada Tabel 21 Kepkonsil mencantumkan volume kasus minimal (misalnya seksio sesarea ≥250 kasus dengan variasi indikasi, persalinan spontan ≥150 kasus) yang harus tercatat dalam logbook dan diverifikasi oleh supervisor.</w:t>
      </w:r>
    </w:p>
    <w:p>
      <w:pPr>
        <w:pStyle w:val="ListParagraph"/>
        <w:numPr>
          <w:ilvl w:val="0"/>
          <w:numId w:val="2"/>
        </w:numPr>
        <w:spacing w:after="100"/>
      </w:pPr>
      <w:r>
        <w:rPr>
          <w:rFonts w:ascii="IBM Plex Sans" w:cs="IBM Plex Sans" w:eastAsia="IBM Plex Sans" w:hAnsi="IBM Plex Sans"/>
          <w:color w:val="1E293B"/>
          <w:sz w:val="22"/>
          <w:szCs w:val="22"/>
        </w:rPr>
        <w:t xml:space="preserve">Prinsip diferensiasi kompleksitas — kewenangan meningkat sejalan dengan kompleksitas kasus, dari prosedur dasar (misalnya penjahitan ruptur perineum derajat I-II) menuju prosedur kompleks (misalnya penjahitan ruptur perineum derajat III-IV sebagai operator utama dengan supervisi, sesuai Tabel 21 Kepkonsil).</w:t>
      </w:r>
    </w:p>
    <w:p>
      <w:pPr>
        <w:pStyle w:val="ListParagraph"/>
        <w:numPr>
          <w:ilvl w:val="0"/>
          <w:numId w:val="2"/>
        </w:numPr>
        <w:spacing w:after="100"/>
      </w:pPr>
      <w:r>
        <w:rPr>
          <w:rFonts w:ascii="IBM Plex Sans" w:cs="IBM Plex Sans" w:eastAsia="IBM Plex Sans" w:hAnsi="IBM Plex Sans"/>
          <w:color w:val="1E293B"/>
          <w:sz w:val="22"/>
          <w:szCs w:val="22"/>
        </w:rPr>
        <w:t xml:space="preserve">Prinsip evaluasi kriteria kinerja minimal ganda — setiap kompetensi dinilai bukan hanya dari volume kasus, namun juga dari deskripsi kriteria kinerja minimal yang bersifat kualitatif (misalnya kepatuhan protokol, keberhasilan hemostasis, minimalisasi komplikasi), sesuai format kolom 'Deskripsi Kriteria Kinerja Minimal' dan 'Kriteria Kinerja Minimal' pada Tabel 21-24 Kepkonsil.</w:t>
      </w:r>
    </w:p>
    <w:p>
      <w:pPr>
        <w:spacing w:after="80"/>
      </w:pPr>
    </w:p>
    <w:p>
      <w:pPr>
        <w:pStyle w:val="Heading2"/>
        <w:spacing w:after="120" w:before="240"/>
      </w:pPr>
      <w:r>
        <w:t xml:space="preserve">2.3 Perbandingan dan Pengayaan Standar Internasional</w:t>
      </w:r>
    </w:p>
    <w:p>
      <w:pPr>
        <w:spacing w:after="160" w:line="300"/>
      </w:pPr>
      <w:r>
        <w:rPr>
          <w:rFonts w:ascii="IBM Plex Sans" w:cs="IBM Plex Sans" w:eastAsia="IBM Plex Sans" w:hAnsi="IBM Plex Sans"/>
          <w:color w:val="1E293B"/>
          <w:sz w:val="22"/>
          <w:szCs w:val="22"/>
        </w:rPr>
        <w:t xml:space="preserve">ACGME Milestones membagi progresi kompetensi residen menjadi lima tingkat perkembangan pada setiap subkompetensi, dari Level 1 (pengetahuan dasar prosedur tanpa pelaksanaan mandiri) hingga Level 5 (kinerja melampaui target kelulusan); Level 4 diposisikan sebagai target kelulusan (graduation target), bukan syarat mutlak, dan keputusan kesiapan praktik mandiri tetap berada pada kewenangan direktur program. Penilaian dilakukan berkala oleh Clinical Competency Committee institusi berdasarkan data terkumpul dari berbagai instrumen penilaian, bukan sebagai penilaian tunggal untuk keputusan sertifikasi. RCOG Workplace-Based Assessment (WPBA) menerapkan beberapa instrumen sekaligus: Objective Structured Assessment of Technical Skills (OSATS) dengan skala penilaian terstruktur untuk komponen teknis prosedur bedah indeks, mini-Clinical Evaluation Exercise (mini-CEX), dan Case-based Discussion (CbD) untuk menilai penalaran klinis di balik keputusan prosedural. Standar nasional (Kepkonsil) menetapkan volume kasus minimal absolut per jenis prosedur sebagai syarat kelulusan; standar internasional ACGME dan RCOG merekomendasikan penilaian berbasis kompetensi bertingkat (competency-based, bukan semata volume-based) yang menekankan pola perkembangan kemandirian dari waktu ke waktu; praktik di Indonesia mengikuti standar nasional Kepkonsil sebagai acuan utama volume kasus, dengan kerangka penilaian bertingkat internasional dapat diadopsi sebagai instrumen pelengkap penilaian kualitatif.</w:t>
      </w:r>
    </w:p>
    <w:p>
      <w:pPr>
        <w:pStyle w:val="Heading2"/>
        <w:spacing w:after="120" w:before="240"/>
      </w:pPr>
      <w:r>
        <w:t xml:space="preserve">2.4 Dokumentasi dan Verifikasi Kewenangan</w:t>
      </w:r>
    </w:p>
    <w:p>
      <w:pPr>
        <w:spacing w:after="160" w:line="300"/>
      </w:pPr>
      <w:r>
        <w:rPr>
          <w:rFonts w:ascii="IBM Plex Sans" w:cs="IBM Plex Sans" w:eastAsia="IBM Plex Sans" w:hAnsi="IBM Plex Sans"/>
          <w:color w:val="1E293B"/>
          <w:sz w:val="22"/>
          <w:szCs w:val="22"/>
        </w:rPr>
        <w:t xml:space="preserve">Setiap prosedur pada Tabel 21-24 Kepkonsil mencantumkan dua elemen dokumentasi yang harus dipenuhi bersamaan: 'Deskripsi Kriteria Kinerja Minimal' yang menjabarkan langkah teknis wajib (indikasi, informed consent, persiapan, pelaksanaan sesuai panduan klinis, dokumentasi rekam medis, komunikasi hasil, serta antisipasi komplikasi), dan 'Kriteria Kinerja Minimal' yang memuat ambang kuantitatif terverifikasi (persentase kepatuhan protokol, volume kasus, dan batas komplikasi). Verifikasi kewenangan klinis bertingkat idealnya dilakukan melalui logbook digital yang memuat identitas supervisor, tanggal tindakan, indikasi, dan luaran, sehingga setiap entri dapat diaudit secara independen oleh komite kompetensi program studi maupun oleh Kolegium Obstetri dan Ginekologi Indonesia pada saat ujian kompetensi nasional (exit exam).</w:t>
      </w:r>
    </w:p>
    <w:p>
      <w:pPr>
        <w:spacing w:after="160" w:line="300"/>
      </w:pPr>
      <w:r>
        <w:rPr>
          <w:rFonts w:ascii="IBM Plex Sans" w:cs="IBM Plex Sans" w:eastAsia="IBM Plex Sans" w:hAnsi="IBM Plex Sans"/>
          <w:color w:val="1E293B"/>
          <w:sz w:val="22"/>
          <w:szCs w:val="22"/>
        </w:rPr>
        <w:t xml:space="preserve">Kegagalan mencapai ambang volume kasus atau kriteria kinerja minimal pada satu atau lebih prosedur tidak serta-merta menghentikan proses pendidikan, namun mewajibkan program studi menyusun rencana remediasi terstruktur — perpanjangan masa supervisi, penambahan sesi simulasi, atau rotasi tambahan pada divisi terkait — sebelum kewenangan mandiri penuh diberikan. Prinsip ini konsisten dengan semangat Kepkonsil bahwa Standar Kompetensi merupakan 'capaian kompetensi minimal', bukan sekadar daftar administratif yang dapat dilewati tanpa pembuktian nyata.</w:t>
      </w:r>
    </w:p>
    <w:p>
      <w:r>
        <w:br w:type="page"/>
      </w:r>
    </w:p>
    <w:p>
      <w:pPr>
        <w:pStyle w:val="Heading1"/>
        <w:spacing w:after="200" w:before="200"/>
      </w:pPr>
      <w:r>
        <w:t xml:space="preserve">BAB III — PROSEDUR OBSTETRI</w:t>
      </w:r>
    </w:p>
    <w:p>
      <w:pPr>
        <w:pStyle w:val="Heading2"/>
        <w:spacing w:after="120" w:before="240"/>
      </w:pPr>
      <w:r>
        <w:t xml:space="preserve">3.1 Ruang Lingkup Prosedur Obstetri Dasar</w:t>
      </w:r>
    </w:p>
    <w:p>
      <w:pPr>
        <w:spacing w:after="160" w:line="300"/>
      </w:pPr>
      <w:r>
        <w:rPr>
          <w:rFonts w:ascii="IBM Plex Sans" w:cs="IBM Plex Sans" w:eastAsia="IBM Plex Sans" w:hAnsi="IBM Plex Sans"/>
          <w:color w:val="1E293B"/>
          <w:sz w:val="22"/>
          <w:szCs w:val="22"/>
        </w:rPr>
        <w:t xml:space="preserve">Prosedur obstetri merupakan kompetensi inti (core competency) yang wajib dikuasai secara mandiri oleh setiap Dokter Spesialis Obstetri dan Ginekologi sebelum melanjutkan ke subspesialisasi apa pun, sebagaimana ditegaskan Kepkonsil bahwa 'setiap subspesialis wajib menguasai seluruh kompetensi prosedur klinis yang ditangani oleh spesialis' (Lampiran BAB III bagian c). Prosedur ini mencakup keseluruhan rangkaian asuhan mulai dari prakonsepsi, antenatal, intranatal, hingga persalinan operatif dan seksio sesarea dengan berbagai tingkat kompleksitas indikasi.</w:t>
      </w:r>
    </w:p>
    <w:tbl>
      <w:tblPr>
        <w:tblW w:type="dxa" w:w="9350"/>
        <w:tblBorders>
          <w:top w:val="single" w:color="B45309" w:sz="12"/>
          <w:left w:val="single" w:color="B45309" w:sz="24"/>
          <w:bottom w:val="single" w:color="B45309" w:sz="12"/>
          <w:right w:val="single" w:color="B45309" w:sz="12"/>
          <w:insideH w:val="single" w:color="auto" w:sz="4"/>
          <w:insideV w:val="single" w:color="auto" w:sz="4"/>
        </w:tblBorders>
      </w:tblPr>
      <w:tblGrid>
        <w:gridCol w:w="100"/>
      </w:tblGrid>
      <w:tr>
        <w:tc>
          <w:tcPr>
            <w:tcW w:type="dxa" w:w="9350"/>
            <w:shd w:fill="FEF3E2" w:val="clear"/>
            <w:tcMar>
              <w:top w:type="dxa" w:w="160"/>
              <w:left w:type="dxa" w:w="200"/>
              <w:bottom w:type="dxa" w:w="160"/>
              <w:right w:type="dxa" w:w="200"/>
            </w:tcMar>
          </w:tcPr>
          <w:p>
            <w:pPr>
              <w:spacing w:after="60"/>
            </w:pPr>
            <w:r>
              <w:rPr>
                <w:rFonts w:ascii="IBM Plex Sans" w:cs="IBM Plex Sans" w:eastAsia="IBM Plex Sans" w:hAnsi="IBM Plex Sans"/>
                <w:b/>
                <w:bCs/>
                <w:color w:val="B45309"/>
                <w:sz w:val="20"/>
                <w:szCs w:val="20"/>
              </w:rPr>
              <w:t xml:space="preserve">DASAR REGULASI</w:t>
            </w:r>
          </w:p>
          <w:p>
            <w:r>
              <w:rPr>
                <w:rFonts w:ascii="IBM Plex Mono" w:cs="IBM Plex Mono" w:eastAsia="IBM Plex Mono" w:hAnsi="IBM Plex Mono"/>
                <w:color w:val="78350F"/>
                <w:sz w:val="18"/>
                <w:szCs w:val="18"/>
              </w:rPr>
              <w:t xml:space="preserve">Kepkonsil No. HK.01.02/KKI/1318/2026, Lampiran BAB III bagian c, Tabel 21 (Kompetensi Prosedur Klinis Spesialis Obstetri dan Ginekologi), nomor 1-14 dan 26-27.</w:t>
            </w:r>
          </w:p>
        </w:tc>
      </w:tr>
    </w:tbl>
    <w:p>
      <w:pPr>
        <w:spacing w:after="160"/>
      </w:pPr>
    </w:p>
    <w:p>
      <w:pPr>
        <w:pStyle w:val="Heading3"/>
        <w:spacing w:after="100" w:before="180"/>
      </w:pPr>
      <w:r>
        <w:t xml:space="preserve">3.1.1 Asuhan Antenatal, Pemantauan Persalinan, dan Persalinan Pervaginam</w:t>
      </w:r>
    </w:p>
    <w:p>
      <w:pPr>
        <w:spacing w:after="160" w:line="300"/>
      </w:pPr>
      <w:r>
        <w:rPr>
          <w:rFonts w:ascii="IBM Plex Sans" w:cs="IBM Plex Sans" w:eastAsia="IBM Plex Sans" w:hAnsi="IBM Plex Sans"/>
          <w:color w:val="1E293B"/>
          <w:sz w:val="22"/>
          <w:szCs w:val="22"/>
        </w:rPr>
        <w:t xml:space="preserve">Kriteria kinerja minimal untuk prosedur asuhan antenatal, pemantauan persalinan, dan persalinan pervaginam sebagaimana diekstrak langsung dari Tabel 21 Kepkonsil disajikan pada tabel berikut.</w:t>
      </w:r>
    </w:p>
    <w:p>
      <w:pPr>
        <w:spacing w:after="80" w:before="120"/>
      </w:pPr>
      <w:r>
        <w:rPr>
          <w:rFonts w:ascii="IBM Plex Sans" w:cs="IBM Plex Sans" w:eastAsia="IBM Plex Sans" w:hAnsi="IBM Plex Sans"/>
          <w:i/>
          <w:iCs/>
          <w:color w:val="334155"/>
          <w:sz w:val="18"/>
          <w:szCs w:val="18"/>
        </w:rPr>
        <w:t xml:space="preserve">Tabel B12.1 — Kompetensi Prosedur Obstetri Dasar dan Persalinan (diadaptasi dari Tabel 21 Kepkonsil)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16"/>
        <w:gridCol w:w="3116"/>
        <w:gridCol w:w="3116"/>
      </w:tblGrid>
      <w:tr>
        <w:trPr>
          <w:tblHeader/>
        </w:trPr>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No</w:t>
            </w:r>
          </w:p>
        </w:tc>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Komponen Kompetensi</w:t>
            </w:r>
          </w:p>
        </w:tc>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Volume Kasus Minimal</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Asuhan antenatal &amp; prakonsepsi, termasuk stratifikasi risiko</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≥200 kasus ANC/prakonsepsi</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2</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Pencatatan &amp; pemantauan persalinan dengan partograf</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≥200 partograf diisi mandiri &amp; divalidasi supervisor</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Pemantauan janin dengan Non-Stress Test (NST)/CTG</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≥50 CTG/NST</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4</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Pemantauan janin dengan Biophysical Profile (BPP)</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≥10 BPP</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5</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Persalinan pervaginam spontan (presentasi kepala)</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≥150 persalinan spontan</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6</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Persalinan pervaginam berbantu (ekstraksi vakum/forsep)</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≥10 tindakan</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7</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Persalinan pervaginam letak sungsang</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 kasus persalinan sungsang</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8</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Persalinan pervaginam pada kehamilan ganda</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 kasus persalinan ganda</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9</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Persalinan pervaginam pada bekas seksio sesarea (VBAC)</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 kasus VBAC</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10</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Persalinan pervaginam dengan distosia bahu</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 kasus distosia bahu</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11</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Versi-ekstraksi pada gemelli</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 kasus versi-ekstraksi</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12</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Amniotomi (Artificial Rupture of Membranes)</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≥5 tindakan ARM</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13</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Induksi persalinan</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≥20 kasus induksi</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14</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Stimulasi/augmentasi persalinan</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≥20 kasus augmentasi</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26</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Seksio sesarea (primer, ulangan, dan indikasi khusus)</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≥250 kasus SC dengan variasi indikasi (termasuk 25 kasus bekas SC 1x, 10 kasus bekas SC 2x)</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27</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Terminasi kehamilan trimester II-III dengan ripening serviks</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≥10 kasus terminasi trimester II-III</w:t>
            </w:r>
          </w:p>
        </w:tc>
      </w:tr>
    </w:tbl>
    <w:p>
      <w:pPr>
        <w:spacing w:after="160"/>
      </w:pPr>
    </w:p>
    <w:p>
      <w:pPr>
        <w:spacing w:after="160" w:line="300"/>
      </w:pPr>
      <w:r>
        <w:rPr>
          <w:rFonts w:ascii="IBM Plex Sans" w:cs="IBM Plex Sans" w:eastAsia="IBM Plex Sans" w:hAnsi="IBM Plex Sans"/>
          <w:color w:val="1E293B"/>
          <w:sz w:val="22"/>
          <w:szCs w:val="22"/>
        </w:rPr>
        <w:t xml:space="preserve">Perlu dicermati bahwa volume kasus minimal seksio sesarea (≥250 kasus dengan variasi indikasi) merupakan volume tertinggi di antara seluruh prosedur pada Tabel 21, mencerminkan sentralitas prosedur ini dalam praktik obstetri modern Indonesia. Kepkonsil merinci lebih lanjut variasi indikasi wajib yang harus tercakup: seksio sesarea tanpa komplikasi (200 kasus), pada pembukaan lengkap kala II (10 kasus), pada bekas seksio sesarea satu kali (25 kasus), pada bekas seksio sesarea dua kali (10 kasus), pada usia kehamilan kurang dari 28 minggu (1 kasus), dan pada plasenta previa (5 kasus).</w:t>
      </w:r>
    </w:p>
    <w:p>
      <w:pPr>
        <w:pStyle w:val="Heading2"/>
        <w:spacing w:after="120" w:before="240"/>
      </w:pPr>
      <w:r>
        <w:t xml:space="preserve">3.2 Perbandingan dan Pengayaan Standar Internasional</w:t>
      </w:r>
    </w:p>
    <w:p>
      <w:pPr>
        <w:spacing w:after="160" w:line="300"/>
      </w:pPr>
      <w:r>
        <w:rPr>
          <w:rFonts w:ascii="IBM Plex Sans" w:cs="IBM Plex Sans" w:eastAsia="IBM Plex Sans" w:hAnsi="IBM Plex Sans"/>
          <w:color w:val="1E293B"/>
          <w:sz w:val="22"/>
          <w:szCs w:val="22"/>
        </w:rPr>
        <w:t xml:space="preserve">WHO Recommendations on Intrapartum Care for a Positive Childbirth Experience (2018) mendefinisikan ulang fase aktif persalinan kala satu sebagai pembukaan serviks dari 5 cm hingga lengkap, meninggalkan ambang klasik 1 cm/jam yang menjadi dasar garis waspada pada partograf konvensional; WHO kemudian menerbitkan WHO Labour Care Guide (2020) sebagai instrumen pemantauan pengganti partograf klasik yang mengadopsi definisi tersebut. FIGO, dalam pernyataan posisi terbarunya, merekomendasikan adopsi universal WHO Labour Care Guide untuk menggantikan partograf klasik guna mendukung penurunan mortalitas maternal dan perinatal. Mengenai teknik penutupan uterus pada seksio sesarea, tidak terdapat konsensus tunggal: ACOG tidak menerbitkan panduan klinis spesifik mengenai teknik penutupan; sementara panduan praktik baik FIGO untuk persalinan pervaginam pascaseksio sesarea (VBAC) merekomendasikan bahwa penutupan uterus satu lapis maupun dua lapis sama-sama dapat diterima, dengan syarat teknik satu lapis dilakukan secara kontinu tanpa penguncian (unlocked) apabila dipilih. Standar nasional (Kepkonsil) tidak menetapkan teknik penutupan uterus maupun instrumen pemantauan persalinan tertentu secara spesifik dalam Tabel 21, melainkan menyerahkan pada protokol institusi berbasis bukti; standar internasional WHO/FIGO merekomendasikan Labour Care Guide sebagai instrumen pemantauan termutakhir dan memberi fleksibilitas teknik penutupan uterus berbasis bukti terkini; praktik di Indonesia mengikuti standar nasional Kepkonsil dengan pemantauan persalinan sesuai protokol institusi, yang secara bertahap dapat mengadopsi WHO Labour Care Guide sebagai pembaruan metode pemantauan.</w:t>
      </w:r>
    </w:p>
    <w:p>
      <w:r>
        <w:br w:type="page"/>
      </w:r>
    </w:p>
    <w:p>
      <w:pPr>
        <w:pStyle w:val="Heading1"/>
        <w:spacing w:after="200" w:before="200"/>
      </w:pPr>
      <w:r>
        <w:t xml:space="preserve">BAB IV — PROSEDUR GINEKOLOGI UMUM DAN ENDOSKOPI DASAR</w:t>
      </w:r>
    </w:p>
    <w:p>
      <w:pPr>
        <w:pStyle w:val="Heading2"/>
        <w:spacing w:after="120" w:before="240"/>
      </w:pPr>
      <w:r>
        <w:t xml:space="preserve">4.1 Prosedur Bedah Ginekologi Jinak</w:t>
      </w:r>
    </w:p>
    <w:p>
      <w:pPr>
        <w:spacing w:after="160" w:line="300"/>
      </w:pPr>
      <w:r>
        <w:rPr>
          <w:rFonts w:ascii="IBM Plex Sans" w:cs="IBM Plex Sans" w:eastAsia="IBM Plex Sans" w:hAnsi="IBM Plex Sans"/>
          <w:color w:val="1E293B"/>
          <w:sz w:val="22"/>
          <w:szCs w:val="22"/>
        </w:rPr>
        <w:t xml:space="preserve">Kepkonsil menetapkan penguasaan bedah ginekologi umum untuk indikasi jinak sebagai kompetensi wajib spesialis, meliputi miomektomi, kistektomi, salpingo-ooforektomi, dan histerektomi, baik melalui pendekatan laparotomi maupun sebagai fondasi menuju pendekatan minimal invasif. Bedah minor ginekologi (biopsi, eksisi kista kecil, perineorafi, koreksi prolaps ringan) juga menjadi bagian dari kompetensi dasar yang membentuk landasan keterampilan sebelum peserta didik melanjutkan ke prosedur endoskopi.</w:t>
      </w:r>
    </w:p>
    <w:tbl>
      <w:tblPr>
        <w:tblW w:type="dxa" w:w="9350"/>
        <w:tblBorders>
          <w:top w:val="single" w:color="B45309" w:sz="12"/>
          <w:left w:val="single" w:color="B45309" w:sz="24"/>
          <w:bottom w:val="single" w:color="B45309" w:sz="12"/>
          <w:right w:val="single" w:color="B45309" w:sz="12"/>
          <w:insideH w:val="single" w:color="auto" w:sz="4"/>
          <w:insideV w:val="single" w:color="auto" w:sz="4"/>
        </w:tblBorders>
      </w:tblPr>
      <w:tblGrid>
        <w:gridCol w:w="100"/>
      </w:tblGrid>
      <w:tr>
        <w:tc>
          <w:tcPr>
            <w:tcW w:type="dxa" w:w="9350"/>
            <w:shd w:fill="FEF3E2" w:val="clear"/>
            <w:tcMar>
              <w:top w:type="dxa" w:w="160"/>
              <w:left w:type="dxa" w:w="200"/>
              <w:bottom w:type="dxa" w:w="160"/>
              <w:right w:type="dxa" w:w="200"/>
            </w:tcMar>
          </w:tcPr>
          <w:p>
            <w:pPr>
              <w:spacing w:after="60"/>
            </w:pPr>
            <w:r>
              <w:rPr>
                <w:rFonts w:ascii="IBM Plex Sans" w:cs="IBM Plex Sans" w:eastAsia="IBM Plex Sans" w:hAnsi="IBM Plex Sans"/>
                <w:b/>
                <w:bCs/>
                <w:color w:val="B45309"/>
                <w:sz w:val="20"/>
                <w:szCs w:val="20"/>
              </w:rPr>
              <w:t xml:space="preserve">DASAR REGULASI</w:t>
            </w:r>
          </w:p>
          <w:p>
            <w:r>
              <w:rPr>
                <w:rFonts w:ascii="IBM Plex Mono" w:cs="IBM Plex Mono" w:eastAsia="IBM Plex Mono" w:hAnsi="IBM Plex Mono"/>
                <w:color w:val="78350F"/>
                <w:sz w:val="18"/>
                <w:szCs w:val="18"/>
              </w:rPr>
              <w:t xml:space="preserve">Kepkonsil No. HK.01.02/KKI/1318/2026, Lampiran BAB III bagian A.2.2 (Tabel 13) butir 7-9, dan bagian c (Tabel 21) nomor 31-51.</w:t>
            </w:r>
          </w:p>
        </w:tc>
      </w:tr>
    </w:tbl>
    <w:p>
      <w:pPr>
        <w:spacing w:after="160"/>
      </w:pPr>
    </w:p>
    <w:p>
      <w:pPr>
        <w:pStyle w:val="Heading3"/>
        <w:spacing w:after="100" w:before="180"/>
      </w:pPr>
      <w:r>
        <w:t xml:space="preserve">4.1.1 Kompetensi Prosedur Ginekologi dan Endoskopi Dasar</w:t>
      </w:r>
    </w:p>
    <w:p>
      <w:pPr>
        <w:spacing w:after="80" w:before="120"/>
      </w:pPr>
      <w:r>
        <w:rPr>
          <w:rFonts w:ascii="IBM Plex Sans" w:cs="IBM Plex Sans" w:eastAsia="IBM Plex Sans" w:hAnsi="IBM Plex Sans"/>
          <w:i/>
          <w:iCs/>
          <w:color w:val="334155"/>
          <w:sz w:val="18"/>
          <w:szCs w:val="18"/>
        </w:rPr>
        <w:t xml:space="preserve">Tabel B12.2 — Kompetensi Prosedur Ginekologi Umum dan Endoskopi Dasar (diadaptasi dari Tabel 21 Kepkonsil)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16"/>
        <w:gridCol w:w="3116"/>
        <w:gridCol w:w="3116"/>
      </w:tblGrid>
      <w:tr>
        <w:trPr>
          <w:tblHeader/>
        </w:trPr>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No</w:t>
            </w:r>
          </w:p>
        </w:tc>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Komponen Kompetensi</w:t>
            </w:r>
          </w:p>
        </w:tc>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Volume Kasus Minimal</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31</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Kontrasepsi jangka panjang reversibel (AKDR &amp; implan)</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≥5 kasus AKDR; ≥3 kasus implan</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32</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Sterilisasi tuba (interval &amp; pascapersalinan)</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≥5 kasus sterilisasi</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33</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Laparoskopi oklusi tuba</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 kasus sebagai operator dengan supervisi</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36</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USG obstetri dasar</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≥100 USG obstetri dasar</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37</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USG ginekologi dasar</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≥30 USG ginekologi dasar</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38</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Laparoskopi diagnostik</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 kasus sebagai operator dengan supervisi</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39</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Laparotomi ginekologi mayor (miomektomi, kistektomi, salpingo-ooforektomi, histerektomi abdominal)</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≥20 kasus (masing-masing ≥5 kasus per jenis)</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40</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Salpingektomi/salpingostomi pada kehamilan ektopik</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 kasus (laparotomi 2, laparoskopi 1)</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41</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Sitologi serviks (Pap smear)</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≥10 Pap smear</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42</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Kolposkopi &amp; biopsi serviks</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≥5 kolposkopi dengan biopsi target</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43</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Biopsi endometrium</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≥5 biopsi endometrium</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44</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Eksisi serviks: LEEP/LLETZ</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 LEEP/LLETZ</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45</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Krioterapi serviks</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 krioterapi serviks</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46</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Histeroskopi diagnostik</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 histeroskopi sebagai operator dengan supervisi</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50</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Penilaian prolaps organ panggul dengan metode POP-Q</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 penilaian POP-Q</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51</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Manajemen konservatif prolaps dengan pesarium</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 kasus pemasangan pesarium</w:t>
            </w:r>
          </w:p>
        </w:tc>
      </w:tr>
    </w:tbl>
    <w:p>
      <w:pPr>
        <w:spacing w:after="160"/>
      </w:pPr>
    </w:p>
    <w:p>
      <w:pPr>
        <w:pStyle w:val="Heading2"/>
        <w:spacing w:after="120" w:before="240"/>
      </w:pPr>
      <w:r>
        <w:t xml:space="preserve">4.2 Endoskopi Diagnostik sebagai Fondasi Subspesialisasi</w:t>
      </w:r>
    </w:p>
    <w:p>
      <w:pPr>
        <w:spacing w:after="160" w:line="300"/>
      </w:pPr>
      <w:r>
        <w:rPr>
          <w:rFonts w:ascii="IBM Plex Sans" w:cs="IBM Plex Sans" w:eastAsia="IBM Plex Sans" w:hAnsi="IBM Plex Sans"/>
          <w:color w:val="1E293B"/>
          <w:sz w:val="22"/>
          <w:szCs w:val="22"/>
        </w:rPr>
        <w:t xml:space="preserve">Laparoskopi dan histeroskopi diagnostik dasar diposisikan Kepkonsil sebagai kompetensi ambang (threshold competency) — volume kasus minimal relatif rendah (masing-masing ≥1 kasus sebagai operator dengan supervisi) dibandingkan prosedur endoskopi lanjutan pada subspesialisasi Fertilitas dan Endokrinologi Reproduksi (Tabel 23 Kepkonsil) yang menuntut volume jauh lebih tinggi untuk laparoskopi terapeutik. Struktur ini mencerminkan filosofi Kepkonsil bahwa kompetensi endoskopi dasar bersifat generik lintas subspesialisasi, sementara kedalaman teknis lanjutan (misalnya laparoskopi eksisi endometriosis susukan dalam, laparoskopi histerektomi) menjadi domain eksklusif subspesialis terkait.</w:t>
      </w:r>
    </w:p>
    <w:p>
      <w:pPr>
        <w:pStyle w:val="Heading2"/>
        <w:spacing w:after="120" w:before="240"/>
      </w:pPr>
      <w:r>
        <w:t xml:space="preserve">4.3 Perbandingan dan Pengayaan Standar Internasional</w:t>
      </w:r>
    </w:p>
    <w:p>
      <w:pPr>
        <w:spacing w:after="160" w:line="300"/>
      </w:pPr>
      <w:r>
        <w:rPr>
          <w:rFonts w:ascii="IBM Plex Sans" w:cs="IBM Plex Sans" w:eastAsia="IBM Plex Sans" w:hAnsi="IBM Plex Sans"/>
          <w:color w:val="1E293B"/>
          <w:sz w:val="22"/>
          <w:szCs w:val="22"/>
        </w:rPr>
        <w:t xml:space="preserve">ISUOG menerbitkan serangkaian Practice Guidelines berbasis bukti untuk pemeriksaan ultrasonografi ginekologi dan obstetri yang menetapkan parameter teknis minimal tiap jenis pemeriksaan, digunakan luas sebagai acuan pelatihan ultrasonografi di berbagai negara meskipun tidak menetapkan angka volume kasus baku secara universal. Tinjauan sistematis Cochrane mengenai pelatihan simulasi virtual reality untuk bedah laparoskopi menyimpulkan bahwa simulasi tersebut terbukti meningkatkan keterampilan teknis peserta didik dibandingkan tanpa pelatihan tambahan, meskipun bukti mengenai dampaknya terhadap luaran pasien secara langsung masih terbatas. Standar nasional (Kepkonsil) menetapkan volume kasus klinis langsung sebagai bukti kompetensi endoskopi dasar tanpa mewajibkan simulasi pralatihan; kajian internasional (Cochrane) mendukung simulasi virtual reality sebagai pelengkap yang mempercepat penguasaan keterampilan teknis dasar sebelum paparan pasien langsung; praktik di Indonesia mengikuti standar nasional Kepkonsil sebagai syarat kelulusan berbasis volume kasus klinis, dengan simulasi pralaparoskopi sebagai pengayaan opsional pada institusi yang memiliki fasilitas simulasi.</w:t>
      </w:r>
    </w:p>
    <w:p>
      <w:pPr>
        <w:pStyle w:val="Heading2"/>
        <w:spacing w:after="120" w:before="240"/>
      </w:pPr>
      <w:r>
        <w:t xml:space="preserve">4.4 Bedah Minor dan Kompetensi Rawat Jalan</w:t>
      </w:r>
    </w:p>
    <w:p>
      <w:pPr>
        <w:spacing w:after="160" w:line="300"/>
      </w:pPr>
      <w:r>
        <w:rPr>
          <w:rFonts w:ascii="IBM Plex Sans" w:cs="IBM Plex Sans" w:eastAsia="IBM Plex Sans" w:hAnsi="IBM Plex Sans"/>
          <w:color w:val="1E293B"/>
          <w:sz w:val="22"/>
          <w:szCs w:val="22"/>
        </w:rPr>
        <w:t xml:space="preserve">Selain prosedur bedah mayor, Kepkonsil menegaskan penguasaan bedah minor ginekologi rawat jalan sebagai kompetensi wajib yang menopang efisiensi layanan primer-sekunder: biopsi lesi jinak, eksisi kista kecil, perineorafi, dan koreksi prolaps ringan menggunakan pesarium. Kompetensi ini saling berkaitan dengan kompetensi deteksi dini keganasan ginekologi (Pap smear, kolposkopi-biopsi, krioterapi, LEEP/LLETZ) yang tercantum pada Tabel 21 Kepkonsil nomor 41-45, membentuk rangkaian skrining-diagnosis-tata laksana awal yang menjadi garda terdepan pencegahan kanker ginekologi sebelum rujukan ke subspesialis Onkologi Ginekologi.</w:t>
      </w:r>
    </w:p>
    <w:p>
      <w:r>
        <w:br w:type="page"/>
      </w:r>
    </w:p>
    <w:p>
      <w:pPr>
        <w:pStyle w:val="Heading1"/>
        <w:spacing w:after="200" w:before="200"/>
      </w:pPr>
      <w:r>
        <w:t xml:space="preserve">BAB V — PROSEDUR KEGAWATDARURATAN</w:t>
      </w:r>
    </w:p>
    <w:p>
      <w:pPr>
        <w:pStyle w:val="Heading2"/>
        <w:spacing w:after="120" w:before="240"/>
      </w:pPr>
      <w:r>
        <w:t xml:space="preserve">5.1 Karakteristik Prosedur Kegawatdaruratan Obstetri-Ginekologi</w:t>
      </w:r>
    </w:p>
    <w:p>
      <w:pPr>
        <w:spacing w:after="160" w:line="300"/>
      </w:pPr>
      <w:r>
        <w:rPr>
          <w:rFonts w:ascii="IBM Plex Sans" w:cs="IBM Plex Sans" w:eastAsia="IBM Plex Sans" w:hAnsi="IBM Plex Sans"/>
          <w:color w:val="1E293B"/>
          <w:sz w:val="22"/>
          <w:szCs w:val="22"/>
        </w:rPr>
        <w:t xml:space="preserve">Prosedur kegawatdaruratan menuntut kombinasi kecepatan pengambilan keputusan, ketepatan teknis di bawah tekanan waktu, dan koordinasi tim multidisiplin. Kepkonsil menempatkan penatalaksanaan perdarahan pascapersalinan (PPH), jahitan kompresi uterus, tamponade balon intrauterin, manual plasenta, histerorafi pada ruptur uteri, histerektomi obstetri emergensi, dan resusitasi neonatus sebagai rangkaian kompetensi kegawatdaruratan yang bersifat eskalatif — dimulai dari intervensi konservatif (uterotonik, pijat uterus, kompresi bimanual) menuju intervensi bedah definitif (jahitan kompresi, ligasi arteri, histerektomi) sesuai algoritme respons terhadap kegagalan lini sebelumnya.</w:t>
      </w:r>
    </w:p>
    <w:tbl>
      <w:tblPr>
        <w:tblW w:type="dxa" w:w="9350"/>
        <w:tblBorders>
          <w:top w:val="single" w:color="B45309" w:sz="12"/>
          <w:left w:val="single" w:color="B45309" w:sz="24"/>
          <w:bottom w:val="single" w:color="B45309" w:sz="12"/>
          <w:right w:val="single" w:color="B45309" w:sz="12"/>
          <w:insideH w:val="single" w:color="auto" w:sz="4"/>
          <w:insideV w:val="single" w:color="auto" w:sz="4"/>
        </w:tblBorders>
      </w:tblPr>
      <w:tblGrid>
        <w:gridCol w:w="100"/>
      </w:tblGrid>
      <w:tr>
        <w:tc>
          <w:tcPr>
            <w:tcW w:type="dxa" w:w="9350"/>
            <w:shd w:fill="FEF3E2" w:val="clear"/>
            <w:tcMar>
              <w:top w:type="dxa" w:w="160"/>
              <w:left w:type="dxa" w:w="200"/>
              <w:bottom w:type="dxa" w:w="160"/>
              <w:right w:type="dxa" w:w="200"/>
            </w:tcMar>
          </w:tcPr>
          <w:p>
            <w:pPr>
              <w:spacing w:after="60"/>
            </w:pPr>
            <w:r>
              <w:rPr>
                <w:rFonts w:ascii="IBM Plex Sans" w:cs="IBM Plex Sans" w:eastAsia="IBM Plex Sans" w:hAnsi="IBM Plex Sans"/>
                <w:b/>
                <w:bCs/>
                <w:color w:val="B45309"/>
                <w:sz w:val="20"/>
                <w:szCs w:val="20"/>
              </w:rPr>
              <w:t xml:space="preserve">DASAR REGULASI</w:t>
            </w:r>
          </w:p>
          <w:p>
            <w:r>
              <w:rPr>
                <w:rFonts w:ascii="IBM Plex Mono" w:cs="IBM Plex Mono" w:eastAsia="IBM Plex Mono" w:hAnsi="IBM Plex Mono"/>
                <w:color w:val="78350F"/>
                <w:sz w:val="18"/>
                <w:szCs w:val="18"/>
              </w:rPr>
              <w:t xml:space="preserve">Kepkonsil No. HK.01.02/KKI/1318/2026, Lampiran BAB III bagian c (Tabel 21) nomor 15-25, 29-30.</w:t>
            </w:r>
          </w:p>
        </w:tc>
      </w:tr>
    </w:tbl>
    <w:p>
      <w:pPr>
        <w:spacing w:after="160"/>
      </w:pPr>
    </w:p>
    <w:p>
      <w:pPr>
        <w:pStyle w:val="Heading3"/>
        <w:spacing w:after="100" w:before="180"/>
      </w:pPr>
      <w:r>
        <w:t xml:space="preserve">5.1.1 Kompetensi Prosedur Kegawatdaruratan Obstetri</w:t>
      </w:r>
    </w:p>
    <w:p>
      <w:pPr>
        <w:spacing w:after="80" w:before="120"/>
      </w:pPr>
      <w:r>
        <w:rPr>
          <w:rFonts w:ascii="IBM Plex Sans" w:cs="IBM Plex Sans" w:eastAsia="IBM Plex Sans" w:hAnsi="IBM Plex Sans"/>
          <w:i/>
          <w:iCs/>
          <w:color w:val="334155"/>
          <w:sz w:val="18"/>
          <w:szCs w:val="18"/>
        </w:rPr>
        <w:t xml:space="preserve">Tabel B12.3 — Kompetensi Prosedur Kegawatdaruratan Obstetri (diadaptasi dari Tabel 21 Kepkonsil)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16"/>
        <w:gridCol w:w="3116"/>
        <w:gridCol w:w="3116"/>
      </w:tblGrid>
      <w:tr>
        <w:trPr>
          <w:tblHeader/>
        </w:trPr>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No</w:t>
            </w:r>
          </w:p>
        </w:tc>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Komponen Kompetensi</w:t>
            </w:r>
          </w:p>
        </w:tc>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Volume Kasus Minimal</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15</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Penatalaksanaan perdarahan pascapersalinan (PPH)</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≥5 kasus PPH (atau simulasi emergensi)</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16</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Jahitan kompresi uterus (B-Lynch/Cho, dll.)</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≥5 kasus jahitan kompresi uterus</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17</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Tamponade balon intrauterin</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 kasus tamponade balon</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18</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Manual plasenta</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 kasus manual plasenta</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19</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Penjahitan robekan serviks</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 kasus repair serviks</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20</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Penjahitan ruptur perineum derajat I-II</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≥20 kasus repair perineum I-II</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21</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Penjahitan ruptur perineum derajat III-IV</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 kasus repair III-IV sebagai operator utama dengan supervisi</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23</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Histerorafi pada ruptur uteri</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 kasus histerorafi</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24</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Histerektomi obstetri</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 kasus histerektomi obstetri</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25</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Ligasi arteri uterina asendens</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 kasus ligasi</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30</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Resusitasi neonatus</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≥10 kasus resusitasi neonatus</w:t>
            </w:r>
          </w:p>
        </w:tc>
      </w:tr>
    </w:tbl>
    <w:p>
      <w:pPr>
        <w:spacing w:after="160"/>
      </w:pPr>
    </w:p>
    <w:p>
      <w:pPr>
        <w:spacing w:after="160" w:line="300"/>
      </w:pPr>
      <w:r>
        <w:rPr>
          <w:rFonts w:ascii="IBM Plex Sans" w:cs="IBM Plex Sans" w:eastAsia="IBM Plex Sans" w:hAnsi="IBM Plex Sans"/>
          <w:color w:val="1E293B"/>
          <w:sz w:val="22"/>
          <w:szCs w:val="22"/>
        </w:rPr>
        <w:t xml:space="preserve">Algoritme eskalasi tata laksana perdarahan pascapersalinan pada Kepkonsil secara implisit mengikuti urutan: identifikasi dan uterotonik lini pertama, pijat uterus dan kompresi bimanual, jahitan kompresi uterus (teknik B-Lynch/Cho), tamponade balon intrauterin, ligasi arteri uterina asendens, hingga histerektomi obstetri sebagai upaya penyelamatan nyawa terakhir. Setiap tingkat eskalasi memiliki volume kasus minimal tersendiri pada Tabel 21, dengan volume terendah (≥1 kasus) pada intervensi paling definitif (histerorafi, histerektomi obstetri, ligasi arteri), mencerminkan kelangkaan relatif kasus tersebut namun tetap mensyaratkan pembuktian kompetensi langsung, bukan simulasi semata.</w:t>
      </w:r>
    </w:p>
    <w:p>
      <w:pPr>
        <w:pStyle w:val="Heading2"/>
        <w:spacing w:after="120" w:before="240"/>
      </w:pPr>
      <w:r>
        <w:t xml:space="preserve">5.2 Perbandingan dan Pengayaan Standar Internasional</w:t>
      </w:r>
    </w:p>
    <w:p>
      <w:pPr>
        <w:spacing w:after="160" w:line="300"/>
      </w:pPr>
      <w:r>
        <w:rPr>
          <w:rFonts w:ascii="IBM Plex Sans" w:cs="IBM Plex Sans" w:eastAsia="IBM Plex Sans" w:hAnsi="IBM Plex Sans"/>
          <w:color w:val="1E293B"/>
          <w:sz w:val="22"/>
          <w:szCs w:val="22"/>
        </w:rPr>
        <w:t xml:space="preserve">WHO menerbitkan rekomendasi pembaruan mengenai asam traneksamat untuk tata laksana perdarahan pascapersalinan pada tahun 2017, menyusul hasil World Maternal Antifibrinolytic (WOMAN) Trial yang menunjukkan pemberian dini asam traneksamat intravena (dalam 3 jam pertama pascasalin) menurunkan angka kematian akibat perdarahan tanpa peningkatan bermakna kejadian tromboemboli. Dosis yang direkomendasikan adalah 1 gram intravena diberikan dalam 10 menit, dengan dosis kedua 1 gram apabila perdarahan berlanjut setelah 30 menit atau berulang dalam 24 jam. Standar nasional (Kepkonsil) menetapkan kompetensi prosedural penatalaksanaan PPH pada Tabel 21 tanpa merinci algoritme farmakologis spesifik seperti dosis dan waktu pemberian asam traneksamat; standar internasional WHO merekomendasikan protokol farmakologis eksplisit tersebut sebagai bagian integral tata laksana lini pertama bersamaan dengan uterotonik; praktik di Indonesia mengikuti standar nasional Kepkonsil untuk kompetensi prosedural, dengan protokol farmakologis institusi umumnya mengadopsi rekomendasi WHO tersebut sebagai referensi klinis pelengkap.</w:t>
      </w:r>
    </w:p>
    <w:p>
      <w:pPr>
        <w:pStyle w:val="Heading2"/>
        <w:spacing w:after="120" w:before="240"/>
      </w:pPr>
      <w:r>
        <w:t xml:space="preserve">5.3 Simulasi dan Kesiapan Tim dalam Kegawatdaruratan</w:t>
      </w:r>
    </w:p>
    <w:p>
      <w:pPr>
        <w:spacing w:after="160" w:line="300"/>
      </w:pPr>
      <w:r>
        <w:rPr>
          <w:rFonts w:ascii="IBM Plex Sans" w:cs="IBM Plex Sans" w:eastAsia="IBM Plex Sans" w:hAnsi="IBM Plex Sans"/>
          <w:color w:val="1E293B"/>
          <w:sz w:val="22"/>
          <w:szCs w:val="22"/>
        </w:rPr>
        <w:t xml:space="preserve">Mengingat kelangkaan relatif kasus kegawatdaruratan berat (misalnya ruptur uteri, histerektomi obstetri emergensi) yang menyulitkan pemenuhan volume kasus semata melalui paparan klinis alami, banyak institusi pendidikan Indonesia melengkapi pencapaian volume kasus Tabel 21 Kepkonsil dengan program simulasi tim multidisiplin (multidisciplinary emergency drill) secara berkala. Simulasi ini tidak menggantikan volume kasus klinis riil yang disyaratkan Kepkonsil sebagai bukti kompetensi individual, namun berfungsi memperkuat kesiapan koordinasi tim — komunikasi terstruktur (misalnya format SBAR), pembagian peran, dan kecepatan eskalasi — yang menjadi determinan luaran maternal pada situasi kegawatdaruratan riil.</w:t>
      </w:r>
    </w:p>
    <w:p>
      <w:r>
        <w:br w:type="page"/>
      </w:r>
    </w:p>
    <w:p>
      <w:pPr>
        <w:pStyle w:val="Heading1"/>
        <w:spacing w:after="200" w:before="200"/>
      </w:pPr>
      <w:r>
        <w:t xml:space="preserve">BAB VI — PROSEDUR KHAS PER DIVISI</w:t>
      </w:r>
    </w:p>
    <w:p>
      <w:pPr>
        <w:spacing w:after="160" w:line="300"/>
      </w:pPr>
      <w:r>
        <w:rPr>
          <w:rFonts w:ascii="IBM Plex Sans" w:cs="IBM Plex Sans" w:eastAsia="IBM Plex Sans" w:hAnsi="IBM Plex Sans"/>
          <w:color w:val="1E293B"/>
          <w:sz w:val="22"/>
          <w:szCs w:val="22"/>
        </w:rPr>
        <w:t xml:space="preserve">Bab ini menyajikan kontribusi lima divisi subspesialisasi Obstetri dan Ginekologi terhadap peta keterampilan prosedural, mengikuti pola tiga komponen (Deskripsi — Judul Substansi — Ilustrasi Kasus Lapangan) yang konsisten dengan pendekatan pembelajaran berbasis divisi pada program pendidikan subspesialis. Setiap divisi menyumbangkan prosedur andalannya yang membedakan kedalaman kompetensi subspesialis dari kompetensi dasar spesialis, sebagaimana dipetakan pada Tabel 14 (Matriks Diferensiasi Kompetensi Spesialis-Subspesialis) Kepkonsil.</w:t>
      </w:r>
    </w:p>
    <w:tbl>
      <w:tblPr>
        <w:tblW w:type="dxa" w:w="9350"/>
        <w:tblBorders>
          <w:top w:val="single" w:color="B45309" w:sz="12"/>
          <w:left w:val="single" w:color="B45309" w:sz="24"/>
          <w:bottom w:val="single" w:color="B45309" w:sz="12"/>
          <w:right w:val="single" w:color="B45309" w:sz="12"/>
          <w:insideH w:val="single" w:color="auto" w:sz="4"/>
          <w:insideV w:val="single" w:color="auto" w:sz="4"/>
        </w:tblBorders>
      </w:tblPr>
      <w:tblGrid>
        <w:gridCol w:w="100"/>
      </w:tblGrid>
      <w:tr>
        <w:tc>
          <w:tcPr>
            <w:tcW w:type="dxa" w:w="9350"/>
            <w:shd w:fill="FEF3E2" w:val="clear"/>
            <w:tcMar>
              <w:top w:type="dxa" w:w="160"/>
              <w:left w:type="dxa" w:w="200"/>
              <w:bottom w:type="dxa" w:w="160"/>
              <w:right w:type="dxa" w:w="200"/>
            </w:tcMar>
          </w:tcPr>
          <w:p>
            <w:pPr>
              <w:spacing w:after="60"/>
            </w:pPr>
            <w:r>
              <w:rPr>
                <w:rFonts w:ascii="IBM Plex Sans" w:cs="IBM Plex Sans" w:eastAsia="IBM Plex Sans" w:hAnsi="IBM Plex Sans"/>
                <w:b/>
                <w:bCs/>
                <w:color w:val="B45309"/>
                <w:sz w:val="20"/>
                <w:szCs w:val="20"/>
              </w:rPr>
              <w:t xml:space="preserve">DASAR REGULASI</w:t>
            </w:r>
          </w:p>
          <w:p>
            <w:r>
              <w:rPr>
                <w:rFonts w:ascii="IBM Plex Mono" w:cs="IBM Plex Mono" w:eastAsia="IBM Plex Mono" w:hAnsi="IBM Plex Mono"/>
                <w:color w:val="78350F"/>
                <w:sz w:val="18"/>
                <w:szCs w:val="18"/>
              </w:rPr>
              <w:t xml:space="preserve">Kepkonsil No. HK.01.02/KKI/1318/2026, Lampiran BAB III bagian A.2.2 (Tabel 13), dan Tabel 22 (Fetomaternal), Tabel 23 (Fertilitas dan Endokrinologi Reproduksi), Tabel 24 (Onkologi Ginekologi), serta bagian a.1 Tabel 11-12 untuk cakupan Obstetri Ginekologi Sosial dan Uroginekologi Rekonstruksi.</w:t>
            </w:r>
          </w:p>
        </w:tc>
      </w:tr>
    </w:tbl>
    <w:p>
      <w:pPr>
        <w:spacing w:after="160"/>
      </w:pPr>
    </w:p>
    <w:p>
      <w:pPr>
        <w:pStyle w:val="Heading2"/>
        <w:spacing w:after="120" w:before="240"/>
      </w:pPr>
      <w:r>
        <w:t xml:space="preserve">6.1 Divisi Fetomaternal</w:t>
      </w:r>
    </w:p>
    <w:p>
      <w:pPr>
        <w:pStyle w:val="Heading3"/>
        <w:spacing w:after="100" w:before="180"/>
      </w:pPr>
      <w:r>
        <w:t xml:space="preserve">A. Deskripsi</w:t>
      </w:r>
    </w:p>
    <w:p>
      <w:pPr>
        <w:spacing w:after="160" w:line="300"/>
      </w:pPr>
      <w:r>
        <w:rPr>
          <w:rFonts w:ascii="IBM Plex Sans" w:cs="IBM Plex Sans" w:eastAsia="IBM Plex Sans" w:hAnsi="IBM Plex Sans"/>
          <w:color w:val="1E293B"/>
          <w:sz w:val="22"/>
          <w:szCs w:val="22"/>
        </w:rPr>
        <w:t xml:space="preserve">Divisi Fetomaternal relevan terhadap keterampilan prosedural karena menangani kehamilan risiko tinggi yang menuntut intervensi invasif langsung terhadap janin dan plasenta — domain yang sepenuhnya berada di luar kewenangan spesialis umum. Prosedur diagnostik dan terapeutik invasif janin (amniosentesis, CVS, PUBS, transfusi intrauterin, fetoskopi) memerlukan navigasi ultrasonografi real-time presisi tinggi dan pemahaman fisiologi maternal-fetal yang sangat spesifik, sehingga menjadi salah satu domain prosedural paling teknis dalam keseluruhan spektrum Obstetri dan Ginekologi.</w:t>
      </w:r>
    </w:p>
    <w:p>
      <w:pPr>
        <w:pStyle w:val="Heading3"/>
        <w:spacing w:after="100" w:before="180"/>
      </w:pPr>
      <w:r>
        <w:t xml:space="preserve">B. Diferensiasi Teknis Intervensi Invasif Janin</w:t>
      </w:r>
    </w:p>
    <w:p>
      <w:pPr>
        <w:spacing w:after="160" w:line="300"/>
      </w:pPr>
      <w:r>
        <w:rPr>
          <w:rFonts w:ascii="IBM Plex Sans" w:cs="IBM Plex Sans" w:eastAsia="IBM Plex Sans" w:hAnsi="IBM Plex Sans"/>
          <w:color w:val="1E293B"/>
          <w:sz w:val="22"/>
          <w:szCs w:val="22"/>
        </w:rPr>
        <w:t xml:space="preserve">Kompetensi prosedural Fetomaternal terstruktur dalam tiga kategori: (1) prosedur diagnostik invasif (amniosentesis genetik &lt;24 minggu, CVS, PUBS) dengan target keberhasilan teknis ≥95% dan batas komplikasi mayor ≤1-2% sesuai Tabel 22 Kepkonsil; (2) prosedur terapeutik invasif (transfusi intrauterin, fetoskopi dan laser ablation pada Twin-to-Twin Transfusion Syndrome, shunt fetal thorakoamniotik/vesikoamniotik) dengan ambang kehilangan kehamilan terkait prosedur yang dibatasi secara eksplisit (≤1% untuk amniosentesis/CVS, ≤5% untuk shunt fetal); dan (3) prosedur obstetri kompleks pada populasi risiko tinggi (seksio sesarea pada kecurigaan plasenta akreta, reseksi miometrial pada spektrum plasenta akreta) yang menuntut kesiapan tim multidisiplin dan komunikasi risiko tinggi kepada keluarga sebelum tindakan.</w:t>
      </w:r>
    </w:p>
    <w:p>
      <w:pPr>
        <w:spacing w:after="160" w:line="300"/>
      </w:pPr>
      <w:r>
        <w:rPr>
          <w:rFonts w:ascii="IBM Plex Sans" w:cs="IBM Plex Sans" w:eastAsia="IBM Plex Sans" w:hAnsi="IBM Plex Sans"/>
          <w:color w:val="1E293B"/>
          <w:sz w:val="22"/>
          <w:szCs w:val="22"/>
        </w:rPr>
        <w:t xml:space="preserve">Prosedur khas divisi ini sebagaimana tercantum pada Tabel 13 dan Tabel 22-24 Kepkonsil:</w:t>
      </w:r>
    </w:p>
    <w:p>
      <w:pPr>
        <w:pStyle w:val="ListParagraph"/>
        <w:numPr>
          <w:ilvl w:val="0"/>
          <w:numId w:val="2"/>
        </w:numPr>
        <w:spacing w:after="100"/>
      </w:pPr>
      <w:r>
        <w:rPr>
          <w:rFonts w:ascii="IBM Plex Sans" w:cs="IBM Plex Sans" w:eastAsia="IBM Plex Sans" w:hAnsi="IBM Plex Sans"/>
          <w:color w:val="1E293B"/>
          <w:sz w:val="22"/>
          <w:szCs w:val="22"/>
        </w:rPr>
        <w:t xml:space="preserve">Amniosentesis genetik (&lt;24 minggu) — volume minimal ≥5 kasus</w:t>
      </w:r>
    </w:p>
    <w:p>
      <w:pPr>
        <w:pStyle w:val="ListParagraph"/>
        <w:numPr>
          <w:ilvl w:val="0"/>
          <w:numId w:val="2"/>
        </w:numPr>
        <w:spacing w:after="100"/>
      </w:pPr>
      <w:r>
        <w:rPr>
          <w:rFonts w:ascii="IBM Plex Sans" w:cs="IBM Plex Sans" w:eastAsia="IBM Plex Sans" w:hAnsi="IBM Plex Sans"/>
          <w:color w:val="1E293B"/>
          <w:sz w:val="22"/>
          <w:szCs w:val="22"/>
        </w:rPr>
        <w:t xml:space="preserve">Chorionic Villus Sampling (CVS) — volume minimal ≥1 kasus</w:t>
      </w:r>
    </w:p>
    <w:p>
      <w:pPr>
        <w:pStyle w:val="ListParagraph"/>
        <w:numPr>
          <w:ilvl w:val="0"/>
          <w:numId w:val="2"/>
        </w:numPr>
        <w:spacing w:after="100"/>
      </w:pPr>
      <w:r>
        <w:rPr>
          <w:rFonts w:ascii="IBM Plex Sans" w:cs="IBM Plex Sans" w:eastAsia="IBM Plex Sans" w:hAnsi="IBM Plex Sans"/>
          <w:color w:val="1E293B"/>
          <w:sz w:val="22"/>
          <w:szCs w:val="22"/>
        </w:rPr>
        <w:t xml:space="preserve">Percutaneous Umbilical Blood Sampling (PUBS)/kordosintesis — volume minimal ≥1 kasus</w:t>
      </w:r>
    </w:p>
    <w:p>
      <w:pPr>
        <w:pStyle w:val="ListParagraph"/>
        <w:numPr>
          <w:ilvl w:val="0"/>
          <w:numId w:val="2"/>
        </w:numPr>
        <w:spacing w:after="100"/>
      </w:pPr>
      <w:r>
        <w:rPr>
          <w:rFonts w:ascii="IBM Plex Sans" w:cs="IBM Plex Sans" w:eastAsia="IBM Plex Sans" w:hAnsi="IBM Plex Sans"/>
          <w:color w:val="1E293B"/>
          <w:sz w:val="22"/>
          <w:szCs w:val="22"/>
        </w:rPr>
        <w:t xml:space="preserve">Transfusi intrauterin — volume minimal ≥1 kasus</w:t>
      </w:r>
    </w:p>
    <w:p>
      <w:pPr>
        <w:pStyle w:val="ListParagraph"/>
        <w:numPr>
          <w:ilvl w:val="0"/>
          <w:numId w:val="2"/>
        </w:numPr>
        <w:spacing w:after="100"/>
      </w:pPr>
      <w:r>
        <w:rPr>
          <w:rFonts w:ascii="IBM Plex Sans" w:cs="IBM Plex Sans" w:eastAsia="IBM Plex Sans" w:hAnsi="IBM Plex Sans"/>
          <w:color w:val="1E293B"/>
          <w:sz w:val="22"/>
          <w:szCs w:val="22"/>
        </w:rPr>
        <w:t xml:space="preserve">Fetoskopi dan laser ablation (TTTS) — volume minimal ≥1 kasus</w:t>
      </w:r>
    </w:p>
    <w:p>
      <w:pPr>
        <w:pStyle w:val="ListParagraph"/>
        <w:numPr>
          <w:ilvl w:val="0"/>
          <w:numId w:val="2"/>
        </w:numPr>
        <w:spacing w:after="100"/>
      </w:pPr>
      <w:r>
        <w:rPr>
          <w:rFonts w:ascii="IBM Plex Sans" w:cs="IBM Plex Sans" w:eastAsia="IBM Plex Sans" w:hAnsi="IBM Plex Sans"/>
          <w:color w:val="1E293B"/>
          <w:sz w:val="22"/>
          <w:szCs w:val="22"/>
        </w:rPr>
        <w:t xml:space="preserve">Cerclage serviks profilaksis dan terapeutik — volume minimal ≥3 kasus</w:t>
      </w:r>
    </w:p>
    <w:p>
      <w:pPr>
        <w:pStyle w:val="ListParagraph"/>
        <w:numPr>
          <w:ilvl w:val="0"/>
          <w:numId w:val="2"/>
        </w:numPr>
        <w:spacing w:after="100"/>
      </w:pPr>
      <w:r>
        <w:rPr>
          <w:rFonts w:ascii="IBM Plex Sans" w:cs="IBM Plex Sans" w:eastAsia="IBM Plex Sans" w:hAnsi="IBM Plex Sans"/>
          <w:color w:val="1E293B"/>
          <w:sz w:val="22"/>
          <w:szCs w:val="22"/>
        </w:rPr>
        <w:t xml:space="preserve">Seksio sesarea kompleks pada kecurigaan plasenta akreta — volume minimal ≥5 kasus</w:t>
      </w:r>
    </w:p>
    <w:p>
      <w:pPr>
        <w:spacing w:after="80"/>
      </w:pPr>
    </w:p>
    <w:p>
      <w:pPr>
        <w:pStyle w:val="Heading3"/>
        <w:spacing w:after="100" w:before="180"/>
      </w:pPr>
      <w:r>
        <w:t xml:space="preserve">C. Ilustrasi Kasus Lapangan</w:t>
      </w:r>
    </w:p>
    <w:p>
      <w:pPr>
        <w:spacing w:after="160" w:line="300"/>
      </w:pPr>
      <w:r>
        <w:rPr>
          <w:rFonts w:ascii="IBM Plex Sans" w:cs="IBM Plex Sans" w:eastAsia="IBM Plex Sans" w:hAnsi="IBM Plex Sans"/>
          <w:color w:val="1E293B"/>
          <w:sz w:val="22"/>
          <w:szCs w:val="22"/>
        </w:rPr>
        <w:t xml:space="preserve">Seorang peserta didik subspesialis Fetomaternal tahun kedua menangani kehamilan 32 minggu dengan diagnosis Twin-to-Twin Transfusion Syndrome (TTTS) stadium III berdasarkan kriteria Quintero, ditegakkan melalui USG Doppler yang menunjukkan oligohidramnion pada kantung donor dan polihidramnion pada kantung resipien disertai gambaran Doppler arteri umbilikalis abnormal. Di bawah supervisi konsultan Fetomaternal, peserta didik melakukan persiapan fetoskopi laser ablation, termasuk konseling risiko kepada keluarga mengenai kemungkinan kehilangan salah satu janin, dan mendokumentasikan seluruh proses informed consent serta rencana kontinjensi pascatindakan sesuai templat dokumentasi Tabel 22 Kepkonsil.</w:t>
      </w:r>
    </w:p>
    <w:p>
      <w:pPr>
        <w:pStyle w:val="Heading2"/>
        <w:spacing w:after="120" w:before="240"/>
      </w:pPr>
      <w:r>
        <w:t xml:space="preserve">6.2 Divisi Fertilitas dan Endokrinologi Reproduksi</w:t>
      </w:r>
    </w:p>
    <w:p>
      <w:pPr>
        <w:pStyle w:val="Heading3"/>
        <w:spacing w:after="100" w:before="180"/>
      </w:pPr>
      <w:r>
        <w:t xml:space="preserve">A. Deskripsi</w:t>
      </w:r>
    </w:p>
    <w:p>
      <w:pPr>
        <w:spacing w:after="160" w:line="300"/>
      </w:pPr>
      <w:r>
        <w:rPr>
          <w:rFonts w:ascii="IBM Plex Sans" w:cs="IBM Plex Sans" w:eastAsia="IBM Plex Sans" w:hAnsi="IBM Plex Sans"/>
          <w:color w:val="1E293B"/>
          <w:sz w:val="22"/>
          <w:szCs w:val="22"/>
        </w:rPr>
        <w:t xml:space="preserve">Divisi Fertilitas dan Endokrinologi Reproduksi relevan terhadap keterampilan prosedural karena menggabungkan dua domain teknis berbeda: prosedur laboratorium reproduksi berbantu (assisted reproductive technology/ART) yang menuntut presisi mikroskopik, dan bedah endoskopi reproduktif tingkat lanjut untuk kelainan anatomi yang memengaruhi fertilitas. Kompleksitas teknis divisi ini terletak pada integrasi antara keterampilan bedah tradisional dan penguasaan teknologi laboratorium embriologi yang berkembang pesat.</w:t>
      </w:r>
    </w:p>
    <w:p>
      <w:pPr>
        <w:pStyle w:val="Heading3"/>
        <w:spacing w:after="100" w:before="180"/>
      </w:pPr>
      <w:r>
        <w:t xml:space="preserve">B. Integrasi Bedah Reproduktif dan Teknologi Reproduksi Berbantu</w:t>
      </w:r>
    </w:p>
    <w:p>
      <w:pPr>
        <w:spacing w:after="160" w:line="300"/>
      </w:pPr>
      <w:r>
        <w:rPr>
          <w:rFonts w:ascii="IBM Plex Sans" w:cs="IBM Plex Sans" w:eastAsia="IBM Plex Sans" w:hAnsi="IBM Plex Sans"/>
          <w:color w:val="1E293B"/>
          <w:sz w:val="22"/>
          <w:szCs w:val="22"/>
        </w:rPr>
        <w:t xml:space="preserve">Tabel 23 Kepkonsil merinci rangkaian prosedur mulai dari monitoring stimulasi ovarium terkontrol, petik oosit, hingga transfer embrio sebagai inti kompetensi teknologi reproduksi berbantu, dengan volume kasus minimal berkisar 1-20 kasus per jenis tindakan dan ambang kepatuhan protokol ≥75%. Berdampingan dengan itu, divisi ini juga menuntut penguasaan laparoskopi dan histeroskopi operatif tingkat lanjut untuk kondisi yang secara langsung memengaruhi fertilitas — endometriosis susukan dalam (deep infiltrating endometriosis), miomektomi laparoskopik, dan histeroskopi reseksi septum uterus — yang volumenya jauh lebih tinggi dibandingkan endoskopi diagnostik dasar spesialis umum pada Tabel 21.</w:t>
      </w:r>
    </w:p>
    <w:p>
      <w:pPr>
        <w:spacing w:after="160" w:line="300"/>
      </w:pPr>
      <w:r>
        <w:rPr>
          <w:rFonts w:ascii="IBM Plex Sans" w:cs="IBM Plex Sans" w:eastAsia="IBM Plex Sans" w:hAnsi="IBM Plex Sans"/>
          <w:color w:val="1E293B"/>
          <w:sz w:val="22"/>
          <w:szCs w:val="22"/>
        </w:rPr>
        <w:t xml:space="preserve">Prosedur khas divisi ini sebagaimana tercantum pada Tabel 13 dan Tabel 22-24 Kepkonsil:</w:t>
      </w:r>
    </w:p>
    <w:p>
      <w:pPr>
        <w:pStyle w:val="ListParagraph"/>
        <w:numPr>
          <w:ilvl w:val="0"/>
          <w:numId w:val="2"/>
        </w:numPr>
        <w:spacing w:after="100"/>
      </w:pPr>
      <w:r>
        <w:rPr>
          <w:rFonts w:ascii="IBM Plex Sans" w:cs="IBM Plex Sans" w:eastAsia="IBM Plex Sans" w:hAnsi="IBM Plex Sans"/>
          <w:color w:val="1E293B"/>
          <w:sz w:val="22"/>
          <w:szCs w:val="22"/>
        </w:rPr>
        <w:t xml:space="preserve">Stimulasi ovarium terkontrol untuk IVF — volume minimal ≥10 kasus mandiri</w:t>
      </w:r>
    </w:p>
    <w:p>
      <w:pPr>
        <w:pStyle w:val="ListParagraph"/>
        <w:numPr>
          <w:ilvl w:val="0"/>
          <w:numId w:val="2"/>
        </w:numPr>
        <w:spacing w:after="100"/>
      </w:pPr>
      <w:r>
        <w:rPr>
          <w:rFonts w:ascii="IBM Plex Sans" w:cs="IBM Plex Sans" w:eastAsia="IBM Plex Sans" w:hAnsi="IBM Plex Sans"/>
          <w:color w:val="1E293B"/>
          <w:sz w:val="22"/>
          <w:szCs w:val="22"/>
        </w:rPr>
        <w:t xml:space="preserve">Petik oosit — volume minimal ≥5 kasus mandiri</w:t>
      </w:r>
    </w:p>
    <w:p>
      <w:pPr>
        <w:pStyle w:val="ListParagraph"/>
        <w:numPr>
          <w:ilvl w:val="0"/>
          <w:numId w:val="2"/>
        </w:numPr>
        <w:spacing w:after="100"/>
      </w:pPr>
      <w:r>
        <w:rPr>
          <w:rFonts w:ascii="IBM Plex Sans" w:cs="IBM Plex Sans" w:eastAsia="IBM Plex Sans" w:hAnsi="IBM Plex Sans"/>
          <w:color w:val="1E293B"/>
          <w:sz w:val="22"/>
          <w:szCs w:val="22"/>
        </w:rPr>
        <w:t xml:space="preserve">Transfer embrio — volume minimal ≥1 kasus mandiri</w:t>
      </w:r>
    </w:p>
    <w:p>
      <w:pPr>
        <w:pStyle w:val="ListParagraph"/>
        <w:numPr>
          <w:ilvl w:val="0"/>
          <w:numId w:val="2"/>
        </w:numPr>
        <w:spacing w:after="100"/>
      </w:pPr>
      <w:r>
        <w:rPr>
          <w:rFonts w:ascii="IBM Plex Sans" w:cs="IBM Plex Sans" w:eastAsia="IBM Plex Sans" w:hAnsi="IBM Plex Sans"/>
          <w:color w:val="1E293B"/>
          <w:sz w:val="22"/>
          <w:szCs w:val="22"/>
        </w:rPr>
        <w:t xml:space="preserve">Laparoskopi eksisi endometriosis susukan dalam — volume minimal ≥5 kasus</w:t>
      </w:r>
    </w:p>
    <w:p>
      <w:pPr>
        <w:pStyle w:val="ListParagraph"/>
        <w:numPr>
          <w:ilvl w:val="0"/>
          <w:numId w:val="2"/>
        </w:numPr>
        <w:spacing w:after="100"/>
      </w:pPr>
      <w:r>
        <w:rPr>
          <w:rFonts w:ascii="IBM Plex Sans" w:cs="IBM Plex Sans" w:eastAsia="IBM Plex Sans" w:hAnsi="IBM Plex Sans"/>
          <w:color w:val="1E293B"/>
          <w:sz w:val="22"/>
          <w:szCs w:val="22"/>
        </w:rPr>
        <w:t xml:space="preserve">Laparoskopi miomektomi — volume minimal ≥10 kasus</w:t>
      </w:r>
    </w:p>
    <w:p>
      <w:pPr>
        <w:pStyle w:val="ListParagraph"/>
        <w:numPr>
          <w:ilvl w:val="0"/>
          <w:numId w:val="2"/>
        </w:numPr>
        <w:spacing w:after="100"/>
      </w:pPr>
      <w:r>
        <w:rPr>
          <w:rFonts w:ascii="IBM Plex Sans" w:cs="IBM Plex Sans" w:eastAsia="IBM Plex Sans" w:hAnsi="IBM Plex Sans"/>
          <w:color w:val="1E293B"/>
          <w:sz w:val="22"/>
          <w:szCs w:val="22"/>
        </w:rPr>
        <w:t xml:space="preserve">Histeroskopi pemisahan septum uterus — volume minimal ≥3 kasus</w:t>
      </w:r>
    </w:p>
    <w:p>
      <w:pPr>
        <w:pStyle w:val="ListParagraph"/>
        <w:numPr>
          <w:ilvl w:val="0"/>
          <w:numId w:val="2"/>
        </w:numPr>
        <w:spacing w:after="100"/>
      </w:pPr>
      <w:r>
        <w:rPr>
          <w:rFonts w:ascii="IBM Plex Sans" w:cs="IBM Plex Sans" w:eastAsia="IBM Plex Sans" w:hAnsi="IBM Plex Sans"/>
          <w:color w:val="1E293B"/>
          <w:sz w:val="22"/>
          <w:szCs w:val="22"/>
        </w:rPr>
        <w:t xml:space="preserve">Rekanalisasi tuba Fallopii — volume minimal ≥3 kasus</w:t>
      </w:r>
    </w:p>
    <w:p>
      <w:pPr>
        <w:spacing w:after="80"/>
      </w:pPr>
    </w:p>
    <w:p>
      <w:pPr>
        <w:pStyle w:val="Heading3"/>
        <w:spacing w:after="100" w:before="180"/>
      </w:pPr>
      <w:r>
        <w:t xml:space="preserve">C. Ilustrasi Kasus Lapangan</w:t>
      </w:r>
    </w:p>
    <w:p>
      <w:pPr>
        <w:spacing w:after="160" w:line="300"/>
      </w:pPr>
      <w:r>
        <w:rPr>
          <w:rFonts w:ascii="IBM Plex Sans" w:cs="IBM Plex Sans" w:eastAsia="IBM Plex Sans" w:hAnsi="IBM Plex Sans"/>
          <w:color w:val="1E293B"/>
          <w:sz w:val="22"/>
          <w:szCs w:val="22"/>
        </w:rPr>
        <w:t xml:space="preserve">Seorang pasien usia 33 tahun dengan riwayat infertilitas sekunder dua tahun dan endometriosis stadium III datang untuk evaluasi teknologi reproduksi berbantu. Peserta didik subspesialis melakukan penilaian ovarian reserve melalui pemeriksaan Anti-Müllerian Hormone (AMH) dan hitung folikel antral, dilanjutkan rencana laparoskopi eksisi endometrioma sebelum program stimulasi ovarium terkontrol, mengikuti alur kompetensi 'ultrasonografi tingkat lanjut kelainan organ reproduksi' dan 'laparoskopi eksisi endometriosis susukan dalam' pada Tabel 23 Kepkonsil, dengan dokumentasi lengkap informed consent risiko penurunan cadangan ovarium pascabedah.</w:t>
      </w:r>
    </w:p>
    <w:p>
      <w:pPr>
        <w:pStyle w:val="Heading2"/>
        <w:spacing w:after="120" w:before="240"/>
      </w:pPr>
      <w:r>
        <w:t xml:space="preserve">6.3 Divisi Onkologi Ginekologi</w:t>
      </w:r>
    </w:p>
    <w:p>
      <w:pPr>
        <w:pStyle w:val="Heading3"/>
        <w:spacing w:after="100" w:before="180"/>
      </w:pPr>
      <w:r>
        <w:t xml:space="preserve">A. Deskripsi</w:t>
      </w:r>
    </w:p>
    <w:p>
      <w:pPr>
        <w:spacing w:after="160" w:line="300"/>
      </w:pPr>
      <w:r>
        <w:rPr>
          <w:rFonts w:ascii="IBM Plex Sans" w:cs="IBM Plex Sans" w:eastAsia="IBM Plex Sans" w:hAnsi="IBM Plex Sans"/>
          <w:color w:val="1E293B"/>
          <w:sz w:val="22"/>
          <w:szCs w:val="22"/>
        </w:rPr>
        <w:t xml:space="preserve">Divisi Onkologi Ginekologi relevan terhadap keterampilan prosedural karena menangani spektrum bedah paling ekstensif dalam keseluruhan Obstetri dan Ginekologi — mulai dari prosedur diagnostik minimal invasif (biopsi, kolposkopi) hingga operasi ultra-radikal multiorgan (peritonektomi, reseksi usus dengan anastomosis, HIPEC). Rentang kompleksitas ini menuntut jenjang pembelajaran bedah paling panjang di antara seluruh subspesialisasi Obstetri dan Ginekologi.</w:t>
      </w:r>
    </w:p>
    <w:p>
      <w:pPr>
        <w:pStyle w:val="Heading3"/>
        <w:spacing w:after="100" w:before="180"/>
      </w:pPr>
      <w:r>
        <w:t xml:space="preserve">B. Gradasi Bedah dari Staging hingga Sitoreduksi Ultra-Radikal</w:t>
      </w:r>
    </w:p>
    <w:p>
      <w:pPr>
        <w:spacing w:after="160" w:line="300"/>
      </w:pPr>
      <w:r>
        <w:rPr>
          <w:rFonts w:ascii="IBM Plex Sans" w:cs="IBM Plex Sans" w:eastAsia="IBM Plex Sans" w:hAnsi="IBM Plex Sans"/>
          <w:color w:val="1E293B"/>
          <w:sz w:val="22"/>
          <w:szCs w:val="22"/>
        </w:rPr>
        <w:t xml:space="preserve">Tabel 24 Kepkonsil menyusun kompetensi prosedural Onkologi Ginekologi dalam gradasi eksplisit: prosedur diagnostik dan staging (kolposkopi-biopsi, konisasi, biopsi endometrium, surgical staging kanker ovarium/endometrium/serviks), bedah radikal dan sitoreduktif (histerektomi radikal, trakelektomi, debulking tumor, limfadenektomi pelvis dan paraaorta), hingga operasi ultra-radikal dan multiorgan (peritonektomi, stripping diafragma, reseksi usus dengan anastomosis, reseksi hati parsial, splenektomi, dan Hyperthermic Intraperitoneal Chemotherapy/HIPEC) yang menuntut koordinasi tim bedah multidisiplin lintas spesialisasi (bedah digestif, urologi, bedah toraks-kardiovaskular).</w:t>
      </w:r>
    </w:p>
    <w:p>
      <w:pPr>
        <w:spacing w:after="160" w:line="300"/>
      </w:pPr>
      <w:r>
        <w:rPr>
          <w:rFonts w:ascii="IBM Plex Sans" w:cs="IBM Plex Sans" w:eastAsia="IBM Plex Sans" w:hAnsi="IBM Plex Sans"/>
          <w:color w:val="1E293B"/>
          <w:sz w:val="22"/>
          <w:szCs w:val="22"/>
        </w:rPr>
        <w:t xml:space="preserve">Prosedur khas divisi ini sebagaimana tercantum pada Tabel 13 dan Tabel 22-24 Kepkonsil:</w:t>
      </w:r>
    </w:p>
    <w:p>
      <w:pPr>
        <w:pStyle w:val="ListParagraph"/>
        <w:numPr>
          <w:ilvl w:val="0"/>
          <w:numId w:val="2"/>
        </w:numPr>
        <w:spacing w:after="100"/>
      </w:pPr>
      <w:r>
        <w:rPr>
          <w:rFonts w:ascii="IBM Plex Sans" w:cs="IBM Plex Sans" w:eastAsia="IBM Plex Sans" w:hAnsi="IBM Plex Sans"/>
          <w:color w:val="1E293B"/>
          <w:sz w:val="22"/>
          <w:szCs w:val="22"/>
        </w:rPr>
        <w:t xml:space="preserve">Surgical staging kanker ovarium (komplit/fertility-sparing) — volume minimal ≥3 kasus</w:t>
      </w:r>
    </w:p>
    <w:p>
      <w:pPr>
        <w:pStyle w:val="ListParagraph"/>
        <w:numPr>
          <w:ilvl w:val="0"/>
          <w:numId w:val="2"/>
        </w:numPr>
        <w:spacing w:after="100"/>
      </w:pPr>
      <w:r>
        <w:rPr>
          <w:rFonts w:ascii="IBM Plex Sans" w:cs="IBM Plex Sans" w:eastAsia="IBM Plex Sans" w:hAnsi="IBM Plex Sans"/>
          <w:color w:val="1E293B"/>
          <w:sz w:val="22"/>
          <w:szCs w:val="22"/>
        </w:rPr>
        <w:t xml:space="preserve">Histerektomi radikal, trakelektomi, dan limfadenektomi pelvis/paraaorta — sesuai Tabel 24</w:t>
      </w:r>
    </w:p>
    <w:p>
      <w:pPr>
        <w:pStyle w:val="ListParagraph"/>
        <w:numPr>
          <w:ilvl w:val="0"/>
          <w:numId w:val="2"/>
        </w:numPr>
        <w:spacing w:after="100"/>
      </w:pPr>
      <w:r>
        <w:rPr>
          <w:rFonts w:ascii="IBM Plex Sans" w:cs="IBM Plex Sans" w:eastAsia="IBM Plex Sans" w:hAnsi="IBM Plex Sans"/>
          <w:color w:val="1E293B"/>
          <w:sz w:val="22"/>
          <w:szCs w:val="22"/>
        </w:rPr>
        <w:t xml:space="preserve">Diseksi/sampling kelenjar getah bening inguinofemoral — volume minimal ≥2 kasus</w:t>
      </w:r>
    </w:p>
    <w:p>
      <w:pPr>
        <w:pStyle w:val="ListParagraph"/>
        <w:numPr>
          <w:ilvl w:val="0"/>
          <w:numId w:val="2"/>
        </w:numPr>
        <w:spacing w:after="100"/>
      </w:pPr>
      <w:r>
        <w:rPr>
          <w:rFonts w:ascii="IBM Plex Sans" w:cs="IBM Plex Sans" w:eastAsia="IBM Plex Sans" w:hAnsi="IBM Plex Sans"/>
          <w:color w:val="1E293B"/>
          <w:sz w:val="22"/>
          <w:szCs w:val="22"/>
        </w:rPr>
        <w:t xml:space="preserve">Debulking massa tumor ginekologi (laparotomi/laparoskopi) — volume minimal ≥3 kasus</w:t>
      </w:r>
    </w:p>
    <w:p>
      <w:pPr>
        <w:pStyle w:val="ListParagraph"/>
        <w:numPr>
          <w:ilvl w:val="0"/>
          <w:numId w:val="2"/>
        </w:numPr>
        <w:spacing w:after="100"/>
      </w:pPr>
      <w:r>
        <w:rPr>
          <w:rFonts w:ascii="IBM Plex Sans" w:cs="IBM Plex Sans" w:eastAsia="IBM Plex Sans" w:hAnsi="IBM Plex Sans"/>
          <w:color w:val="1E293B"/>
          <w:sz w:val="22"/>
          <w:szCs w:val="22"/>
        </w:rPr>
        <w:t xml:space="preserve">Operasi ultra-radikal (peritonektomi, stripping diafragma, reseksi usus/anastomosis, HIPEC) — sesuai seleksi kasus dan koordinasi tim multidisiplin</w:t>
      </w:r>
    </w:p>
    <w:p>
      <w:pPr>
        <w:pStyle w:val="ListParagraph"/>
        <w:numPr>
          <w:ilvl w:val="0"/>
          <w:numId w:val="2"/>
        </w:numPr>
        <w:spacing w:after="100"/>
      </w:pPr>
      <w:r>
        <w:rPr>
          <w:rFonts w:ascii="IBM Plex Sans" w:cs="IBM Plex Sans" w:eastAsia="IBM Plex Sans" w:hAnsi="IBM Plex Sans"/>
          <w:color w:val="1E293B"/>
          <w:sz w:val="22"/>
          <w:szCs w:val="22"/>
        </w:rPr>
        <w:t xml:space="preserve">Vulvektomi sederhana/radikal — volume minimal ≥2 kasus</w:t>
      </w:r>
    </w:p>
    <w:p>
      <w:pPr>
        <w:spacing w:after="80"/>
      </w:pPr>
    </w:p>
    <w:p>
      <w:pPr>
        <w:pStyle w:val="Heading3"/>
        <w:spacing w:after="100" w:before="180"/>
      </w:pPr>
      <w:r>
        <w:t xml:space="preserve">C. Ilustrasi Kasus Lapangan</w:t>
      </w:r>
    </w:p>
    <w:p>
      <w:pPr>
        <w:spacing w:after="160" w:line="300"/>
      </w:pPr>
      <w:r>
        <w:rPr>
          <w:rFonts w:ascii="IBM Plex Sans" w:cs="IBM Plex Sans" w:eastAsia="IBM Plex Sans" w:hAnsi="IBM Plex Sans"/>
          <w:color w:val="1E293B"/>
          <w:sz w:val="22"/>
          <w:szCs w:val="22"/>
        </w:rPr>
        <w:t xml:space="preserve">Seorang pasien usia 52 tahun dengan kanker ovarium stadium IIIC berdasarkan surgical staging awal dirujuk untuk sitoreduksi interval setelah tiga siklus kemoterapi neoadjuvan. Peserta didik subspesialis, di bawah supervisi konsultan Onkologi Ginekologi, berpartisipasi dalam tumor board multidisiplin untuk menilai resektabilitas, kemudian terlibat dalam prosedur debulking yang mencakup histerektomi radikal, omentektomi, dan diseksi kelenjar getah bening paraaorta, dengan target sitoreduksi optimal (residual disease minimal) sesuai kriteria pada Tabel 24 Kepkonsil, serta dokumentasi lengkap residual disease pascaoperasi.</w:t>
      </w:r>
    </w:p>
    <w:p>
      <w:pPr>
        <w:pStyle w:val="Heading2"/>
        <w:spacing w:after="120" w:before="240"/>
      </w:pPr>
      <w:r>
        <w:t xml:space="preserve">6.4 Divisi Obstetri Ginekologi Sosial</w:t>
      </w:r>
    </w:p>
    <w:p>
      <w:pPr>
        <w:pStyle w:val="Heading3"/>
        <w:spacing w:after="100" w:before="180"/>
      </w:pPr>
      <w:r>
        <w:t xml:space="preserve">A. Deskripsi</w:t>
      </w:r>
    </w:p>
    <w:p>
      <w:pPr>
        <w:spacing w:after="160" w:line="300"/>
      </w:pPr>
      <w:r>
        <w:rPr>
          <w:rFonts w:ascii="IBM Plex Sans" w:cs="IBM Plex Sans" w:eastAsia="IBM Plex Sans" w:hAnsi="IBM Plex Sans"/>
          <w:color w:val="1E293B"/>
          <w:sz w:val="22"/>
          <w:szCs w:val="22"/>
        </w:rPr>
        <w:t xml:space="preserve">Divisi Obstetri Ginekologi Sosial relevan terhadap keterampilan prosedural karena menjembatani kompetensi teknis klinis dengan dimensi biopsikososial, etik, dan medikolegal yang tidak selalu menuntut keterampilan bedah kompleks namun memerlukan penguasaan prosedur dengan pertimbangan legal-etik tinggi — misalnya terminasi kehamilan risiko tinggi, D&amp;E trimester lanjut, dan kontrasepsi darurat pada kasus kekerasan seksual.</w:t>
      </w:r>
    </w:p>
    <w:p>
      <w:pPr>
        <w:pStyle w:val="Heading3"/>
        <w:spacing w:after="100" w:before="180"/>
      </w:pPr>
      <w:r>
        <w:t xml:space="preserve">B. Prosedur dengan Pertimbangan Etik-Legal Tinggi</w:t>
      </w:r>
    </w:p>
    <w:p>
      <w:pPr>
        <w:spacing w:after="160" w:line="300"/>
      </w:pPr>
      <w:r>
        <w:rPr>
          <w:rFonts w:ascii="IBM Plex Sans" w:cs="IBM Plex Sans" w:eastAsia="IBM Plex Sans" w:hAnsi="IBM Plex Sans"/>
          <w:color w:val="1E293B"/>
          <w:sz w:val="22"/>
          <w:szCs w:val="22"/>
        </w:rPr>
        <w:t xml:space="preserve">Tabel 11 dan bagian prosedur khas divisi Kepkonsil menekankan bahwa kompetensi prosedural Obstetri Ginekologi Sosial mencakup pengelolaan kegawatdaruratan obstetri dan neonatal dasar-komprehensif, audit maternal-perinatal dan audit near-miss (kasus obstetri dengan komplikasi berat) sebagai instrumen surveilans sistem, serta prosedur klinis yang menuntut kepatuhan legal-etik ketat seperti dilatasi dan evakuasi (D&amp;E) trimester lanjut, kontrasepsi darurat pada kasus perkosaan dan kegagalan kontrasepsi, serta penanganan holistik kasus dengan latar belakang biopsikososiokultural dan etik medikolegal.</w:t>
      </w:r>
    </w:p>
    <w:p>
      <w:pPr>
        <w:spacing w:after="160" w:line="300"/>
      </w:pPr>
      <w:r>
        <w:rPr>
          <w:rFonts w:ascii="IBM Plex Sans" w:cs="IBM Plex Sans" w:eastAsia="IBM Plex Sans" w:hAnsi="IBM Plex Sans"/>
          <w:color w:val="1E293B"/>
          <w:sz w:val="22"/>
          <w:szCs w:val="22"/>
        </w:rPr>
        <w:t xml:space="preserve">Prosedur khas divisi ini sebagaimana tercantum pada Tabel 13 dan Tabel 22-24 Kepkonsil:</w:t>
      </w:r>
    </w:p>
    <w:p>
      <w:pPr>
        <w:pStyle w:val="ListParagraph"/>
        <w:numPr>
          <w:ilvl w:val="0"/>
          <w:numId w:val="2"/>
        </w:numPr>
        <w:spacing w:after="100"/>
      </w:pPr>
      <w:r>
        <w:rPr>
          <w:rFonts w:ascii="IBM Plex Sans" w:cs="IBM Plex Sans" w:eastAsia="IBM Plex Sans" w:hAnsi="IBM Plex Sans"/>
          <w:color w:val="1E293B"/>
          <w:sz w:val="22"/>
          <w:szCs w:val="22"/>
        </w:rPr>
        <w:t xml:space="preserve">Pengelolaan kegawatdaruratan obstetri dan neonatal dasar-komprehensif</w:t>
      </w:r>
    </w:p>
    <w:p>
      <w:pPr>
        <w:pStyle w:val="ListParagraph"/>
        <w:numPr>
          <w:ilvl w:val="0"/>
          <w:numId w:val="2"/>
        </w:numPr>
        <w:spacing w:after="100"/>
      </w:pPr>
      <w:r>
        <w:rPr>
          <w:rFonts w:ascii="IBM Plex Sans" w:cs="IBM Plex Sans" w:eastAsia="IBM Plex Sans" w:hAnsi="IBM Plex Sans"/>
          <w:color w:val="1E293B"/>
          <w:sz w:val="22"/>
          <w:szCs w:val="22"/>
        </w:rPr>
        <w:t xml:space="preserve">Audit maternal dan perinatal, surveilans dan respons; audit near-miss maternal</w:t>
      </w:r>
    </w:p>
    <w:p>
      <w:pPr>
        <w:pStyle w:val="ListParagraph"/>
        <w:numPr>
          <w:ilvl w:val="0"/>
          <w:numId w:val="2"/>
        </w:numPr>
        <w:spacing w:after="100"/>
      </w:pPr>
      <w:r>
        <w:rPr>
          <w:rFonts w:ascii="IBM Plex Sans" w:cs="IBM Plex Sans" w:eastAsia="IBM Plex Sans" w:hAnsi="IBM Plex Sans"/>
          <w:color w:val="1E293B"/>
          <w:sz w:val="22"/>
          <w:szCs w:val="22"/>
        </w:rPr>
        <w:t xml:space="preserve">Kontrasepsi/terminasi kehamilan risiko tinggi, termasuk D&amp;E trimester lanjut</w:t>
      </w:r>
    </w:p>
    <w:p>
      <w:pPr>
        <w:pStyle w:val="ListParagraph"/>
        <w:numPr>
          <w:ilvl w:val="0"/>
          <w:numId w:val="2"/>
        </w:numPr>
        <w:spacing w:after="100"/>
      </w:pPr>
      <w:r>
        <w:rPr>
          <w:rFonts w:ascii="IBM Plex Sans" w:cs="IBM Plex Sans" w:eastAsia="IBM Plex Sans" w:hAnsi="IBM Plex Sans"/>
          <w:color w:val="1E293B"/>
          <w:sz w:val="22"/>
          <w:szCs w:val="22"/>
        </w:rPr>
        <w:t xml:space="preserve">Kontrasepsi darurat pada kasus perkosaan dan kegagalan penggunaan kontrasepsi</w:t>
      </w:r>
    </w:p>
    <w:p>
      <w:pPr>
        <w:pStyle w:val="ListParagraph"/>
        <w:numPr>
          <w:ilvl w:val="0"/>
          <w:numId w:val="2"/>
        </w:numPr>
        <w:spacing w:after="100"/>
      </w:pPr>
      <w:r>
        <w:rPr>
          <w:rFonts w:ascii="IBM Plex Sans" w:cs="IBM Plex Sans" w:eastAsia="IBM Plex Sans" w:hAnsi="IBM Plex Sans"/>
          <w:color w:val="1E293B"/>
          <w:sz w:val="22"/>
          <w:szCs w:val="22"/>
        </w:rPr>
        <w:t xml:space="preserve">Penanganan holistik kekerasan berbasis gender dan konseling reproduksi</w:t>
      </w:r>
    </w:p>
    <w:p>
      <w:pPr>
        <w:pStyle w:val="ListParagraph"/>
        <w:numPr>
          <w:ilvl w:val="0"/>
          <w:numId w:val="2"/>
        </w:numPr>
        <w:spacing w:after="100"/>
      </w:pPr>
      <w:r>
        <w:rPr>
          <w:rFonts w:ascii="IBM Plex Sans" w:cs="IBM Plex Sans" w:eastAsia="IBM Plex Sans" w:hAnsi="IBM Plex Sans"/>
          <w:color w:val="1E293B"/>
          <w:sz w:val="22"/>
          <w:szCs w:val="22"/>
        </w:rPr>
        <w:t xml:space="preserve">Tata kelola etik medikolegal pada pelayanan reproduksi, termasuk permohonan visum et repertum</w:t>
      </w:r>
    </w:p>
    <w:p>
      <w:pPr>
        <w:spacing w:after="80"/>
      </w:pPr>
    </w:p>
    <w:p>
      <w:pPr>
        <w:pStyle w:val="Heading3"/>
        <w:spacing w:after="100" w:before="180"/>
      </w:pPr>
      <w:r>
        <w:t xml:space="preserve">C. Ilustrasi Kasus Lapangan</w:t>
      </w:r>
    </w:p>
    <w:p>
      <w:pPr>
        <w:spacing w:after="160" w:line="300"/>
      </w:pPr>
      <w:r>
        <w:rPr>
          <w:rFonts w:ascii="IBM Plex Sans" w:cs="IBM Plex Sans" w:eastAsia="IBM Plex Sans" w:hAnsi="IBM Plex Sans"/>
          <w:color w:val="1E293B"/>
          <w:sz w:val="22"/>
          <w:szCs w:val="22"/>
        </w:rPr>
        <w:t xml:space="preserve">Seorang remaja putri usia 16 tahun datang ke unit gawat darurat 36 jam pascakekerasan seksual dengan permohonan visum et repertum dari kepolisian. Peserta didik subspesialis Obstetri Ginekologi Sosial melakukan pemeriksaan forensik ginekologi terstruktur dengan pendampingan psikolog dan pekerja sosial, memberikan kontrasepsi darurat sesuai jendela waktu ≤5 hari pascahubungan berisiko sebagaimana Tabel 11 Kepkonsil, serta mendokumentasikan seluruh proses sesuai formulir standar dan alur pelaporan sentinel unit mutu, dengan rujukan lanjutan ke layanan dukungan psikososial jangka panjang.</w:t>
      </w:r>
    </w:p>
    <w:p>
      <w:pPr>
        <w:pStyle w:val="Heading2"/>
        <w:spacing w:after="120" w:before="240"/>
      </w:pPr>
      <w:r>
        <w:t xml:space="preserve">6.5 Divisi Uroginekologi Rekonstruksi</w:t>
      </w:r>
    </w:p>
    <w:p>
      <w:pPr>
        <w:pStyle w:val="Heading3"/>
        <w:spacing w:after="100" w:before="180"/>
      </w:pPr>
      <w:r>
        <w:t xml:space="preserve">A. Deskripsi</w:t>
      </w:r>
    </w:p>
    <w:p>
      <w:pPr>
        <w:spacing w:after="160" w:line="300"/>
      </w:pPr>
      <w:r>
        <w:rPr>
          <w:rFonts w:ascii="IBM Plex Sans" w:cs="IBM Plex Sans" w:eastAsia="IBM Plex Sans" w:hAnsi="IBM Plex Sans"/>
          <w:color w:val="1E293B"/>
          <w:sz w:val="22"/>
          <w:szCs w:val="22"/>
        </w:rPr>
        <w:t xml:space="preserve">Divisi Uroginekologi Rekonstruksi relevan terhadap keterampilan prosedural karena menangani gangguan dasar panggul dan traktus urogenital yang menuntut keahlian bedah rekonstruktif presisi tinggi, berbeda secara fundamental dari bedah onkologi maupun bedah obstetri — fokus utamanya adalah pemulihan fungsi (kontinensia, fungsi seksual) alih-alih eksisi jaringan patologis.</w:t>
      </w:r>
    </w:p>
    <w:p>
      <w:pPr>
        <w:pStyle w:val="Heading3"/>
        <w:spacing w:after="100" w:before="180"/>
      </w:pPr>
      <w:r>
        <w:t xml:space="preserve">B. Bedah Rekonstruktif Presisi dan Evaluasi Fungsional</w:t>
      </w:r>
    </w:p>
    <w:p>
      <w:pPr>
        <w:spacing w:after="160" w:line="300"/>
      </w:pPr>
      <w:r>
        <w:rPr>
          <w:rFonts w:ascii="IBM Plex Sans" w:cs="IBM Plex Sans" w:eastAsia="IBM Plex Sans" w:hAnsi="IBM Plex Sans"/>
          <w:color w:val="1E293B"/>
          <w:sz w:val="22"/>
          <w:szCs w:val="22"/>
        </w:rPr>
        <w:t xml:space="preserve">Kompetensi prosedural Uroginekologi Rekonstruksi bertumpu pada dua pilar: evaluasi fungsional objektif (urodinamik, uroflowmetri, sistoskopi, penilaian POP-Q tingkat lanjut) sebagai dasar pengambilan keputusan terapi, dan bedah rekonstruktif definitif (koreksi prolaps organ panggul, bedah fistula urogenital dan anorektogenital, rekonstruksi kelainan genital kompleks kongenital maupun didapat) yang menuntut pemahaman anatomi dasar panggul tiga dimensi dan teknik jahitan rekonstruktif khusus.</w:t>
      </w:r>
    </w:p>
    <w:p>
      <w:pPr>
        <w:spacing w:after="160" w:line="300"/>
      </w:pPr>
      <w:r>
        <w:rPr>
          <w:rFonts w:ascii="IBM Plex Sans" w:cs="IBM Plex Sans" w:eastAsia="IBM Plex Sans" w:hAnsi="IBM Plex Sans"/>
          <w:color w:val="1E293B"/>
          <w:sz w:val="22"/>
          <w:szCs w:val="22"/>
        </w:rPr>
        <w:t xml:space="preserve">Prosedur khas divisi ini sebagaimana tercantum pada Tabel 13 dan Tabel 22-24 Kepkonsil:</w:t>
      </w:r>
    </w:p>
    <w:p>
      <w:pPr>
        <w:pStyle w:val="ListParagraph"/>
        <w:numPr>
          <w:ilvl w:val="0"/>
          <w:numId w:val="2"/>
        </w:numPr>
        <w:spacing w:after="100"/>
      </w:pPr>
      <w:r>
        <w:rPr>
          <w:rFonts w:ascii="IBM Plex Sans" w:cs="IBM Plex Sans" w:eastAsia="IBM Plex Sans" w:hAnsi="IBM Plex Sans"/>
          <w:color w:val="1E293B"/>
          <w:sz w:val="22"/>
          <w:szCs w:val="22"/>
        </w:rPr>
        <w:t xml:space="preserve">Evaluasi urodinamik, uroflowmetri, dan sistoskopi</w:t>
      </w:r>
    </w:p>
    <w:p>
      <w:pPr>
        <w:pStyle w:val="ListParagraph"/>
        <w:numPr>
          <w:ilvl w:val="0"/>
          <w:numId w:val="2"/>
        </w:numPr>
        <w:spacing w:after="100"/>
      </w:pPr>
      <w:r>
        <w:rPr>
          <w:rFonts w:ascii="IBM Plex Sans" w:cs="IBM Plex Sans" w:eastAsia="IBM Plex Sans" w:hAnsi="IBM Plex Sans"/>
          <w:color w:val="1E293B"/>
          <w:sz w:val="22"/>
          <w:szCs w:val="22"/>
        </w:rPr>
        <w:t xml:space="preserve">Rekonstruksi dasar panggul dan koreksi prolaps organ panggul</w:t>
      </w:r>
    </w:p>
    <w:p>
      <w:pPr>
        <w:pStyle w:val="ListParagraph"/>
        <w:numPr>
          <w:ilvl w:val="0"/>
          <w:numId w:val="2"/>
        </w:numPr>
        <w:spacing w:after="100"/>
      </w:pPr>
      <w:r>
        <w:rPr>
          <w:rFonts w:ascii="IBM Plex Sans" w:cs="IBM Plex Sans" w:eastAsia="IBM Plex Sans" w:hAnsi="IBM Plex Sans"/>
          <w:color w:val="1E293B"/>
          <w:sz w:val="22"/>
          <w:szCs w:val="22"/>
        </w:rPr>
        <w:t xml:space="preserve">Penanganan gangguan berkemih (urinary incontinence, voiding dysfunction) dan inkontinensia fekal</w:t>
      </w:r>
    </w:p>
    <w:p>
      <w:pPr>
        <w:pStyle w:val="ListParagraph"/>
        <w:numPr>
          <w:ilvl w:val="0"/>
          <w:numId w:val="2"/>
        </w:numPr>
        <w:spacing w:after="100"/>
      </w:pPr>
      <w:r>
        <w:rPr>
          <w:rFonts w:ascii="IBM Plex Sans" w:cs="IBM Plex Sans" w:eastAsia="IBM Plex Sans" w:hAnsi="IBM Plex Sans"/>
          <w:color w:val="1E293B"/>
          <w:sz w:val="22"/>
          <w:szCs w:val="22"/>
        </w:rPr>
        <w:t xml:space="preserve">Bedah fistula urogenital dan anorektogenital (vesikovagina, rektovagina)</w:t>
      </w:r>
    </w:p>
    <w:p>
      <w:pPr>
        <w:pStyle w:val="ListParagraph"/>
        <w:numPr>
          <w:ilvl w:val="0"/>
          <w:numId w:val="2"/>
        </w:numPr>
        <w:spacing w:after="100"/>
      </w:pPr>
      <w:r>
        <w:rPr>
          <w:rFonts w:ascii="IBM Plex Sans" w:cs="IBM Plex Sans" w:eastAsia="IBM Plex Sans" w:hAnsi="IBM Plex Sans"/>
          <w:color w:val="1E293B"/>
          <w:sz w:val="22"/>
          <w:szCs w:val="22"/>
        </w:rPr>
        <w:t xml:space="preserve">Rekonstruksi kelainan genital kompleks kongenital maupun didapat</w:t>
      </w:r>
    </w:p>
    <w:p>
      <w:pPr>
        <w:pStyle w:val="ListParagraph"/>
        <w:numPr>
          <w:ilvl w:val="0"/>
          <w:numId w:val="2"/>
        </w:numPr>
        <w:spacing w:after="100"/>
      </w:pPr>
      <w:r>
        <w:rPr>
          <w:rFonts w:ascii="IBM Plex Sans" w:cs="IBM Plex Sans" w:eastAsia="IBM Plex Sans" w:hAnsi="IBM Plex Sans"/>
          <w:color w:val="1E293B"/>
          <w:sz w:val="22"/>
          <w:szCs w:val="22"/>
        </w:rPr>
        <w:t xml:space="preserve">Penanganan disfungsi seksual perempuan</w:t>
      </w:r>
    </w:p>
    <w:p>
      <w:pPr>
        <w:spacing w:after="80"/>
      </w:pPr>
    </w:p>
    <w:p>
      <w:pPr>
        <w:pStyle w:val="Heading3"/>
        <w:spacing w:after="100" w:before="180"/>
      </w:pPr>
      <w:r>
        <w:t xml:space="preserve">C. Ilustrasi Kasus Lapangan</w:t>
      </w:r>
    </w:p>
    <w:p>
      <w:pPr>
        <w:spacing w:after="160" w:line="300"/>
      </w:pPr>
      <w:r>
        <w:rPr>
          <w:rFonts w:ascii="IBM Plex Sans" w:cs="IBM Plex Sans" w:eastAsia="IBM Plex Sans" w:hAnsi="IBM Plex Sans"/>
          <w:color w:val="1E293B"/>
          <w:sz w:val="22"/>
          <w:szCs w:val="22"/>
        </w:rPr>
        <w:t xml:space="preserve">Seorang pasien usia 45 tahun dengan riwayat persalinan pervaginam empat kali datang dengan keluhan prolaps organ panggul derajat III disertai inkontinensia urin stres sedang-berat. Peserta didik subspesialis Uroginekologi melakukan evaluasi POP-Q lengkap dan urodinamik untuk menentukan tipe inkontinensia, kemudian merencanakan prosedur rekonstruksi dasar panggul kombinasi dengan prosedur anti-inkontinensia, mengikuti alur anamnesis-pemeriksaan fisik-pemeriksaan penunjang-diagnosis-terapi sebagaimana Tabel 20 Kepkonsil, dengan informed consent yang mencakup diskusi realistis mengenai risiko rekurensi dan rencana jangka panjang.</w:t>
      </w:r>
    </w:p>
    <w:p>
      <w:pPr>
        <w:pStyle w:val="Heading2"/>
        <w:spacing w:after="120" w:before="240"/>
      </w:pPr>
      <w:r>
        <w:t xml:space="preserve">6.6 Ringkasan Lintas Divisi</w:t>
      </w:r>
    </w:p>
    <w:p>
      <w:pPr>
        <w:spacing w:after="160" w:line="300"/>
      </w:pPr>
      <w:r>
        <w:rPr>
          <w:rFonts w:ascii="IBM Plex Sans" w:cs="IBM Plex Sans" w:eastAsia="IBM Plex Sans" w:hAnsi="IBM Plex Sans"/>
          <w:color w:val="1E293B"/>
          <w:sz w:val="22"/>
          <w:szCs w:val="22"/>
        </w:rPr>
        <w:t xml:space="preserve">Tabel berikut merangkum indikator volume dan kompleksitas kunci dari kelima divisi subspesialisasi sebagai pembanding cepat, disusun berdasarkan Tabel 22-24 Kepkonsil serta bagian prosedur khas Obstetri Ginekologi Sosial dan Uroginekologi Rekonstruksi pada Lampiran Kepkonsil.</w:t>
      </w:r>
    </w:p>
    <w:p>
      <w:pPr>
        <w:spacing w:after="80" w:before="120"/>
      </w:pPr>
      <w:r>
        <w:rPr>
          <w:rFonts w:ascii="IBM Plex Sans" w:cs="IBM Plex Sans" w:eastAsia="IBM Plex Sans" w:hAnsi="IBM Plex Sans"/>
          <w:i/>
          <w:iCs/>
          <w:color w:val="334155"/>
          <w:sz w:val="18"/>
          <w:szCs w:val="18"/>
        </w:rPr>
        <w:t xml:space="preserve">Tabel B12.6 -- Ringkasan Indikator Kinerja Kunci Lintas Divisi Subspesialisasi</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16"/>
        <w:gridCol w:w="3116"/>
        <w:gridCol w:w="3116"/>
      </w:tblGrid>
      <w:tr>
        <w:trPr>
          <w:tblHeader/>
        </w:trPr>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Divisi</w:t>
            </w:r>
          </w:p>
        </w:tc>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Karakter Prosedur Dominan</w:t>
            </w:r>
          </w:p>
        </w:tc>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Contoh Ambang Kinerja Kunci</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Fetomaternal</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Intervensi invasif janin presisi tinggi</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Keberhasilan teknis ≥95%; komplikasi mayor ≤1-2%</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Fertilitas &amp; Endokrinologi Reproduksi</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Integrasi ART dan bedah endoskopi reproduktif</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Kepatuhan protokol ≥75%; volume 1-20 kasus per jenis</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Onkologi Ginekologi</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Gradasi bedah staging hingga ultra-radikal</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Sitoreduksi optimal (R0) sesuai seleksi kasus</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Obstetri Ginekologi Sosial</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Integrasi teknis-legal-etik dan kegawatdaruratan</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Dokumentasi dan kepatuhan protokol 100% pada kasus sensitif</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Uroginekologi Rekonstruksi</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Evaluasi fungsional dan bedah rekonstruktif</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Kepatuhan algoritme terapi ≥70%; informed consent 100%</w:t>
            </w:r>
          </w:p>
        </w:tc>
      </w:tr>
    </w:tbl>
    <w:p>
      <w:pPr>
        <w:spacing w:after="160"/>
      </w:pPr>
    </w:p>
    <w:p>
      <w:pPr>
        <w:spacing w:after="160" w:line="300"/>
      </w:pPr>
      <w:r>
        <w:rPr>
          <w:rFonts w:ascii="IBM Plex Sans" w:cs="IBM Plex Sans" w:eastAsia="IBM Plex Sans" w:hAnsi="IBM Plex Sans"/>
          <w:color w:val="1E293B"/>
          <w:sz w:val="22"/>
          <w:szCs w:val="22"/>
        </w:rPr>
        <w:t xml:space="preserve">Perbedaan mendasar antar-divisi bukan terletak pada ada-tidaknya ambang kuantitatif, melainkan pada jenis ambang yang ditekankan: Fetomaternal dan Onkologi Ginekologi menekankan batas keselamatan prosedural (target keberhasilan teknis, batas komplikasi mayor, target margin bedah bebas tumor), sementara Fertilitas-Endokrinologi Reproduksi dan Uroginekologi Rekonstruksi menekankan kepatuhan protokol dan dokumentasi informed consent, mencerminkan sifat prosedur yang lebih elektif dan berorientasi fungsi/hasil jangka menengah. Obstetri Ginekologi Sosial menempati posisi unik dengan penekanan pada dokumentasi legal-etik mutlak (100%) mengingat implikasi hukum langsung dari sebagian besar prosedurnya.</w:t>
      </w:r>
    </w:p>
    <w:p>
      <w:r>
        <w:br w:type="page"/>
      </w:r>
    </w:p>
    <w:p>
      <w:pPr>
        <w:pStyle w:val="Heading1"/>
        <w:spacing w:after="200" w:before="200"/>
      </w:pPr>
      <w:r>
        <w:t xml:space="preserve">BAB VII — PERBANDINGAN STANDAR INTERNASIONAL</w:t>
      </w:r>
    </w:p>
    <w:p>
      <w:pPr>
        <w:pStyle w:val="Heading2"/>
        <w:spacing w:after="120" w:before="240"/>
      </w:pPr>
      <w:r>
        <w:t xml:space="preserve">7.1 ACGME Milestones — Amerika Serikat</w:t>
      </w:r>
    </w:p>
    <w:p>
      <w:pPr>
        <w:spacing w:after="160" w:line="300"/>
      </w:pPr>
      <w:r>
        <w:rPr>
          <w:rFonts w:ascii="IBM Plex Sans" w:cs="IBM Plex Sans" w:eastAsia="IBM Plex Sans" w:hAnsi="IBM Plex Sans"/>
          <w:color w:val="1E293B"/>
          <w:sz w:val="22"/>
          <w:szCs w:val="22"/>
        </w:rPr>
        <w:t xml:space="preserve">Accreditation Council for Graduate Medical Education (ACGME) menyusun kompetensi prosedural residen Obstetri dan Ginekologi Amerika Serikat melalui kerangka Milestones, yang menilai perkembangan setiap subkompetensi teknis pada skala lima tingkat (Level 1 hingga Level 5), dinilai berkala oleh Clinical Competency Committee institusi pendidikan berdasarkan data terkumpul dari berbagai instrumen penilaian sepanjang masa pendidikan. Level 4 diposisikan sebagai target kelulusan (graduation target), sementara Level 5 bersifat aspiratif dan tidak menjadi syarat wajib. Berbeda dari pendekatan volume kasus absolut Kepkonsil, ACGME Milestones menekankan lintasan perkembangan (developmental trajectory) — residen dinilai bukan hanya dari jumlah prosedur yang dilakukan, namun dari tingkat kemandirian dan kualitas pengambilan keputusan pada setiap prosedur tersebut.</w:t>
      </w:r>
    </w:p>
    <w:p>
      <w:pPr>
        <w:pStyle w:val="Heading2"/>
        <w:spacing w:after="120" w:before="240"/>
      </w:pPr>
      <w:r>
        <w:t xml:space="preserve">7.2 RCOG Workplace-Based Assessment — Inggris</w:t>
      </w:r>
    </w:p>
    <w:p>
      <w:pPr>
        <w:spacing w:after="160" w:line="300"/>
      </w:pPr>
      <w:r>
        <w:rPr>
          <w:rFonts w:ascii="IBM Plex Sans" w:cs="IBM Plex Sans" w:eastAsia="IBM Plex Sans" w:hAnsi="IBM Plex Sans"/>
          <w:color w:val="1E293B"/>
          <w:sz w:val="22"/>
          <w:szCs w:val="22"/>
        </w:rPr>
        <w:t xml:space="preserve">Royal College of Obstetricians and Gynaecologists (RCOG) menerapkan sistem Workplace-Based Assessment (WPBA) yang terdiri dari beberapa instrumen: Objective Structured Assessment of Technical Skills (OSATS) untuk menilai komponen teknis prosedur bedah indeks secara terstruktur dan langsung oleh penilai; mini-Clinical Evaluation Exercise (mini-CEX) untuk menilai interaksi klinis singkat; serta Case-based Discussion (CbD) untuk menilai penalaran klinis di balik keputusan tata laksana yang telah diambil. Matriks progresi pendidikan RCOG menetapkan jumlah minimal tiap jenis penilaian yang harus diselesaikan per tahun pelatihan, meningkat dari tahap dasar menuju tahap lanjutan.</w:t>
      </w:r>
    </w:p>
    <w:p>
      <w:pPr>
        <w:pStyle w:val="Heading2"/>
        <w:spacing w:after="120" w:before="240"/>
      </w:pPr>
      <w:r>
        <w:t xml:space="preserve">7.3 Tabel Perbandingan Ringkas</w:t>
      </w:r>
    </w:p>
    <w:p>
      <w:pPr>
        <w:spacing w:after="80" w:before="120"/>
      </w:pPr>
      <w:r>
        <w:rPr>
          <w:rFonts w:ascii="IBM Plex Sans" w:cs="IBM Plex Sans" w:eastAsia="IBM Plex Sans" w:hAnsi="IBM Plex Sans"/>
          <w:i/>
          <w:iCs/>
          <w:color w:val="334155"/>
          <w:sz w:val="18"/>
          <w:szCs w:val="18"/>
        </w:rPr>
        <w:t xml:space="preserve">Tabel B12.4 — Perbandingan Kerangka Penilaian Kompetensi Prosedural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337"/>
        <w:gridCol w:w="2337"/>
        <w:gridCol w:w="2337"/>
        <w:gridCol w:w="2337"/>
      </w:tblGrid>
      <w:tr>
        <w:trPr>
          <w:tblHeader/>
        </w:trPr>
        <w:tc>
          <w:tcPr>
            <w:tcW w:type="dxa" w:w="233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Aspek</w:t>
            </w:r>
          </w:p>
        </w:tc>
        <w:tc>
          <w:tcPr>
            <w:tcW w:type="dxa" w:w="233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Kepkonsil (Indonesia)</w:t>
            </w:r>
          </w:p>
        </w:tc>
        <w:tc>
          <w:tcPr>
            <w:tcW w:type="dxa" w:w="233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ACGME Milestones (USA)</w:t>
            </w:r>
          </w:p>
        </w:tc>
        <w:tc>
          <w:tcPr>
            <w:tcW w:type="dxa" w:w="233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RCOG WBA (UK)</w:t>
            </w:r>
          </w:p>
        </w:tc>
      </w:tr>
      <w:tr>
        <w:tc>
          <w:tcPr>
            <w:tcW w:type="dxa" w:w="2337"/>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Basis penilaian</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Volume kasus minimal absolut per prosedur</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Perkembangan bertingkat (Level 1-5)</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Penilaian terstruktur per komponen teknis (skala 1-4)</w:t>
            </w:r>
          </w:p>
        </w:tc>
      </w:tr>
      <w:tr>
        <w:tc>
          <w:tcPr>
            <w:tcW w:type="dxa" w:w="2337"/>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Frekuensi evaluasi</w:t>
            </w:r>
          </w:p>
        </w:tc>
        <w:tc>
          <w:tcPr>
            <w:tcW w:type="dxa" w:w="2337"/>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Berkelanjutan melalui logbook, dievaluasi saat ujian kompetensi/exit exam</w:t>
            </w:r>
          </w:p>
        </w:tc>
        <w:tc>
          <w:tcPr>
            <w:tcW w:type="dxa" w:w="2337"/>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Dua kali per tahun oleh Clinical Competency Committee</w:t>
            </w:r>
          </w:p>
        </w:tc>
        <w:tc>
          <w:tcPr>
            <w:tcW w:type="dxa" w:w="2337"/>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Berkelanjutan melalui e-portfolio, direview tahunan (ARCP)</w:t>
            </w:r>
          </w:p>
        </w:tc>
      </w:tr>
      <w:tr>
        <w:tc>
          <w:tcPr>
            <w:tcW w:type="dxa" w:w="2337"/>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Fokus utama</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Kepatuhan protokol dan pencapaian volume kasus</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Lintasan kemandirian klinis</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Kualitas teknis dan penalaran klinis per prosedur</w:t>
            </w:r>
          </w:p>
        </w:tc>
      </w:tr>
      <w:tr>
        <w:tc>
          <w:tcPr>
            <w:tcW w:type="dxa" w:w="2337"/>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Instrumen</w:t>
            </w:r>
          </w:p>
        </w:tc>
        <w:tc>
          <w:tcPr>
            <w:tcW w:type="dxa" w:w="2337"/>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Logbook dan kriteria kinerja minimal per tabel kompetensi</w:t>
            </w:r>
          </w:p>
        </w:tc>
        <w:tc>
          <w:tcPr>
            <w:tcW w:type="dxa" w:w="2337"/>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Milestones rating form</w:t>
            </w:r>
          </w:p>
        </w:tc>
        <w:tc>
          <w:tcPr>
            <w:tcW w:type="dxa" w:w="2337"/>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OSATS, DOPS, Case-Based Discussion</w:t>
            </w:r>
          </w:p>
        </w:tc>
      </w:tr>
    </w:tbl>
    <w:p>
      <w:pPr>
        <w:spacing w:after="160"/>
      </w:pPr>
    </w:p>
    <w:p>
      <w:pPr>
        <w:spacing w:after="160" w:line="300"/>
      </w:pPr>
      <w:r>
        <w:rPr>
          <w:rFonts w:ascii="IBM Plex Sans" w:cs="IBM Plex Sans" w:eastAsia="IBM Plex Sans" w:hAnsi="IBM Plex Sans"/>
          <w:color w:val="1E293B"/>
          <w:sz w:val="22"/>
          <w:szCs w:val="22"/>
        </w:rPr>
        <w:t xml:space="preserve">Standar nasional (Kepkonsil) menetapkan volume kasus minimal absolut sebagai bukti utama kompetensi; standar internasional ACGME dan RCOG merekomendasikan kombinasi penilaian bertingkat dan penilaian kualitas teknis terstruktur yang tidak semata bergantung pada jumlah kasus; praktik di Indonesia mengikuti standar nasional Kepkonsil sebagai acuan kelulusan wajib, dengan instrumen internasional (OSATS, Milestones rating) dapat diadopsi institusi pendidikan sebagai pengayaan metode penilaian formatif sepanjang masa pendidikan.</w:t>
      </w:r>
    </w:p>
    <w:p>
      <w:r>
        <w:br w:type="page"/>
      </w:r>
    </w:p>
    <w:p>
      <w:pPr>
        <w:pStyle w:val="Heading1"/>
        <w:spacing w:after="200" w:before="200"/>
      </w:pPr>
      <w:r>
        <w:t xml:space="preserve">BAB VIII — RINGKASAN</w:t>
      </w:r>
    </w:p>
    <w:p>
      <w:pPr>
        <w:pStyle w:val="Heading2"/>
        <w:spacing w:after="120" w:before="240"/>
      </w:pPr>
      <w:r>
        <w:t xml:space="preserve">8.1 Ikhtisar Keterampilan Prosedural</w:t>
      </w:r>
    </w:p>
    <w:p>
      <w:pPr>
        <w:spacing w:after="160" w:line="300"/>
      </w:pPr>
      <w:r>
        <w:rPr>
          <w:rFonts w:ascii="IBM Plex Sans" w:cs="IBM Plex Sans" w:eastAsia="IBM Plex Sans" w:hAnsi="IBM Plex Sans"/>
          <w:color w:val="1E293B"/>
          <w:sz w:val="22"/>
          <w:szCs w:val="22"/>
        </w:rPr>
        <w:t xml:space="preserve">Buku tematik ini menyusun peta lengkap kompetensi prosedural Dokter Spesialis Obstetri dan Ginekologi dan kelima subspesialisasinya berdasarkan ekstraksi langsung Tabel 13 dan Tabel 21-24 Kepkonsil No. HK.01.02/KKI/1318/2026. Struktur kompetensi bergerak dari prosedur obstetri dasar (asuhan antenatal, persalinan, seksio sesarea) dan ginekologi umum-endoskopi dasar sebagai fondasi wajib seluruh spesialis, menuju prosedur kegawatdaruratan yang bersifat eskalatif, hingga prosedur khas lima divisi subspesialisasi yang mendiferensiasikan kedalaman kompetensi lanjutan.</w:t>
      </w:r>
    </w:p>
    <w:p>
      <w:pPr>
        <w:pStyle w:val="Heading2"/>
        <w:spacing w:after="120" w:before="240"/>
      </w:pPr>
      <w:r>
        <w:t xml:space="preserve">8.2 Tabel Ringkasan Kompetensi Prosedural</w:t>
      </w:r>
    </w:p>
    <w:p>
      <w:pPr>
        <w:spacing w:after="80" w:before="120"/>
      </w:pPr>
      <w:r>
        <w:rPr>
          <w:rFonts w:ascii="IBM Plex Sans" w:cs="IBM Plex Sans" w:eastAsia="IBM Plex Sans" w:hAnsi="IBM Plex Sans"/>
          <w:i/>
          <w:iCs/>
          <w:color w:val="334155"/>
          <w:sz w:val="18"/>
          <w:szCs w:val="18"/>
        </w:rPr>
        <w:t xml:space="preserve">Tabel B12.5 — Ringkasan Kompetensi Prosedural per Domain (Indikator Kompetensi Kunci — SaaS Summary)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16"/>
        <w:gridCol w:w="3116"/>
        <w:gridCol w:w="3116"/>
      </w:tblGrid>
      <w:tr>
        <w:trPr>
          <w:tblHeader/>
        </w:trPr>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Domain Prosedural</w:t>
            </w:r>
          </w:p>
        </w:tc>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Jumlah Prosedur pada Kepkonsil</w:t>
            </w:r>
          </w:p>
        </w:tc>
        <w:tc>
          <w:tcPr>
            <w:tcW w:type="dxa" w:w="311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Indikator Kompetensi Kunci</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Obstetri dasar (Bab III)</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16 jenis prosedur</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Seksio sesarea ≥250 kasus; persalinan spontan ≥150 kasus</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Ginekologi umum &amp; endoskopi dasar (Bab IV)</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16 jenis prosedur</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Laparotomi ginekologi mayor ≥20 kasus; endoskopi diagnostik sebagai kompetensi ambang</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Kegawatdaruratan (Bab V)</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11 jenis prosedur</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Eskalasi tata laksana PPH; volume rendah pada intervensi definitif namun wajib pembuktian langsung</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Fetomaternal (Bab VI.1)</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≥13 jenis prosedur invasif</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Target keberhasilan teknis ≥95%; batas kehilangan kehamilan ≤1-5%</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Fertilitas &amp; Endokrinologi Reproduksi (Bab VI.2)</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≥27 jenis prosedur</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Integrasi ART dan bedah endoskopi reproduktif</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Onkologi Ginekologi (Bab VI.3)</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≥36 jenis prosedur</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Gradasi dari staging hingga operasi ultra-radikal multiorgan</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Obstetri Ginekologi Sosial (Bab VI.4)</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16 jenis kompetensi holistik</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Integrasi teknis-legal-etik</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Uroginekologi Rekonstruksi (Bab VI.5)</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9 jenis prosedur rekonstruktif</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Evaluasi fungsional objektif dan bedah rekonstruktif presisi</w:t>
            </w:r>
          </w:p>
        </w:tc>
      </w:tr>
    </w:tbl>
    <w:p>
      <w:pPr>
        <w:spacing w:after="160"/>
      </w:pPr>
    </w:p>
    <w:p>
      <w:pPr>
        <w:pStyle w:val="Heading2"/>
        <w:spacing w:after="120" w:before="240"/>
      </w:pPr>
      <w:r>
        <w:t xml:space="preserve">8.3 Penutup</w:t>
      </w:r>
    </w:p>
    <w:p>
      <w:pPr>
        <w:spacing w:after="160" w:line="300"/>
      </w:pPr>
      <w:r>
        <w:rPr>
          <w:rFonts w:ascii="IBM Plex Sans" w:cs="IBM Plex Sans" w:eastAsia="IBM Plex Sans" w:hAnsi="IBM Plex Sans"/>
          <w:color w:val="1E293B"/>
          <w:sz w:val="22"/>
          <w:szCs w:val="22"/>
        </w:rPr>
        <w:t xml:space="preserve">Kewenangan klinis bertingkat pada peserta didik PPDS Obstetri dan Ginekologi harus senantiasa dievaluasi berdasarkan pencapaian volume kasus dan kriteria kinerja minimal terverifikasi sebagaimana ditetapkan Kepkonsil, dengan kerangka internasional ACGME Milestones dan RCOG Workplace-Based Assessment sebagai pengayaan metode penilaian formatif yang memperkuat, bukan menggantikan, standar nasional. Program studi dan kolegium disarankan mengembangkan instrumen logbook digital terverifikasi yang memetakan setiap prosedur pada buku ini terhadap capaian kompetensi individual peserta didik secara real-time, guna memastikan transisi kewenangan klinis bertingkat berjalan aman bagi pasien dan terukur bagi institusi pendidikan.</w:t>
      </w:r>
    </w:p>
    <w:p>
      <w:r>
        <w:br w:type="page"/>
      </w:r>
    </w:p>
    <w:p>
      <w:pPr>
        <w:pStyle w:val="Heading1"/>
        <w:spacing w:after="200" w:before="200"/>
      </w:pPr>
      <w:r>
        <w:t xml:space="preserve">BAB IX — DAFTAR PUSTAKA</w:t>
      </w:r>
    </w:p>
    <w:p>
      <w:pPr>
        <w:spacing w:after="160" w:line="300"/>
      </w:pPr>
      <w:r>
        <w:rPr>
          <w:rFonts w:ascii="IBM Plex Sans" w:cs="IBM Plex Sans" w:eastAsia="IBM Plex Sans" w:hAnsi="IBM Plex Sans"/>
          <w:color w:val="1E293B"/>
          <w:sz w:val="22"/>
          <w:szCs w:val="22"/>
        </w:rPr>
        <w:t xml:space="preserve">Rujukan berikut merupakan sumber yang dikutip secara eksplisit sepanjang buku ini, disusun berdasarkan urutan abjad nama penerbit/organisasi.</w:t>
      </w:r>
    </w:p>
    <w:p>
      <w:pPr>
        <w:pStyle w:val="ListParagraph"/>
        <w:numPr>
          <w:ilvl w:val="0"/>
          <w:numId w:val="2"/>
        </w:numPr>
        <w:spacing w:after="100"/>
      </w:pPr>
      <w:r>
        <w:rPr>
          <w:rFonts w:ascii="IBM Plex Sans" w:cs="IBM Plex Sans" w:eastAsia="IBM Plex Sans" w:hAnsi="IBM Plex Sans"/>
          <w:color w:val="1E293B"/>
          <w:sz w:val="22"/>
          <w:szCs w:val="22"/>
        </w:rPr>
        <w:t xml:space="preserve">Konsil Kesehatan Indonesia. Keputusan Ketua Konsil Kesehatan Indonesia Nomor HK.01.02/KKI/1318/2026 tentang Standar Kompetensi Dokter Spesialis dan Subspesialis Bidang Obstetri dan Ginekologi. Jakarta: Konsil Kesehatan Indonesia; 2026.</w:t>
      </w:r>
    </w:p>
    <w:p>
      <w:pPr>
        <w:pStyle w:val="ListParagraph"/>
        <w:numPr>
          <w:ilvl w:val="0"/>
          <w:numId w:val="2"/>
        </w:numPr>
        <w:spacing w:after="100"/>
      </w:pPr>
      <w:r>
        <w:rPr>
          <w:rFonts w:ascii="IBM Plex Sans" w:cs="IBM Plex Sans" w:eastAsia="IBM Plex Sans" w:hAnsi="IBM Plex Sans"/>
          <w:color w:val="1E293B"/>
          <w:sz w:val="22"/>
          <w:szCs w:val="22"/>
        </w:rPr>
        <w:t xml:space="preserve">Accreditation Council for Graduate Medical Education (ACGME). Obstetrics and Gynecology Milestones. Chicago: ACGME; 2021.</w:t>
      </w:r>
    </w:p>
    <w:p>
      <w:pPr>
        <w:pStyle w:val="ListParagraph"/>
        <w:numPr>
          <w:ilvl w:val="0"/>
          <w:numId w:val="2"/>
        </w:numPr>
        <w:spacing w:after="100"/>
      </w:pPr>
      <w:r>
        <w:rPr>
          <w:rFonts w:ascii="IBM Plex Sans" w:cs="IBM Plex Sans" w:eastAsia="IBM Plex Sans" w:hAnsi="IBM Plex Sans"/>
          <w:color w:val="1E293B"/>
          <w:sz w:val="22"/>
          <w:szCs w:val="22"/>
        </w:rPr>
        <w:t xml:space="preserve">Accreditation Council for Graduate Medical Education (ACGME). Obstetrics and Gynecology Supplemental Guide. Chicago: ACGME.</w:t>
      </w:r>
    </w:p>
    <w:p>
      <w:pPr>
        <w:pStyle w:val="ListParagraph"/>
        <w:numPr>
          <w:ilvl w:val="0"/>
          <w:numId w:val="2"/>
        </w:numPr>
        <w:spacing w:after="100"/>
      </w:pPr>
      <w:r>
        <w:rPr>
          <w:rFonts w:ascii="IBM Plex Sans" w:cs="IBM Plex Sans" w:eastAsia="IBM Plex Sans" w:hAnsi="IBM Plex Sans"/>
          <w:color w:val="1E293B"/>
          <w:sz w:val="22"/>
          <w:szCs w:val="22"/>
        </w:rPr>
        <w:t xml:space="preserve">Barnea ER, dkk. FIGO good practice recommendations for vaginal birth after cesarean section. International Journal of Gynecology &amp; Obstetrics. 2025.</w:t>
      </w:r>
    </w:p>
    <w:p>
      <w:pPr>
        <w:pStyle w:val="ListParagraph"/>
        <w:numPr>
          <w:ilvl w:val="0"/>
          <w:numId w:val="2"/>
        </w:numPr>
        <w:spacing w:after="100"/>
      </w:pPr>
      <w:r>
        <w:rPr>
          <w:rFonts w:ascii="IBM Plex Sans" w:cs="IBM Plex Sans" w:eastAsia="IBM Plex Sans" w:hAnsi="IBM Plex Sans"/>
          <w:color w:val="1E293B"/>
          <w:sz w:val="22"/>
          <w:szCs w:val="22"/>
        </w:rPr>
        <w:t xml:space="preserve">International Federation of Gynecology and Obstetrics (FIGO). Position Statement on the Use of the WHO Labour Care Guide Versus the Partograph. 2025.</w:t>
      </w:r>
    </w:p>
    <w:p>
      <w:pPr>
        <w:pStyle w:val="ListParagraph"/>
        <w:numPr>
          <w:ilvl w:val="0"/>
          <w:numId w:val="2"/>
        </w:numPr>
        <w:spacing w:after="100"/>
      </w:pPr>
      <w:r>
        <w:rPr>
          <w:rFonts w:ascii="IBM Plex Sans" w:cs="IBM Plex Sans" w:eastAsia="IBM Plex Sans" w:hAnsi="IBM Plex Sans"/>
          <w:color w:val="1E293B"/>
          <w:sz w:val="22"/>
          <w:szCs w:val="22"/>
        </w:rPr>
        <w:t xml:space="preserve">Nagendran M, Gurusamy KS, Aggarwal R, Loizidou M, Davidson BR. Virtual reality training for surgical trainees in laparoscopic surgery. Cochrane Database of Systematic Reviews. 2013;(8):CD006575.</w:t>
      </w:r>
    </w:p>
    <w:p>
      <w:pPr>
        <w:pStyle w:val="ListParagraph"/>
        <w:numPr>
          <w:ilvl w:val="0"/>
          <w:numId w:val="2"/>
        </w:numPr>
        <w:spacing w:after="100"/>
      </w:pPr>
      <w:r>
        <w:rPr>
          <w:rFonts w:ascii="IBM Plex Sans" w:cs="IBM Plex Sans" w:eastAsia="IBM Plex Sans" w:hAnsi="IBM Plex Sans"/>
          <w:color w:val="1E293B"/>
          <w:sz w:val="22"/>
          <w:szCs w:val="22"/>
        </w:rPr>
        <w:t xml:space="preserve">Royal College of Obstetricians and Gynaecologists (RCOG). Workplace-Based Assessments (WPBAs). London: RCOG. Tersedia pada laman resmi RCOG, bagian Careers and Training.</w:t>
      </w:r>
    </w:p>
    <w:p>
      <w:pPr>
        <w:pStyle w:val="ListParagraph"/>
        <w:numPr>
          <w:ilvl w:val="0"/>
          <w:numId w:val="2"/>
        </w:numPr>
        <w:spacing w:after="100"/>
      </w:pPr>
      <w:r>
        <w:rPr>
          <w:rFonts w:ascii="IBM Plex Sans" w:cs="IBM Plex Sans" w:eastAsia="IBM Plex Sans" w:hAnsi="IBM Plex Sans"/>
          <w:color w:val="1E293B"/>
          <w:sz w:val="22"/>
          <w:szCs w:val="22"/>
        </w:rPr>
        <w:t xml:space="preserve">Royal College of Obstetricians and Gynaecologists (RCOG). OSATS — Objective Structured Assessment of Technical Skills. London: RCOG. Tersedia pada laman resmi RCOG, bagian Careers and Training.</w:t>
      </w:r>
    </w:p>
    <w:p>
      <w:pPr>
        <w:pStyle w:val="ListParagraph"/>
        <w:numPr>
          <w:ilvl w:val="0"/>
          <w:numId w:val="2"/>
        </w:numPr>
        <w:spacing w:after="100"/>
      </w:pPr>
      <w:r>
        <w:rPr>
          <w:rFonts w:ascii="IBM Plex Sans" w:cs="IBM Plex Sans" w:eastAsia="IBM Plex Sans" w:hAnsi="IBM Plex Sans"/>
          <w:color w:val="1E293B"/>
          <w:sz w:val="22"/>
          <w:szCs w:val="22"/>
        </w:rPr>
        <w:t xml:space="preserve">Shakur H, dkk (WOMAN Trial Collaborators). Effect of early tranexamic acid administration on mortality, hysterectomy, and other morbidities in women with post-partum haemorrhage (WOMAN): an international, randomised, double-blind, placebo-controlled trial. The Lancet. 2017;389(10084):2105-2116.</w:t>
      </w:r>
    </w:p>
    <w:p>
      <w:pPr>
        <w:pStyle w:val="ListParagraph"/>
        <w:numPr>
          <w:ilvl w:val="0"/>
          <w:numId w:val="2"/>
        </w:numPr>
        <w:spacing w:after="100"/>
      </w:pPr>
      <w:r>
        <w:rPr>
          <w:rFonts w:ascii="IBM Plex Sans" w:cs="IBM Plex Sans" w:eastAsia="IBM Plex Sans" w:hAnsi="IBM Plex Sans"/>
          <w:color w:val="1E293B"/>
          <w:sz w:val="22"/>
          <w:szCs w:val="22"/>
        </w:rPr>
        <w:t xml:space="preserve">World Health Organization (WHO). WHO Recommendations: Intrapartum Care for a Positive Childbirth Experience. Geneva: WHO; 2018.</w:t>
      </w:r>
    </w:p>
    <w:p>
      <w:pPr>
        <w:pStyle w:val="ListParagraph"/>
        <w:numPr>
          <w:ilvl w:val="0"/>
          <w:numId w:val="2"/>
        </w:numPr>
        <w:spacing w:after="100"/>
      </w:pPr>
      <w:r>
        <w:rPr>
          <w:rFonts w:ascii="IBM Plex Sans" w:cs="IBM Plex Sans" w:eastAsia="IBM Plex Sans" w:hAnsi="IBM Plex Sans"/>
          <w:color w:val="1E293B"/>
          <w:sz w:val="22"/>
          <w:szCs w:val="22"/>
        </w:rPr>
        <w:t xml:space="preserve">World Health Organization (WHO). WHO Recommendation on Tranexamic Acid for the Treatment of Postpartum Haemorrhage. Geneva: WHO; 2017.</w:t>
      </w:r>
    </w:p>
    <w:p>
      <w:pPr>
        <w:spacing w:after="80"/>
      </w:pPr>
    </w:p>
    <w:p>
      <w:pPr>
        <w:spacing w:after="160" w:line="300"/>
      </w:pPr>
      <w:r>
        <w:rPr>
          <w:rFonts w:ascii="IBM Plex Sans" w:cs="IBM Plex Sans" w:eastAsia="IBM Plex Sans" w:hAnsi="IBM Plex Sans"/>
          <w:color w:val="1E293B"/>
          <w:sz w:val="22"/>
          <w:szCs w:val="22"/>
        </w:rPr>
        <w:t xml:space="preserve">Selain rujukan yang dikutip eksplisit di atas, buku ini merujuk secara umum pada kerangka pedoman International Society of Ultrasound in Obstetrics and Gynecology (ISUOG) Practice Guidelines, International Confederation of Midwives (ICM) Essential Competencies for Midwifery Practice, dan American College of Obstetricians and Gynecologists (ACOG) Practice Bulletins sebagai badan rujukan standar praktik internasional yang diakui luas, tanpa mengutip nomor edisi atau tahun spesifik yang memerlukan verifikasi lebih lanjut pada edisi mendatang.</w:t>
      </w:r>
    </w:p>
    <w:p>
      <w:r>
        <w:br w:type="page"/>
      </w:r>
    </w:p>
    <w:p>
      <w:pPr>
        <w:pStyle w:val="Heading1"/>
        <w:spacing w:after="200" w:before="200"/>
      </w:pPr>
      <w:r>
        <w:t xml:space="preserve">GLOSARIUM</w:t>
      </w:r>
    </w:p>
    <w:p>
      <w:pPr>
        <w:spacing w:after="160" w:line="300"/>
      </w:pPr>
      <w:r>
        <w:rPr>
          <w:rFonts w:ascii="IBM Plex Sans" w:cs="IBM Plex Sans" w:eastAsia="IBM Plex Sans" w:hAnsi="IBM Plex Sans"/>
          <w:color w:val="1E293B"/>
          <w:sz w:val="22"/>
          <w:szCs w:val="22"/>
        </w:rPr>
        <w:t xml:space="preserve">Daftar istilah berikut disusun untuk memudahkan pembaca memahami singkatan dan terminologi teknis yang digunakan sepanjang buku ini, diurutkan sesuai abjad.</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rPr>
          <w:tblHeader/>
        </w:trPr>
        <w:tc>
          <w:tcPr>
            <w:tcW w:type="dxa" w:w="4675"/>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Istilah</w:t>
            </w:r>
          </w:p>
        </w:tc>
        <w:tc>
          <w:tcPr>
            <w:tcW w:type="dxa" w:w="4675"/>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Penjelasan</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ACGME Milestones</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Kerangka penilaian perkembangan kompetensi residen di Amerika Serikat, disusun oleh Accreditation Council for Graduate Medical Education, menggunakan skala lima tingkat pada tiap subkompetensi.</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Akreta (spektrum plasenta akreta)</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Kondisi perlekatan plasenta abnormal pada dinding uterus yang berisiko tinggi menyebabkan perdarahan masif saat persalinan.</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Amniosentesis</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Prosedur pengambilan sampel cairan ketuban melalui jarum transabdominal untuk pemeriksaan diagnostik genetik atau infeksi janin.</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ART (Assisted Reproductive Technology)</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Teknologi reproduksi berbantu, mencakup rangkaian prosedur seperti stimulasi ovarium, petik oosit, dan transfer embrio untuk membantu kehamilan.</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CbD (Case-based Discussion)</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Instrumen penilaian berbasis diskusi kasus untuk menilai penalaran klinis peserta didik terhadap keputusan tata laksana yang telah diambil.</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Cerclage serviks</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Tindakan penjahitan serviks uteri untuk mencegah persalinan prematur pada kondisi inkompetensi serviks.</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CVS (Chorionic Villus Sampling)</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Prosedur pengambilan sampel jaringan vili korionik plasenta untuk pemeriksaan diagnostik genetik janin pada trimester pertama.</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Debulking</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Tindakan bedah pengangkatan sebanyak mungkin massa tumor pada kanker ginekologi stadium lanjut, umumnya bagian dari sitoreduksi.</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Fetoskopi</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Prosedur endoskopi invasif minimal untuk visualisasi dan tindakan langsung pada janin di dalam rahim, misalnya laser ablation pada TTTS.</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HIPEC (Hyperthermic Intraperitoneal Chemotherapy)</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Kemoterapi intraperitoneal yang dipanaskan, diberikan langsung ke rongga peritoneum setelah sitoreduksi bedah pada kanker ginekologi lanjut.</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Histerorafi</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Tindakan penjahitan dinding uterus, umumnya dilakukan pada kasus ruptur uteri.</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Kepkonsil</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Sebutan ringkas untuk Keputusan Ketua Konsil Kesehatan Indonesia yang menjadi dasar regulasi utama buku ini.</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Kolposkopi</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Pemeriksaan serviks menggunakan alat pembesar (kolposkop) untuk mendeteksi lesi prakanker atau kanker serviks.</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LEEP/LLETZ</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Loop Electrosurgical Excision Procedure/Large Loop Excision of the Transformation Zone — prosedur eksisi jaringan serviks menggunakan kawat listrik untuk diagnosis dan tata laksana lesi prakanker.</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Logbook</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Catatan tercatat dan terverifikasi mengenai tindakan klinis yang telah dilakukan peserta didik, digunakan sebagai bukti pencapaian volume kasus dan kompetensi.</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Milestones</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Lihat ACGME Milestones.</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Mini-CEX (mini-Clinical Evaluation Exercise)</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Instrumen penilaian berbasis observasi langsung interaksi klinis singkat antara peserta didik dan pasien.</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OSATS (Objective Structured Assessment of Technical Skills)</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Instrumen penilaian terstruktur untuk menilai komponen teknis pelaksanaan suatu prosedur bedah secara langsung oleh penilai.</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PPDS</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Program Pendidikan Dokter Spesialis, jenjang pendidikan formal untuk memperoleh gelar dokter spesialis di Indonesia.</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PPH (Postpartum Haemorrhage)</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Perdarahan pascapersalinan, yaitu kehilangan darah berlebihan setelah persalinan yang dapat mengancam nyawa ibu.</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POP-Q (Pelvic Organ Prolapse Quantification)</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Sistem penilaian standar internasional untuk mengukur dan mengklasifikasikan derajat prolaps organ panggul.</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PUBS (Percutaneous Umbilical Blood Sampling)</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Prosedur pengambilan sampel darah janin langsung dari tali pusat melalui jarum transabdominal, juga disebut kordosintesis.</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Sitoreduksi</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Tindakan bedah pengangkatan tumor seluas mungkin pada kanker ginekologi lanjut untuk mengoptimalkan hasil terapi berikutnya.</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TTTS (Twin-to-Twin Transfusion Syndrome)</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Sindrom transfusi antarjanin pada kehamilan kembar monokorionik akibat hubungan pembuluh darah plasenta yang tidak seimbang.</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Uterotonik</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Golongan obat yang merangsang kontraksi uterus, digunakan untuk pencegahan dan tata laksana perdarahan pascapersalinan.</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VBAC (Vaginal Birth After Caesarean)</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Persalinan pervaginam pada ibu dengan riwayat seksio sesarea sebelumnya.</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WPBA (Workplace-Based Assessment)</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1E293B"/>
                <w:sz w:val="18"/>
                <w:szCs w:val="18"/>
              </w:rPr>
              <w:t xml:space="preserve">Rangkaian instrumen penilaian kompetensi yang dilakukan langsung di tempat kerja klinis, digunakan antara lain dalam sistem pendidikan spesialis RCOG.</w:t>
            </w:r>
          </w:p>
        </w:tc>
      </w:tr>
    </w:tbl>
    <w:p>
      <w:pPr>
        <w:spacing w:after="160"/>
      </w:pPr>
    </w:p>
    <w:sectPr>
      <w:headerReference w:type="default" r:id="rId7"/>
      <w:footerReference w:type="default" r:id="rId8"/>
      <w:pgSz w:w="12240" w:h="15840" w:orient="portrait"/>
      <w:pgMar w:top="1440" w:right="1350" w:bottom="144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334155"/>
        <w:sz w:val="15"/>
        <w:szCs w:val="15"/>
      </w:rPr>
      <w:t xml:space="preserve">Dokumen 13 dari 15 · Halaman </w:t>
    </w:r>
    <w:r>
      <w:rPr>
        <w:rFonts w:ascii="IBM Plex Mono" w:cs="IBM Plex Mono" w:eastAsia="IBM Plex Mono" w:hAnsi="IBM Plex Mono"/>
        <w:color w:val="334155"/>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334155"/>
        <w:sz w:val="15"/>
        <w:szCs w:val="15"/>
      </w:rPr>
      <w:t xml:space="preserve">B12 — Keterampilan Prosedural dan Kompetensi Teknis Spesialis Obstetri dan Ginekologi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1E293B"/>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2026-08-16T23:20:43.926Z</dcterms:created>
  <dcterms:modified xsi:type="dcterms:W3CDTF">2026-08-16T23:20:43.938Z</dcterms:modified>
</cp:coreProperties>
</file>

<file path=docProps/custom.xml><?xml version="1.0" encoding="utf-8"?>
<Properties xmlns="http://schemas.openxmlformats.org/officeDocument/2006/custom-properties" xmlns:vt="http://schemas.openxmlformats.org/officeDocument/2006/docPropsVTypes"/>
</file>