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120"/>
        <w:jc w:val="center"/>
      </w:pPr>
      <w:r>
        <w:rPr>
          <w:rFonts w:ascii="IBM Plex Mono" w:cs="IBM Plex Mono" w:eastAsia="IBM Plex Mono" w:hAnsi="IBM Plex Mono"/>
          <w:b/>
          <w:bCs/>
          <w:color w:val="B45309"/>
          <w:sz w:val="24"/>
          <w:szCs w:val="24"/>
        </w:rPr>
        <w:t xml:space="preserve">BUKU TEMATIK · B13</w:t>
      </w:r>
    </w:p>
    <w:p>
      <w:pPr>
        <w:spacing w:after="400"/>
        <w:jc w:val="center"/>
      </w:pPr>
      <w:r>
        <w:rPr>
          <w:rFonts w:ascii="IBM Plex Mono" w:cs="IBM Plex Mono" w:eastAsia="IBM Plex Mono" w:hAnsi="IBM Plex Mono"/>
          <w:color w:val="334155"/>
          <w:sz w:val="18"/>
          <w:szCs w:val="18"/>
        </w:rPr>
        <w:t xml:space="preserve">Dokumen 14 dari 15</w:t>
      </w:r>
    </w:p>
    <w:p>
      <w:pPr>
        <w:spacing w:after="600"/>
        <w:jc w:val="center"/>
      </w:pPr>
      <w:r>
        <w:rPr>
          <w:rFonts w:ascii="Source Serif 4" w:cs="Source Serif 4" w:eastAsia="Source Serif 4" w:hAnsi="Source Serif 4"/>
          <w:b/>
          <w:bCs/>
          <w:color w:val="3730A3"/>
          <w:sz w:val="52"/>
          <w:szCs w:val="52"/>
        </w:rPr>
        <w:t xml:space="preserve">Penguasaan Pengetahuan Biomedik, Farmakologi, dan Ilmu Dasar Penunjang Praktik Obgin</w:t>
      </w:r>
    </w:p>
    <w:p>
      <w:pPr>
        <w:spacing w:after="120"/>
        <w:jc w:val="center"/>
      </w:pPr>
      <w:r>
        <w:rPr>
          <w:rFonts w:ascii="IBM Plex Sans" w:cs="IBM Plex Sans" w:eastAsia="IBM Plex Sans" w:hAnsi="IBM Plex Sans"/>
          <w:color w:val="334155"/>
          <w:sz w:val="24"/>
          <w:szCs w:val="24"/>
        </w:rPr>
        <w:t xml:space="preserve">Buku Tematik — Ekosistem Literatur Standar SpOG</w:t>
      </w:r>
    </w:p>
    <w:p>
      <w:pPr>
        <w:spacing w:after="400"/>
        <w:jc w:val="center"/>
      </w:pPr>
      <w:r>
        <w:rPr>
          <w:rFonts w:ascii="IBM Plex Sans" w:cs="IBM Plex Sans" w:eastAsia="IBM Plex Sans" w:hAnsi="IBM Plex Sans"/>
          <w:b/>
          <w:bCs/>
          <w:color w:val="3730A3"/>
          <w:sz w:val="22"/>
          <w:szCs w:val="22"/>
        </w:rPr>
        <w:t xml:space="preserve">Dr.dr. Budi Siswanto, Sp.OG., Subsp.Obginsos., SH., S.Kom.</w:t>
      </w:r>
    </w:p>
    <w:p>
      <w:pPr>
        <w:spacing w:after="800"/>
        <w:jc w:val="center"/>
      </w:pPr>
      <w:r>
        <w:rPr>
          <w:rFonts w:ascii="IBM Plex Sans" w:cs="IBM Plex Sans" w:eastAsia="IBM Plex Sans" w:hAnsi="IBM Plex Sans"/>
          <w:i/>
          <w:iCs/>
          <w:color w:val="334155"/>
          <w:sz w:val="20"/>
          <w:szCs w:val="20"/>
        </w:rPr>
        <w:t xml:space="preserve">Divisi Pengampu: Lintas 5 Divisi (Fetomaternal; Fertilitas dan Endokrinologi Reproduksi; Onkologi Ginekologi; Obstetri Ginekologi Sosial; Uroginekologi Rekonstruksi)</w:t>
      </w:r>
    </w:p>
    <w:p>
      <w:pPr>
        <w:spacing w:after="100"/>
        <w:jc w:val="center"/>
      </w:pPr>
      <w:r>
        <w:rPr>
          <w:rFonts w:ascii="IBM Plex Sans" w:cs="IBM Plex Sans" w:eastAsia="IBM Plex Sans" w:hAnsi="IBM Plex Sans"/>
          <w:b/>
          <w:bCs/>
          <w:color w:val="B45309"/>
          <w:sz w:val="20"/>
          <w:szCs w:val="20"/>
        </w:rPr>
        <w:t xml:space="preserve">Audiens Utama</w:t>
      </w:r>
    </w:p>
    <w:p>
      <w:pPr>
        <w:spacing w:after="500"/>
        <w:jc w:val="center"/>
      </w:pPr>
      <w:r>
        <w:rPr>
          <w:rFonts w:ascii="IBM Plex Sans" w:cs="IBM Plex Sans" w:eastAsia="IBM Plex Sans" w:hAnsi="IBM Plex Sans"/>
          <w:color w:val="334155"/>
          <w:sz w:val="20"/>
          <w:szCs w:val="20"/>
        </w:rPr>
        <w:t xml:space="preserve">Peserta Program Pendidikan Dokter Spesialis (PPDS) Obstetri dan Ginekologi tahun I–II</w:t>
      </w:r>
    </w:p>
    <w:p>
      <w:pPr>
        <w:spacing w:after="100"/>
        <w:jc w:val="center"/>
      </w:pPr>
      <w:r>
        <w:rPr>
          <w:rFonts w:ascii="IBM Plex Sans" w:cs="IBM Plex Sans" w:eastAsia="IBM Plex Sans" w:hAnsi="IBM Plex Sans"/>
          <w:b/>
          <w:bCs/>
          <w:color w:val="B45309"/>
          <w:sz w:val="20"/>
          <w:szCs w:val="20"/>
        </w:rPr>
        <w:t xml:space="preserve">Dasar Regulasi Utama</w:t>
      </w:r>
    </w:p>
    <w:p>
      <w:pPr>
        <w:jc w:val="center"/>
      </w:pPr>
      <w:r>
        <w:rPr>
          <w:rFonts w:ascii="IBM Plex Sans" w:cs="IBM Plex Sans" w:eastAsia="IBM Plex Sans" w:hAnsi="IBM Plex Sans"/>
          <w:color w:val="334155"/>
          <w:sz w:val="18"/>
          <w:szCs w:val="18"/>
        </w:rPr>
        <w:t xml:space="preserve">Keputusan Ketua Konsil Kesehatan Indonesia Nomor HK.01.02/KKI/1318/2026 tentang Standar Kompetensi Dokter Spesialis dan Subspesialis Bidang Obstetri dan Ginekologi ('Kepkonsil'), khususnya Lampiran Bab III Area Kompetensi 3 (Penguasaan Pengetahuan Medis), Tabel 27 (Penguasaan Pengetahuan Penatalaksanaan Klinis Spesialis Obstetri dan Ginekologi) dan Tabel 33 (Penguasaan Pengetahuan Prosedur Klinis Spesialis Obstetri dan Ginekologi)</w:t>
      </w:r>
    </w:p>
    <w:p>
      <w:r>
        <w:br w:type="page"/>
      </w:r>
    </w:p>
    <w:p>
      <w:pPr>
        <w:spacing w:before="1600"/>
      </w:pPr>
    </w:p>
    <w:p>
      <w:pPr>
        <w:spacing w:after="240"/>
      </w:pPr>
      <w:r>
        <w:rPr>
          <w:rFonts w:ascii="IBM Plex Mono" w:cs="IBM Plex Mono" w:eastAsia="IBM Plex Mono" w:hAnsi="IBM Plex Mono"/>
          <w:b/>
          <w:bCs/>
          <w:color w:val="4F46E5"/>
          <w:sz w:val="20"/>
          <w:szCs w:val="20"/>
        </w:rPr>
        <w:t xml:space="preserve">KETERANGAN PENERBITAN</w:t>
      </w:r>
    </w:p>
    <w:p>
      <w:pPr>
        <w:tabs>
          <w:tab w:val="left" w:pos="2400"/>
        </w:tabs>
        <w:spacing w:after="100"/>
      </w:pPr>
      <w:r>
        <w:rPr>
          <w:rFonts w:ascii="IBM Plex Mono" w:cs="IBM Plex Mono" w:eastAsia="IBM Plex Mono" w:hAnsi="IBM Plex Mono"/>
          <w:b/>
          <w:bCs/>
          <w:color w:val="B45309"/>
          <w:sz w:val="18"/>
          <w:szCs w:val="18"/>
        </w:rPr>
        <w:t xml:space="preserve">Judul	</w:t>
      </w:r>
      <w:r>
        <w:rPr>
          <w:rFonts w:ascii="IBM Plex Sans" w:cs="IBM Plex Sans" w:eastAsia="IBM Plex Sans" w:hAnsi="IBM Plex Sans"/>
          <w:color w:val="334155"/>
          <w:sz w:val="20"/>
          <w:szCs w:val="20"/>
        </w:rPr>
        <w:t xml:space="preserve">Penguasaan Pengetahuan Biomedik, Farmakologi, dan Ilmu Dasar Penunjang Praktik Obgin</w:t>
      </w:r>
    </w:p>
    <w:p>
      <w:pPr>
        <w:tabs>
          <w:tab w:val="left" w:pos="2400"/>
        </w:tabs>
        <w:spacing w:after="100"/>
      </w:pPr>
      <w:r>
        <w:rPr>
          <w:rFonts w:ascii="IBM Plex Mono" w:cs="IBM Plex Mono" w:eastAsia="IBM Plex Mono" w:hAnsi="IBM Plex Mono"/>
          <w:b/>
          <w:bCs/>
          <w:color w:val="B45309"/>
          <w:sz w:val="18"/>
          <w:szCs w:val="18"/>
        </w:rPr>
        <w:t xml:space="preserve">Kode Unit	</w:t>
      </w:r>
      <w:r>
        <w:rPr>
          <w:rFonts w:ascii="IBM Plex Sans" w:cs="IBM Plex Sans" w:eastAsia="IBM Plex Sans" w:hAnsi="IBM Plex Sans"/>
          <w:color w:val="334155"/>
          <w:sz w:val="20"/>
          <w:szCs w:val="20"/>
        </w:rPr>
        <w:t xml:space="preserve">B13 — Buku Tematik, Dokumen 14 dari 15</w:t>
      </w:r>
    </w:p>
    <w:p>
      <w:pPr>
        <w:tabs>
          <w:tab w:val="left" w:pos="2400"/>
        </w:tabs>
        <w:spacing w:after="100"/>
      </w:pPr>
      <w:r>
        <w:rPr>
          <w:rFonts w:ascii="IBM Plex Mono" w:cs="IBM Plex Mono" w:eastAsia="IBM Plex Mono" w:hAnsi="IBM Plex Mono"/>
          <w:b/>
          <w:bCs/>
          <w:color w:val="B45309"/>
          <w:sz w:val="18"/>
          <w:szCs w:val="18"/>
        </w:rPr>
        <w:t xml:space="preserve">Penulis	</w:t>
      </w:r>
      <w:r>
        <w:rPr>
          <w:rFonts w:ascii="IBM Plex Sans" w:cs="IBM Plex Sans" w:eastAsia="IBM Plex Sans" w:hAnsi="IBM Plex Sans"/>
          <w:color w:val="334155"/>
          <w:sz w:val="20"/>
          <w:szCs w:val="20"/>
        </w:rPr>
        <w:t xml:space="preserve">Dr.dr. Budi Siswanto, Sp.OG., Subsp.Obginsos., SH., S.Kom.</w:t>
      </w:r>
    </w:p>
    <w:p>
      <w:pPr>
        <w:tabs>
          <w:tab w:val="left" w:pos="2400"/>
        </w:tabs>
        <w:spacing w:after="100"/>
      </w:pPr>
      <w:r>
        <w:rPr>
          <w:rFonts w:ascii="IBM Plex Mono" w:cs="IBM Plex Mono" w:eastAsia="IBM Plex Mono" w:hAnsi="IBM Plex Mono"/>
          <w:b/>
          <w:bCs/>
          <w:color w:val="B45309"/>
          <w:sz w:val="18"/>
          <w:szCs w:val="18"/>
        </w:rPr>
        <w:t xml:space="preserve">Penerbit	</w:t>
      </w:r>
      <w:r>
        <w:rPr>
          <w:rFonts w:ascii="IBM Plex Sans" w:cs="IBM Plex Sans" w:eastAsia="IBM Plex Sans" w:hAnsi="IBM Plex Sans"/>
          <w:color w:val="334155"/>
          <w:sz w:val="20"/>
          <w:szCs w:val="20"/>
        </w:rPr>
        <w:t xml:space="preserve">Perpustakaan Digital ABBA</w:t>
      </w:r>
    </w:p>
    <w:p>
      <w:pPr>
        <w:tabs>
          <w:tab w:val="left" w:pos="2400"/>
        </w:tabs>
        <w:spacing w:after="100"/>
      </w:pPr>
      <w:r>
        <w:rPr>
          <w:rFonts w:ascii="IBM Plex Mono" w:cs="IBM Plex Mono" w:eastAsia="IBM Plex Mono" w:hAnsi="IBM Plex Mono"/>
          <w:b/>
          <w:bCs/>
          <w:color w:val="B45309"/>
          <w:sz w:val="18"/>
          <w:szCs w:val="18"/>
        </w:rPr>
        <w:t xml:space="preserve">Alamat	</w:t>
      </w:r>
      <w:r>
        <w:rPr>
          <w:rFonts w:ascii="IBM Plex Sans" w:cs="IBM Plex Sans" w:eastAsia="IBM Plex Sans" w:hAnsi="IBM Plex Sans"/>
          <w:color w:val="334155"/>
          <w:sz w:val="20"/>
          <w:szCs w:val="20"/>
        </w:rPr>
        <w:t xml:space="preserve">Jl. Kerinci Raya No. 9, Malang 65138</w:t>
      </w:r>
    </w:p>
    <w:p>
      <w:pPr>
        <w:tabs>
          <w:tab w:val="left" w:pos="2400"/>
        </w:tabs>
        <w:spacing w:after="100"/>
      </w:pPr>
      <w:r>
        <w:rPr>
          <w:rFonts w:ascii="IBM Plex Mono" w:cs="IBM Plex Mono" w:eastAsia="IBM Plex Mono" w:hAnsi="IBM Plex Mono"/>
          <w:b/>
          <w:bCs/>
          <w:color w:val="B45309"/>
          <w:sz w:val="18"/>
          <w:szCs w:val="18"/>
        </w:rPr>
        <w:t xml:space="preserve">Tahun Terbit	</w:t>
      </w:r>
      <w:r>
        <w:rPr>
          <w:rFonts w:ascii="IBM Plex Sans" w:cs="IBM Plex Sans" w:eastAsia="IBM Plex Sans" w:hAnsi="IBM Plex Sans"/>
          <w:color w:val="334155"/>
          <w:sz w:val="20"/>
          <w:szCs w:val="20"/>
        </w:rPr>
        <w:t xml:space="preserve">2026</w:t>
      </w:r>
    </w:p>
    <w:p>
      <w:pPr>
        <w:tabs>
          <w:tab w:val="left" w:pos="2400"/>
        </w:tabs>
        <w:spacing w:after="100"/>
      </w:pPr>
      <w:r>
        <w:rPr>
          <w:rFonts w:ascii="IBM Plex Mono" w:cs="IBM Plex Mono" w:eastAsia="IBM Plex Mono" w:hAnsi="IBM Plex Mono"/>
          <w:b/>
          <w:bCs/>
          <w:color w:val="B45309"/>
          <w:sz w:val="18"/>
          <w:szCs w:val="18"/>
        </w:rPr>
        <w:t xml:space="preserve">Cetakan	</w:t>
      </w:r>
      <w:r>
        <w:rPr>
          <w:rFonts w:ascii="IBM Plex Sans" w:cs="IBM Plex Sans" w:eastAsia="IBM Plex Sans" w:hAnsi="IBM Plex Sans"/>
          <w:color w:val="334155"/>
          <w:sz w:val="20"/>
          <w:szCs w:val="20"/>
        </w:rPr>
        <w:t xml:space="preserve">Cetakan Pertama</w:t>
      </w:r>
    </w:p>
    <w:p>
      <w:pPr>
        <w:spacing w:after="200"/>
      </w:pPr>
    </w:p>
    <w:p>
      <w:pPr>
        <w:spacing w:after="100"/>
      </w:pPr>
      <w:r>
        <w:rPr>
          <w:rFonts w:ascii="IBM Plex Sans" w:cs="IBM Plex Sans" w:eastAsia="IBM Plex Sans" w:hAnsi="IBM Plex Sans"/>
          <w:i/>
          <w:iCs/>
          <w:color w:val="334155"/>
          <w:sz w:val="18"/>
          <w:szCs w:val="18"/>
        </w:rPr>
        <w:t xml:space="preserve">Hak cipta dilindungi. Dokumen ini disusun sebagai bagian dari ekosistem literatur standar pendidikan dokter spesialis Obstetri dan Ginekologi dan ditujukan bagi kalangan pendidikan.</w:t>
      </w:r>
    </w:p>
    <w:p>
      <w:r>
        <w:br w:type="page"/>
      </w:r>
    </w:p>
    <w:p>
      <w:pPr>
        <w:pStyle w:val="Heading1"/>
        <w:pageBreakBefore/>
        <w:spacing w:after="240"/>
      </w:pPr>
      <w:r>
        <w:rPr>
          <w:rFonts w:ascii="Source Serif 4" w:cs="Source Serif 4" w:eastAsia="Source Serif 4" w:hAnsi="Source Serif 4"/>
          <w:b/>
          <w:bCs/>
          <w:color w:val="4F46E5"/>
          <w:sz w:val="26"/>
          <w:szCs w:val="26"/>
        </w:rPr>
        <w:t xml:space="preserve">BAB I</w:t>
      </w:r>
    </w:p>
    <w:p>
      <w:pPr>
        <w:spacing w:after="320"/>
      </w:pPr>
      <w:r>
        <w:rPr>
          <w:rFonts w:ascii="Source Serif 4" w:cs="Source Serif 4" w:eastAsia="Source Serif 4" w:hAnsi="Source Serif 4"/>
          <w:b/>
          <w:bCs/>
          <w:color w:val="334155"/>
          <w:sz w:val="40"/>
          <w:szCs w:val="40"/>
        </w:rPr>
        <w:t xml:space="preserve">Pendahuluan</w:t>
      </w:r>
    </w:p>
    <w:p>
      <w:pPr>
        <w:pStyle w:val="Heading2"/>
        <w:spacing w:after="140" w:before="200"/>
      </w:pPr>
      <w:r>
        <w:rPr>
          <w:rFonts w:ascii="Source Serif 4" w:cs="Source Serif 4" w:eastAsia="Source Serif 4" w:hAnsi="Source Serif 4"/>
          <w:b/>
          <w:bCs/>
          <w:color w:val="3730A3"/>
          <w:sz w:val="26"/>
          <w:szCs w:val="26"/>
        </w:rPr>
        <w:t xml:space="preserve">1.1 Latar Belakang dan Kedudukan Ilmu Dasar dalam Kompetensi Obgin</w:t>
      </w:r>
    </w:p>
    <w:p>
      <w:pPr>
        <w:spacing w:after="160" w:line="300"/>
      </w:pPr>
      <w:r>
        <w:rPr>
          <w:rFonts w:ascii="IBM Plex Sans" w:cs="IBM Plex Sans" w:eastAsia="IBM Plex Sans" w:hAnsi="IBM Plex Sans"/>
          <w:color w:val="1E293B"/>
          <w:sz w:val="22"/>
          <w:szCs w:val="22"/>
        </w:rPr>
        <w:t xml:space="preserve">Ilmu dasar biomedik — anatomi, fisiologi, farmakologi, patologi, mikrobiologi, dan genetika reproduksi — bukan mata ajar yang berdiri sendiri di luar praktik klinis obstetri dan ginekologi (Obstetrics and Gynecology, Obgin), melainkan fondasi yang menopang setiap pengambilan keputusan klinis yang dituntut Kepkonsil. Setiap kali seorang dokter spesialis menganalisis gejala, menegakkan diagnosis banding, memilih regimen terapi, atau menentukan indikasi prosedur, ia sesungguhnya sedang menerapkan penalaran yang berakar pada ilmu dasar tersebut.</w:t>
      </w:r>
    </w:p>
    <w:p>
      <w:pPr>
        <w:spacing w:after="160" w:line="300"/>
      </w:pPr>
      <w:r>
        <w:rPr>
          <w:rFonts w:ascii="IBM Plex Sans" w:cs="IBM Plex Sans" w:eastAsia="IBM Plex Sans" w:hAnsi="IBM Plex Sans"/>
          <w:color w:val="1E293B"/>
          <w:sz w:val="22"/>
          <w:szCs w:val="22"/>
        </w:rPr>
        <w:t xml:space="preserve">Buku tematik ini disusun untuk menjembatani kesenjangan yang lazim dijumpai pada peserta didik Program Pendidikan Dokter Spesialis (PPDS) tahun I–II: penguasaan ilmu dasar yang diperoleh pada jenjang sarjana kedokteran sering kali tidak lagi diingat secara aplikatif ketika dihadapkan pada kasus klinis nyata. Buku ini menautkan kembali konsep dasar tersebut secara eksplisit dengan tuntutan kompetensi penatalaksanaan klinis (Tabel 27 Kepkonsil) dan kompetensi prosedural klinis (Tabel 33 Kepkonsil).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shd w:fill="3730A3" w:val="clear"/>
            <w:tcMar>
              <w:top w:type="dxa" w:w="200"/>
              <w:left w:type="dxa" w:w="240"/>
              <w:bottom w:type="dxa" w:w="200"/>
              <w:right w:type="dxa" w:w="240"/>
            </w:tcMar>
          </w:tcPr>
          <w:p>
            <w:pPr>
              <w:spacing w:after="80"/>
            </w:pPr>
            <w:r>
              <w:rPr>
                <w:rFonts w:ascii="IBM Plex Mono" w:cs="IBM Plex Mono" w:eastAsia="IBM Plex Mono" w:hAnsi="IBM Plex Mono"/>
                <w:b/>
                <w:bCs/>
                <w:color w:val="FFFFFF"/>
                <w:sz w:val="18"/>
                <w:szCs w:val="18"/>
              </w:rPr>
              <w:t xml:space="preserve">DASAR REGULASI</w:t>
            </w:r>
          </w:p>
          <w:p>
            <w:pPr>
              <w:spacing w:after="80"/>
            </w:pPr>
            <w:r>
              <w:rPr>
                <w:rFonts w:ascii="Source Serif 4" w:cs="Source Serif 4" w:eastAsia="Source Serif 4" w:hAnsi="Source Serif 4"/>
                <w:b/>
                <w:bCs/>
                <w:color w:val="FFFFFF"/>
                <w:sz w:val="22"/>
                <w:szCs w:val="22"/>
              </w:rPr>
              <w:t xml:space="preserve">Dasar Regulasi — Kedudukan Ilmu Dasar dalam Kepkonsil</w:t>
            </w:r>
          </w:p>
          <w:p>
            <w:pPr>
              <w:spacing w:after="100"/>
            </w:pPr>
            <w:r>
              <w:rPr>
                <w:rFonts w:ascii="IBM Plex Sans" w:cs="IBM Plex Sans" w:eastAsia="IBM Plex Sans" w:hAnsi="IBM Plex Sans"/>
                <w:color w:val="FFFFFF"/>
                <w:sz w:val="20"/>
                <w:szCs w:val="20"/>
              </w:rPr>
              <w:t xml:space="preserve">Kepkonsil Lampiran, Bab III "Area Kompetensi 3: Penguasaan Pengetahuan Medis", huruf a "Penguasaan Pengetahuan Penatalaksanaan Klinis": bagian ini menyatakan lingkup penguasaan teori, prinsip, dan evidensi ilmiah yang mendasari pengambilan keputusan dalam penatalaksanaan pasien, termasuk pemilihan terapi, evaluasi efektivitas, serta penyesuaian intervensi sesuai kondisi klinis, mengacu pada protokol penatalaksanaan klinis berbasis bukti yang berlaku di Indonesia.</w:t>
            </w:r>
          </w:p>
          <w:p>
            <w:pPr>
              <w:spacing w:after="100"/>
            </w:pPr>
            <w:r>
              <w:rPr>
                <w:rFonts w:ascii="IBM Plex Sans" w:cs="IBM Plex Sans" w:eastAsia="IBM Plex Sans" w:hAnsi="IBM Plex Sans"/>
                <w:color w:val="FFFFFF"/>
                <w:sz w:val="20"/>
                <w:szCs w:val="20"/>
              </w:rPr>
              <w:t xml:space="preserve">Tabel 27 Kepkonsil, butir 1: "Menguasai penerapan pengetahuan anamnesis obstetri–ginekologi terstruktur" — menuntut kemampuan menghubungkan gejala dengan diagnosis banding, yang mensyaratkan penguasaan ilmu dasar (anatomi, fisiologi, patologi) sebagai prasyarat penalaran klinis.</w:t>
            </w:r>
          </w:p>
          <w:p>
            <w:pPr>
              <w:spacing w:after="100"/>
            </w:pPr>
            <w:r>
              <w:rPr>
                <w:rFonts w:ascii="IBM Plex Sans" w:cs="IBM Plex Sans" w:eastAsia="IBM Plex Sans" w:hAnsi="IBM Plex Sans"/>
                <w:color w:val="FFFFFF"/>
                <w:sz w:val="20"/>
                <w:szCs w:val="20"/>
              </w:rPr>
              <w:t xml:space="preserve">Kepkonsil Lampiran, Bab III huruf b "Penguasaan Pengetahuan Prosedural Klinis": bagian ini menyatakan lingkup penguasaan teori, prinsip, dan evidensi ilmiah yang mendasari pengambilan keputusan dalam menangani indikasi, kontraindikasi, risiko, dan tata cara pelaksanaan prosedur diagnostik maupun terapeutik, agar dapat dilakukan secara aman dan efektif mengacu pada protokol prosedur klinis berbasis bukti yang berlaku di Indonesia.</w:t>
            </w:r>
          </w:p>
        </w:tc>
      </w:tr>
    </w:tbl>
    <w:p>
      <w:pPr>
        <w:spacing w:after="160"/>
      </w:pPr>
    </w:p>
    <w:p>
      <w:pPr>
        <w:pStyle w:val="Heading2"/>
        <w:spacing w:after="140" w:before="200"/>
      </w:pPr>
      <w:r>
        <w:rPr>
          <w:rFonts w:ascii="Source Serif 4" w:cs="Source Serif 4" w:eastAsia="Source Serif 4" w:hAnsi="Source Serif 4"/>
          <w:b/>
          <w:bCs/>
          <w:color w:val="3730A3"/>
          <w:sz w:val="26"/>
          <w:szCs w:val="26"/>
        </w:rPr>
        <w:t xml:space="preserve">1.2 Ruang Lingkup dan Struktur Buku</w:t>
      </w:r>
    </w:p>
    <w:p>
      <w:pPr>
        <w:spacing w:after="160" w:line="300"/>
      </w:pPr>
      <w:r>
        <w:rPr>
          <w:rFonts w:ascii="IBM Plex Sans" w:cs="IBM Plex Sans" w:eastAsia="IBM Plex Sans" w:hAnsi="IBM Plex Sans"/>
          <w:color w:val="1E293B"/>
          <w:sz w:val="22"/>
          <w:szCs w:val="22"/>
        </w:rPr>
        <w:t xml:space="preserve">Buku ini terbagi menjadi tujuh bab. Bab II membahas anatomi dan fisiologi reproduksi terapan sebagai dasar penalaran klinis. Bab III dan Bab IV membahas farmakologi obstetri dan farmakologi ginekologi, disusun berdasarkan kelas obat yang paling sering digunakan pada praktik sehari-hari. Bab V membahas ilmu dasar penunjang lain — patologi, mikrobiologi, dan genetika reproduksi — yang melengkapi kerangka penalaran diagnostik. Bab VI menempatkan seluruh materi di atas dalam konteks perbandingan standar internasional. Bab VII memberikan ringkasan terstruktur beserta tabel kompetensi.</w:t>
      </w:r>
    </w:p>
    <w:p>
      <w:pPr>
        <w:spacing w:after="160" w:line="300"/>
      </w:pPr>
      <w:r>
        <w:rPr>
          <w:rFonts w:ascii="IBM Plex Sans" w:cs="IBM Plex Sans" w:eastAsia="IBM Plex Sans" w:hAnsi="IBM Plex Sans"/>
          <w:color w:val="1E293B"/>
          <w:sz w:val="22"/>
          <w:szCs w:val="22"/>
        </w:rPr>
        <w:t xml:space="preserve">Materi disusun berjenjang dari konsep dasar menuju aplikasi klinis, dengan kotak "Dasar Regulasi" pada setiap bab substantif yang mengutip pasal/tabel Kepkonsil secara spesifik, serta subbab "Perbandingan dan Pengayaan Standar Internasional" yang mengutip sumber WHO, ACOG, NICE, ISUOG, ICM, ESGO/ESMO, CDC, atau Cochrane sebagai pengayaan non-superior — standar nasional (Kepkonsil) tetap menjadi acuan utama praktik di Indonesia. Seluruh sumber internasional yang dikutip dicantumkan lengkap pada Daftar Pustaka di akhir buku.</w:t>
      </w:r>
    </w:p>
    <w:p>
      <w:pPr>
        <w:pStyle w:val="Heading2"/>
        <w:spacing w:after="140" w:before="200"/>
      </w:pPr>
      <w:r>
        <w:rPr>
          <w:rFonts w:ascii="Source Serif 4" w:cs="Source Serif 4" w:eastAsia="Source Serif 4" w:hAnsi="Source Serif 4"/>
          <w:b/>
          <w:bCs/>
          <w:color w:val="3730A3"/>
          <w:sz w:val="26"/>
          <w:szCs w:val="26"/>
        </w:rPr>
        <w:t xml:space="preserve">1.3 Audiens dan Cara Penggunaan</w:t>
      </w:r>
    </w:p>
    <w:p>
      <w:pPr>
        <w:spacing w:after="160" w:line="300"/>
      </w:pPr>
      <w:r>
        <w:rPr>
          <w:rFonts w:ascii="IBM Plex Sans" w:cs="IBM Plex Sans" w:eastAsia="IBM Plex Sans" w:hAnsi="IBM Plex Sans"/>
          <w:color w:val="1E293B"/>
          <w:sz w:val="22"/>
          <w:szCs w:val="22"/>
        </w:rPr>
        <w:t xml:space="preserve">Buku ini ditujukan bagi Peserta Program Pendidikan Dokter Spesialis (PPDS) Obstetri dan Ginekologi tahun I–II. Pembaca disarankan menggunakan buku ini sebagai peta konsep sebelum mempelajari Panduan Praktik Klinis (PPK) per diagnosis dan Panduan Praktik Klinis Kelompok (PPKK) yang merujuk pada buku tematik ini sebagai induk. Kode ICD-10 dan ICD-11 dicantumkan berdampingan pada setiap kemunculan pertama sebuah diagnosis dalam tiap bab, sesuai Aturan 3 Perintah Umum ekosistem literatur ini.</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single" w:color="B45309" w:sz="24"/>
              <w:left w:val="single" w:color="B45309" w:sz="4"/>
              <w:bottom w:val="single" w:color="B45309" w:sz="4"/>
              <w:right w:val="single" w:color="B45309" w:sz="4"/>
            </w:tcBorders>
            <w:shd w:fill="FEF3E2" w:val="clear"/>
            <w:tcMar>
              <w:top w:type="dxa" w:w="200"/>
              <w:left w:type="dxa" w:w="240"/>
              <w:bottom w:type="dxa" w:w="200"/>
              <w:right w:type="dxa" w:w="240"/>
            </w:tcMar>
          </w:tcPr>
          <w:p>
            <w:pPr>
              <w:spacing w:after="120"/>
            </w:pPr>
            <w:r>
              <w:rPr>
                <w:rFonts w:ascii="IBM Plex Mono" w:cs="IBM Plex Mono" w:eastAsia="IBM Plex Mono" w:hAnsi="IBM Plex Mono"/>
                <w:b/>
                <w:bCs/>
                <w:color w:val="B45309"/>
                <w:sz w:val="18"/>
                <w:szCs w:val="18"/>
              </w:rPr>
              <w:t xml:space="preserve">KONTRIBUSI DIVISI PENGAMPU</w:t>
            </w:r>
          </w:p>
          <w:p>
            <w:pPr>
              <w:spacing w:after="120"/>
            </w:pPr>
            <w:r>
              <w:rPr>
                <w:rFonts w:ascii="Source Serif 4" w:cs="Source Serif 4" w:eastAsia="Source Serif 4" w:hAnsi="Source Serif 4"/>
                <w:b/>
                <w:bCs/>
                <w:color w:val="7C2D12"/>
                <w:sz w:val="24"/>
                <w:szCs w:val="24"/>
              </w:rPr>
              <w:t xml:space="preserve">Kontribusi Divisi Pengampu — Perspektif Lintas Divisi terhadap Ilmu Dasar</w:t>
            </w:r>
          </w:p>
          <w:p>
            <w:pPr>
              <w:spacing w:after="100"/>
            </w:pPr>
            <w:r>
              <w:rPr>
                <w:rFonts w:ascii="IBM Plex Sans" w:cs="IBM Plex Sans" w:eastAsia="IBM Plex Sans" w:hAnsi="IBM Plex Sans"/>
                <w:b/>
                <w:bCs/>
                <w:color w:val="7C2D12"/>
                <w:sz w:val="20"/>
                <w:szCs w:val="20"/>
              </w:rPr>
              <w:t xml:space="preserve">A. Deskripsi. </w:t>
            </w:r>
            <w:r>
              <w:rPr>
                <w:rFonts w:ascii="IBM Plex Sans" w:cs="IBM Plex Sans" w:eastAsia="IBM Plex Sans" w:hAnsi="IBM Plex Sans"/>
                <w:color w:val="451A03"/>
                <w:sz w:val="20"/>
                <w:szCs w:val="20"/>
              </w:rPr>
              <w:t xml:space="preserve">Karena ilmu dasar biomedik menopang seluruh bidang subspesialisasi setara, kelima divisi (Fetomaternal; Fertilitas dan Endokrinologi Reproduksi; Onkologi Ginekologi; Obstetri Ginekologi Sosial; Uroginekologi Rekonstruksi) memberikan kontribusi pada buku ini secara proporsional sesuai domain keilmuannya masing-masing pada bab-bab berikutnya, alih-alih pada satu kotak tunggal di Bab I. Pendekatan ini konsisten dengan sifat buku tematik ini sebagai fondasi lintas divisi.</w:t>
            </w:r>
          </w:p>
          <w:p>
            <w:pPr>
              <w:spacing w:after="100"/>
            </w:pPr>
            <w:r>
              <w:rPr>
                <w:rFonts w:ascii="IBM Plex Sans" w:cs="IBM Plex Sans" w:eastAsia="IBM Plex Sans" w:hAnsi="IBM Plex Sans"/>
                <w:b/>
                <w:bCs/>
                <w:color w:val="7C2D12"/>
                <w:sz w:val="20"/>
                <w:szCs w:val="20"/>
              </w:rPr>
              <w:t xml:space="preserve">B. Peta Kontribusi per Bab. </w:t>
            </w:r>
            <w:r>
              <w:rPr>
                <w:rFonts w:ascii="IBM Plex Sans" w:cs="IBM Plex Sans" w:eastAsia="IBM Plex Sans" w:hAnsi="IBM Plex Sans"/>
                <w:color w:val="451A03"/>
                <w:sz w:val="20"/>
                <w:szCs w:val="20"/>
              </w:rPr>
              <w:t xml:space="preserve">Bab II (Anatomi-Fisiologi) diampu terutama oleh perspektif Fetomaternal dan Uroginekologi Rekonstruksi; Bab III (Farmakologi Obstetri) oleh Fetomaternal; Bab IV (Farmakologi Ginekologi) oleh Fertilitas dan Endokrinologi Reproduksi serta Onkologi Ginekologi; Bab V (Ilmu Dasar Penunjang) oleh Onkologi Ginekologi (patologi-genetika) dan Obstetri Ginekologi Sosial (epidemiologi-mikrobiologi komunitas).</w:t>
            </w:r>
          </w:p>
          <w:p>
            <w:pPr>
              <w:spacing w:after="100"/>
            </w:pPr>
            <w:r>
              <w:rPr>
                <w:rFonts w:ascii="IBM Plex Sans" w:cs="IBM Plex Sans" w:eastAsia="IBM Plex Sans" w:hAnsi="IBM Plex Sans"/>
                <w:b/>
                <w:bCs/>
                <w:color w:val="7C2D12"/>
                <w:sz w:val="20"/>
                <w:szCs w:val="20"/>
              </w:rPr>
              <w:t xml:space="preserve">C. Ilustrasi Kasus Lapangan. </w:t>
            </w:r>
            <w:r>
              <w:rPr>
                <w:rFonts w:ascii="IBM Plex Sans" w:cs="IBM Plex Sans" w:eastAsia="IBM Plex Sans" w:hAnsi="IBM Plex Sans"/>
                <w:color w:val="451A03"/>
                <w:sz w:val="20"/>
                <w:szCs w:val="20"/>
              </w:rPr>
              <w:t xml:space="preserve">Seorang peserta PPDS tahun I diminta menjelaskan kepada keluarga pasien mengapa terapi magnesium sulfat diberikan pada kasus preeklamsia berat, bukan sekadar "obat penurun tekanan darah". Dengan kerangka ilmu dasar pada Bab III buku ini, peserta didik mampu menjelaskan mekanisme neuroproteksi dan pencegahan kejang secara farmakologis, bukan sekadar menghafal dosis — inilah tujuan pedagogis utama buku tematik ini.</w:t>
            </w:r>
          </w:p>
        </w:tc>
      </w:tr>
    </w:tbl>
    <w:p>
      <w:pPr>
        <w:pStyle w:val="Heading1"/>
        <w:pageBreakBefore/>
        <w:spacing w:after="240"/>
      </w:pPr>
      <w:r>
        <w:rPr>
          <w:rFonts w:ascii="Source Serif 4" w:cs="Source Serif 4" w:eastAsia="Source Serif 4" w:hAnsi="Source Serif 4"/>
          <w:b/>
          <w:bCs/>
          <w:color w:val="4F46E5"/>
          <w:sz w:val="26"/>
          <w:szCs w:val="26"/>
        </w:rPr>
        <w:t xml:space="preserve">BAB II</w:t>
      </w:r>
    </w:p>
    <w:p>
      <w:pPr>
        <w:spacing w:after="320"/>
      </w:pPr>
      <w:r>
        <w:rPr>
          <w:rFonts w:ascii="Source Serif 4" w:cs="Source Serif 4" w:eastAsia="Source Serif 4" w:hAnsi="Source Serif 4"/>
          <w:b/>
          <w:bCs/>
          <w:color w:val="334155"/>
          <w:sz w:val="40"/>
          <w:szCs w:val="40"/>
        </w:rPr>
        <w:t xml:space="preserve">Anatomi dan Fisiologi Reproduksi Terapan</w:t>
      </w:r>
    </w:p>
    <w:p>
      <w:pPr>
        <w:pStyle w:val="Heading2"/>
        <w:spacing w:after="140" w:before="200"/>
      </w:pPr>
      <w:r>
        <w:rPr>
          <w:rFonts w:ascii="Source Serif 4" w:cs="Source Serif 4" w:eastAsia="Source Serif 4" w:hAnsi="Source Serif 4"/>
          <w:b/>
          <w:bCs/>
          <w:color w:val="3730A3"/>
          <w:sz w:val="26"/>
          <w:szCs w:val="26"/>
        </w:rPr>
        <w:t xml:space="preserve">2.1 Anatomi Panggul dan Organ Reproduksi Wanita</w:t>
      </w:r>
    </w:p>
    <w:p>
      <w:pPr>
        <w:spacing w:after="160" w:line="300"/>
      </w:pPr>
      <w:r>
        <w:rPr>
          <w:rFonts w:ascii="IBM Plex Sans" w:cs="IBM Plex Sans" w:eastAsia="IBM Plex Sans" w:hAnsi="IBM Plex Sans"/>
          <w:color w:val="1E293B"/>
          <w:sz w:val="22"/>
          <w:szCs w:val="22"/>
        </w:rPr>
        <w:t xml:space="preserve">Penguasaan anatomi panggul (pelvic anatomy) fungsional — bukan sekadar deskriptif — menjadi prasyarat bagi kompetensi pemeriksaan fisik obstetri-ginekologi maupun kompetensi prosedural yang dituntut Tabel 33 Kepkonsil. Panggul wanita dibagi menjadi pelvis mayor (false pelvis) dan pelvis minor (true pelvis) yang dipisahkan oleh linea terminalis. Empat tipe panggul klasik Caldwell-Moloy — ginekoid, android, antropoid, dan platipeloid — tetap relevan secara konseptual untuk memahami mekanisme persalinan meskipun penilaian klinis modern lebih mengandalkan pencitraan dan evaluasi klinis langsung.</w:t>
      </w:r>
    </w:p>
    <w:p>
      <w:pPr>
        <w:spacing w:after="160" w:line="300"/>
      </w:pPr>
      <w:r>
        <w:rPr>
          <w:rFonts w:ascii="IBM Plex Sans" w:cs="IBM Plex Sans" w:eastAsia="IBM Plex Sans" w:hAnsi="IBM Plex Sans"/>
          <w:color w:val="1E293B"/>
          <w:sz w:val="22"/>
          <w:szCs w:val="22"/>
        </w:rPr>
        <w:t xml:space="preserve">Uterus terdiri atas fundus, korpus, isthmus, dan serviks, dengan lapisan endometrium, miometrium, dan perimetrium/serosa. Miometrium tersusun atas tiga lapisan otot polos yang arsitekturnya penting untuk memahami mekanisme kontraksi uterus dan menjadi dasar rasional farmakologis uterotonika yang dibahas pada Bab III. Tuba fallopi (tuba uterina) — infundibulum, ampula, isthmus, dan pars interstisialis — serta ovarium melengkapi organ interna, sedangkan vulva, vagina, dan struktur dasar panggul (pelvic floor) menjadi domain anatomi yang relevan bagi kompetensi Uroginekologi Rekonstruksi.</w:t>
      </w:r>
    </w:p>
    <w:p>
      <w:pPr>
        <w:spacing w:after="160" w:line="300"/>
      </w:pPr>
      <w:r>
        <w:rPr>
          <w:rFonts w:ascii="IBM Plex Sans" w:cs="IBM Plex Sans" w:eastAsia="IBM Plex Sans" w:hAnsi="IBM Plex Sans"/>
          <w:color w:val="1E293B"/>
          <w:sz w:val="22"/>
          <w:szCs w:val="22"/>
        </w:rPr>
        <w:t xml:space="preserve">Vaskularisasi pelvis wanita bersumber terutama dari arteri iliaka interna (arteri uterina, arteri vaginalis, arteri pudenda interna) serta anastomosis dengan arteri ovarika yang berasal langsung dari aorta abdominalis. Pemahaman anatomi vaskular ini penting secara klinis pada tata laksana perdarahan pascasalin (postpartum hemorrhage) — ICD-10 O72 / ICD-11 JB60 — karena strategi ligasi vaskular bertingkat (uterina, ovarika, hipogastrika) bergantung pada peta vaskularisasi tersebut.</w:t>
      </w:r>
    </w:p>
    <w:p>
      <w:pPr>
        <w:pStyle w:val="Heading2"/>
        <w:spacing w:after="140" w:before="200"/>
      </w:pPr>
      <w:r>
        <w:rPr>
          <w:rFonts w:ascii="Source Serif 4" w:cs="Source Serif 4" w:eastAsia="Source Serif 4" w:hAnsi="Source Serif 4"/>
          <w:b/>
          <w:bCs/>
          <w:color w:val="3730A3"/>
          <w:sz w:val="26"/>
          <w:szCs w:val="26"/>
        </w:rPr>
        <w:t xml:space="preserve">2.2 Fisiologi Siklus Menstruasi dan Aksis Hipotalamus–Hipofisis–Ovarium</w:t>
      </w:r>
    </w:p>
    <w:p>
      <w:pPr>
        <w:spacing w:after="160" w:line="300"/>
      </w:pPr>
      <w:r>
        <w:rPr>
          <w:rFonts w:ascii="IBM Plex Sans" w:cs="IBM Plex Sans" w:eastAsia="IBM Plex Sans" w:hAnsi="IBM Plex Sans"/>
          <w:color w:val="1E293B"/>
          <w:sz w:val="22"/>
          <w:szCs w:val="22"/>
        </w:rPr>
        <w:t xml:space="preserve">Siklus menstruasi diatur oleh aksis hipotalamus–hipofisis–ovarium (hypothalamic-pituitary-ovarian axis, HPO axis). Gonadotropin-releasing hormone (GnRH) disekresi secara pulsatil oleh hipotalamus, merangsang hipofisis anterior melepaskan follicle-stimulating hormone (FSH) dan luteinizing hormone (LH). Fase folikular ditandai pertumbuhan folikel dominan di bawah pengaruh FSH dan produksi estradiol yang meningkat progresif; lonjakan LH (LH surge) memicu ovulasi sekitar 36 jam kemudian. Fase luteal ditandai pembentukan korpus luteum yang mensekresi progesteron, mempersiapkan endometrium fase sekretorik untuk implantasi; bila fertilisasi tidak terjadi, korpus luteum mengalami luteolisis, kadar progesteron dan estradiol turun, dan menstruasi terjadi.</w:t>
      </w:r>
    </w:p>
    <w:p>
      <w:pPr>
        <w:spacing w:after="160" w:line="300"/>
      </w:pPr>
      <w:r>
        <w:rPr>
          <w:rFonts w:ascii="IBM Plex Sans" w:cs="IBM Plex Sans" w:eastAsia="IBM Plex Sans" w:hAnsi="IBM Plex Sans"/>
          <w:color w:val="1E293B"/>
          <w:sz w:val="22"/>
          <w:szCs w:val="22"/>
        </w:rPr>
        <w:t xml:space="preserve">Pemahaman kuantitatif frekuensi dan amplitudo pulsasi GnRH menjelaskan rasional farmakologis agonis dan antagonis GnRH yang dibahas pada Bab IV — pemberian agonis GnRH secara kontinu menyebabkan desensitisasi reseptor hipofisis (efek "flare" awal diikuti supresi), sedangkan antagonis GnRH bekerja melalui blokade reseptor kompetitif tanpa fase flare.</w:t>
      </w:r>
    </w:p>
    <w:p>
      <w:pPr>
        <w:pStyle w:val="Heading2"/>
        <w:spacing w:after="140" w:before="200"/>
      </w:pPr>
      <w:r>
        <w:rPr>
          <w:rFonts w:ascii="Source Serif 4" w:cs="Source Serif 4" w:eastAsia="Source Serif 4" w:hAnsi="Source Serif 4"/>
          <w:b/>
          <w:bCs/>
          <w:color w:val="3730A3"/>
          <w:sz w:val="26"/>
          <w:szCs w:val="26"/>
        </w:rPr>
        <w:t xml:space="preserve">2.3 Fisiologi Adaptasi Maternal pada Kehamilan</w:t>
      </w:r>
    </w:p>
    <w:p>
      <w:pPr>
        <w:spacing w:after="160" w:line="300"/>
      </w:pPr>
      <w:r>
        <w:rPr>
          <w:rFonts w:ascii="IBM Plex Sans" w:cs="IBM Plex Sans" w:eastAsia="IBM Plex Sans" w:hAnsi="IBM Plex Sans"/>
          <w:color w:val="1E293B"/>
          <w:sz w:val="22"/>
          <w:szCs w:val="22"/>
        </w:rPr>
        <w:t xml:space="preserve">Kehamilan menimbulkan adaptasi fisiologis multisistem yang menjadi dasar interpretasi klinis dan pemilihan terapi yang aman bagi ibu dan janin. Sistem kardiovaskular mengalami peningkatan curah jantung (cardiac output) hingga 30–50% di atas nilai pra-kehamilan, terutama akibat peningkatan volume sekuncup (stroke volume) pada trimester pertama-kedua dan peningkatan laju jantung pada trimester ketiga, disertai penurunan resistensi vaskular sistemik akibat efek vasodilator progesteron dan produksi nitrit oksida plasenta. Adaptasi ini mendasari mengapa tekanan darah fisiologis cenderung menurun pada pertengahan kehamilan sebelum kembali meningkat mendekati aterm — pemahaman ini penting untuk membedakan hipertensi kronik, hipertensi gestasional, dan preeklamsia (ICD-10 O13–O14 / ICD-11 JA82–JA83).</w:t>
      </w:r>
    </w:p>
    <w:p>
      <w:pPr>
        <w:spacing w:after="160" w:line="300"/>
      </w:pPr>
      <w:r>
        <w:rPr>
          <w:rFonts w:ascii="IBM Plex Sans" w:cs="IBM Plex Sans" w:eastAsia="IBM Plex Sans" w:hAnsi="IBM Plex Sans"/>
          <w:color w:val="1E293B"/>
          <w:sz w:val="22"/>
          <w:szCs w:val="22"/>
        </w:rPr>
        <w:t xml:space="preserve">Sistem hematologi menunjukkan peningkatan volume plasma yang melebihi peningkatan massa eritrosit ("hemodilusi fisiologis"), menjelaskan anemia fisiologis kehamilan, serta keadaan hiperkoagulabilitas relatif akibat peningkatan faktor pembekuan dan penurunan aktivitas fibrinolitik — dasar patofisiologis peningkatan risiko tromboemboli vena pada kehamilan dan masa nifas. Sistem ginjal mengalami peningkatan laju filtrasi glomerulus (glomerular filtration rate, GFR) hingga 50%, yang berimplikasi langsung pada penyesuaian dosis obat yang dieliminasi renal. Sistem respirasi mengalami peningkatan ventilasi semenit akibat efek progesteron pada pusat pernapasan, menghasilkan alkalosis respiratorik ringan terkompensasi yang merupakan keadaan normal kehamilan, bukan patologi.</w:t>
      </w:r>
    </w:p>
    <w:p>
      <w:pPr>
        <w:spacing w:after="160" w:line="300"/>
      </w:pPr>
      <w:r>
        <w:rPr>
          <w:rFonts w:ascii="IBM Plex Sans" w:cs="IBM Plex Sans" w:eastAsia="IBM Plex Sans" w:hAnsi="IBM Plex Sans"/>
          <w:color w:val="1E293B"/>
          <w:sz w:val="22"/>
          <w:szCs w:val="22"/>
        </w:rPr>
        <w:t xml:space="preserve">Perubahan farmakokinetik akibat kehamilan — peningkatan volume distribusi, penurunan konsentrasi albumin plasma (memengaruhi fraksi obat bebas), peningkatan aktivitas enzim sitokrom P450 tertentu (mis. CYP3A4), serta peningkatan klirens renal — menjadi dasar rasional mengapa banyak regimen obat memerlukan penyesuaian dosis atau frekuensi pada kehamilan dibanding kondisi tidak hamil, sebagaimana dibahas lebih lanjut pada Bab III.</w:t>
      </w:r>
    </w:p>
    <w:p>
      <w:pPr>
        <w:pStyle w:val="Heading2"/>
        <w:spacing w:after="140" w:before="200"/>
      </w:pPr>
      <w:r>
        <w:rPr>
          <w:rFonts w:ascii="Source Serif 4" w:cs="Source Serif 4" w:eastAsia="Source Serif 4" w:hAnsi="Source Serif 4"/>
          <w:b/>
          <w:bCs/>
          <w:color w:val="3730A3"/>
          <w:sz w:val="26"/>
          <w:szCs w:val="26"/>
        </w:rPr>
        <w:t xml:space="preserve">2.4 Fisiologi Persalinan</w:t>
      </w:r>
    </w:p>
    <w:p>
      <w:pPr>
        <w:spacing w:after="160" w:line="300"/>
      </w:pPr>
      <w:r>
        <w:rPr>
          <w:rFonts w:ascii="IBM Plex Sans" w:cs="IBM Plex Sans" w:eastAsia="IBM Plex Sans" w:hAnsi="IBM Plex Sans"/>
          <w:color w:val="1E293B"/>
          <w:sz w:val="22"/>
          <w:szCs w:val="22"/>
        </w:rPr>
        <w:t xml:space="preserve">Persalinan (labor/partus) melibatkan transisi uterus dari keadaan quiescent (tenang, didominasi faktor relaksan seperti progesteron, nitrit oksida, dan prostasiklin) menuju keadaan kontraktil terkoordinasi. Empat fase fungsional miometrium menurut kerangka konseptual yang lazim diajarkan — quiescence, aktivasi, stimulasi, dan involusi — menjelaskan mengapa intervensi farmakologis berbeda efektivitasnya pada tahap kehamilan yang berbeda: tokolitik bekerja mempertahankan fase quiescence (Bab III), sedangkan uterotonika bekerja mendorong fase stimulasi.</w:t>
      </w:r>
    </w:p>
    <w:p>
      <w:pPr>
        <w:spacing w:after="160" w:line="300"/>
      </w:pPr>
      <w:r>
        <w:rPr>
          <w:rFonts w:ascii="IBM Plex Sans" w:cs="IBM Plex Sans" w:eastAsia="IBM Plex Sans" w:hAnsi="IBM Plex Sans"/>
          <w:color w:val="1E293B"/>
          <w:sz w:val="22"/>
          <w:szCs w:val="22"/>
        </w:rPr>
        <w:t xml:space="preserve">Pada tingkat seluler, kontraksi miometrium bergantung pada peningkatan konsentrasi kalsium intraseluler yang mengaktifkan miosin light-chain kinase, difasilitasi oleh peningkatan ekspresi reseptor oksitosin dan gap junction (connexin-43) menjelang aterm, serta oleh prostaglandin (terutama PGF2α dan PGE2) yang meningkatkan eksitabilitas miometrium dan berperan dalam pematangan serviks (cervical ripening) melalui remodeling matriks ekstraselular serviks.</w:t>
      </w:r>
    </w:p>
    <w:p>
      <w:pPr>
        <w:spacing w:after="160" w:line="300"/>
      </w:pPr>
      <w:r>
        <w:rPr>
          <w:rFonts w:ascii="IBM Plex Sans" w:cs="IBM Plex Sans" w:eastAsia="IBM Plex Sans" w:hAnsi="IBM Plex Sans"/>
          <w:color w:val="1E293B"/>
          <w:sz w:val="22"/>
          <w:szCs w:val="22"/>
        </w:rPr>
        <w:t xml:space="preserve">Kala I persalinan (fase laten dan aktif) ditandai pembukaan serviks progresif akibat kombinasi kontraksi miometrium dan pelunakan jaringan ikat serviks; kala II dimulai dari pembukaan lengkap hingga lahirnya bayi, melibatkan penurunan bagian terbawah janin melalui panggul mengikuti kurva Carus sesuai sumbu panggul; kala III mencakup pelepasan dan lahirnya plasenta, difasilitasi oleh kontraksi miometrium lanjutan yang menyebabkan pemisahan bidang desidua basalis — pemahaman mekanisme ini mendasari rasional manajemen aktif kala III (pemberian uterotonika profilaksis, peregangan tali pusat terkendali, dan pemijatan fundus) sebagai strategi pencegahan PPH.</w:t>
      </w:r>
    </w:p>
    <w:p>
      <w:pPr>
        <w:pStyle w:val="Heading2"/>
        <w:spacing w:after="140" w:before="200"/>
      </w:pPr>
      <w:r>
        <w:rPr>
          <w:rFonts w:ascii="Source Serif 4" w:cs="Source Serif 4" w:eastAsia="Source Serif 4" w:hAnsi="Source Serif 4"/>
          <w:b/>
          <w:bCs/>
          <w:color w:val="3730A3"/>
          <w:sz w:val="26"/>
          <w:szCs w:val="26"/>
        </w:rPr>
        <w:t xml:space="preserve">2.5 Fisiologi Laktasi Dasar</w:t>
      </w:r>
    </w:p>
    <w:p>
      <w:pPr>
        <w:spacing w:after="160" w:line="300"/>
      </w:pPr>
      <w:r>
        <w:rPr>
          <w:rFonts w:ascii="IBM Plex Sans" w:cs="IBM Plex Sans" w:eastAsia="IBM Plex Sans" w:hAnsi="IBM Plex Sans"/>
          <w:color w:val="1E293B"/>
          <w:sz w:val="22"/>
          <w:szCs w:val="22"/>
        </w:rPr>
        <w:t xml:space="preserve">Laktogenesis terjadi dalam dua tahap: laktogenesis I berlangsung pada pertengahan kehamilan ketika kelenjar mamaria mulai mampu mensekresi kolostrum di bawah pengaruh prolaktin, namun sekresi volume besar masih dihambat oleh kadar progesteron yang tinggi; laktogenesis II terjadi 2–3 hari pascasalin, dipicu oleh penurunan tajam kadar progesteron dan estrogen setelah pelepasan plasenta, memungkinkan efek prolaktin bekerja penuh pada kelenjar mamaria sehingga produksi air susu meningkat pesat ("air susu turun").</w:t>
      </w:r>
    </w:p>
    <w:p>
      <w:pPr>
        <w:spacing w:after="160" w:line="300"/>
      </w:pPr>
      <w:r>
        <w:rPr>
          <w:rFonts w:ascii="IBM Plex Sans" w:cs="IBM Plex Sans" w:eastAsia="IBM Plex Sans" w:hAnsi="IBM Plex Sans"/>
          <w:color w:val="1E293B"/>
          <w:sz w:val="22"/>
          <w:szCs w:val="22"/>
        </w:rPr>
        <w:t xml:space="preserve">Refleks let-down (milk ejection reflex) dimediasi oleh oksitosin yang dilepaskan sebagai respons terhadap isapan bayi, menyebabkan kontraksi sel mioepitel di sekitar alveoli mamaria sehingga air susu terdorong ke duktus laktiferus. Pemahaman fisiologi ini penting secara farmakologis karena oksitosin eksogen yang diberikan pada tata laksana obstetri (Bab III) bekerja pada reseptor yang sama dengan yang memediasi refleks laktasi fisiologis, dan karena penekanan laktasi farmakologis (dahulu menggunakan bromokriptin) kini tidak lagi direkomendasikan secara rutin akibat risiko efek samping kardiovaskular serius.</w:t>
      </w:r>
    </w:p>
    <w:p>
      <w:pPr>
        <w:pStyle w:val="Heading2"/>
        <w:spacing w:after="140" w:before="200"/>
      </w:pPr>
      <w:r>
        <w:rPr>
          <w:rFonts w:ascii="Source Serif 4" w:cs="Source Serif 4" w:eastAsia="Source Serif 4" w:hAnsi="Source Serif 4"/>
          <w:b/>
          <w:bCs/>
          <w:color w:val="B45309"/>
          <w:sz w:val="26"/>
          <w:szCs w:val="26"/>
        </w:rPr>
        <w:t xml:space="preserve">2.6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menetapkan penguasaan anatomi dan fisiologi reproduksi terapan sebagai bagian tidak terpisahkan dari kompetensi penatalaksanaan dan prosedural klinis (Tabel 27 dan Tabel 33) tanpa merinci kurikulum ilmu dasar secara tersendiri; standar internasional ICM (International Confederation of Midwives) Essential Competencies for Midwifery Practice edisi revisi 2024 menempatkan pemahaman fisiologi kehamilan dan persalinan sebagai bagian Kategori 3 dan 4 dari lima kategori kompetensi inti, dengan penambahan indikator pengetahuan dan keterampilan dibanding edisi 2019 [Ref. 8]; praktik pendidikan spesialis di Indonesia mengikuti standar nasional, dengan kerangka ICM tersebut relevan sebagai pembanding struktur kompetensi lintas profesi kesehatan reproduksi.</w:t>
      </w:r>
    </w:p>
    <w:p>
      <w:pPr>
        <w:spacing w:after="160" w:line="300"/>
      </w:pPr>
      <w:r>
        <w:rPr>
          <w:rFonts w:ascii="IBM Plex Sans" w:cs="IBM Plex Sans" w:eastAsia="IBM Plex Sans" w:hAnsi="IBM Plex Sans"/>
          <w:color w:val="1E293B"/>
          <w:sz w:val="22"/>
          <w:szCs w:val="22"/>
        </w:rPr>
        <w:t xml:space="preserve">ISUOG (International Society of Ultrasound in Obstetrics and Gynecology) Practice Guidelines mengenai pemindaian ultrasonografi trimester pertama (11+0 hingga 14+0 minggu), yang dimutakhirkan pada tahun 2023, menekankan bahwa pemindaian ini bermanfaat untuk konfirmasi viabilitas, penentuan usia kehamilan akurat, skrining aneuploidi, deteksi anomali struktural mayor, dan skrining preeklamsia preterm [Ref. 7] — pemahaman fisiologi adaptasi maternal-fetal pada Bab II buku ini menjadi dasar interpretasi klinis atas hasil pemindaian tersebut.</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single" w:color="B45309" w:sz="24"/>
              <w:left w:val="single" w:color="B45309" w:sz="4"/>
              <w:bottom w:val="single" w:color="B45309" w:sz="4"/>
              <w:right w:val="single" w:color="B45309" w:sz="4"/>
            </w:tcBorders>
            <w:shd w:fill="FEF3E2" w:val="clear"/>
            <w:tcMar>
              <w:top w:type="dxa" w:w="200"/>
              <w:left w:type="dxa" w:w="240"/>
              <w:bottom w:type="dxa" w:w="200"/>
              <w:right w:type="dxa" w:w="240"/>
            </w:tcMar>
          </w:tcPr>
          <w:p>
            <w:pPr>
              <w:spacing w:after="120"/>
            </w:pPr>
            <w:r>
              <w:rPr>
                <w:rFonts w:ascii="IBM Plex Mono" w:cs="IBM Plex Mono" w:eastAsia="IBM Plex Mono" w:hAnsi="IBM Plex Mono"/>
                <w:b/>
                <w:bCs/>
                <w:color w:val="B45309"/>
                <w:sz w:val="18"/>
                <w:szCs w:val="18"/>
              </w:rPr>
              <w:t xml:space="preserve">KONTRIBUSI DIVISI PENGAMPU</w:t>
            </w:r>
          </w:p>
          <w:p>
            <w:pPr>
              <w:spacing w:after="120"/>
            </w:pPr>
            <w:r>
              <w:rPr>
                <w:rFonts w:ascii="Source Serif 4" w:cs="Source Serif 4" w:eastAsia="Source Serif 4" w:hAnsi="Source Serif 4"/>
                <w:b/>
                <w:bCs/>
                <w:color w:val="7C2D12"/>
                <w:sz w:val="24"/>
                <w:szCs w:val="24"/>
              </w:rPr>
              <w:t xml:space="preserve">Kontribusi Divisi Pengampu — Fetomaternal dan Uroginekologi Rekonstruksi</w:t>
            </w:r>
          </w:p>
          <w:p>
            <w:pPr>
              <w:spacing w:after="100"/>
            </w:pPr>
            <w:r>
              <w:rPr>
                <w:rFonts w:ascii="IBM Plex Sans" w:cs="IBM Plex Sans" w:eastAsia="IBM Plex Sans" w:hAnsi="IBM Plex Sans"/>
                <w:b/>
                <w:bCs/>
                <w:color w:val="7C2D12"/>
                <w:sz w:val="20"/>
                <w:szCs w:val="20"/>
              </w:rPr>
              <w:t xml:space="preserve">A. Deskripsi. </w:t>
            </w:r>
            <w:r>
              <w:rPr>
                <w:rFonts w:ascii="IBM Plex Sans" w:cs="IBM Plex Sans" w:eastAsia="IBM Plex Sans" w:hAnsi="IBM Plex Sans"/>
                <w:color w:val="451A03"/>
                <w:sz w:val="20"/>
                <w:szCs w:val="20"/>
              </w:rPr>
              <w:t xml:space="preserve">Divisi Fetomaternal relevan pada bab ini karena adaptasi fisiologi maternal-fetal adalah landasan seluruh pengelolaan kehamilan risiko tinggi; Divisi Uroginekologi Rekonstruksi relevan karena anatomi dasar panggul menjadi dasar seluruh evaluasi dan tata laksana disfungsi dasar panggul.</w:t>
            </w:r>
          </w:p>
          <w:p>
            <w:pPr>
              <w:spacing w:after="100"/>
            </w:pPr>
            <w:r>
              <w:rPr>
                <w:rFonts w:ascii="IBM Plex Sans" w:cs="IBM Plex Sans" w:eastAsia="IBM Plex Sans" w:hAnsi="IBM Plex Sans"/>
                <w:b/>
                <w:bCs/>
                <w:color w:val="7C2D12"/>
                <w:sz w:val="20"/>
                <w:szCs w:val="20"/>
              </w:rPr>
              <w:t xml:space="preserve">B. Kerangka Analisis: Anatomi Fungsional sebagai Dasar Diagnosis Disfungsi Dasar Panggul. </w:t>
            </w:r>
            <w:r>
              <w:rPr>
                <w:rFonts w:ascii="IBM Plex Sans" w:cs="IBM Plex Sans" w:eastAsia="IBM Plex Sans" w:hAnsi="IBM Plex Sans"/>
                <w:color w:val="451A03"/>
                <w:sz w:val="20"/>
                <w:szCs w:val="20"/>
              </w:rPr>
              <w:t xml:space="preserve">Evaluasi disfungsi dasar panggul (pelvic floor dysfunction) — termasuk prolaps organ panggul dan inkontinensia urin — memerlukan pemahaman tiga level penyangga (levels of support) menurut kerangka DeLancey: Level I (suspensi apikal oleh ligamentum kardinal-uterosakral), Level II (perlekatan lateral oleh fasia endopelvik), dan Level III (fusi distal perineum). Kerangka anatomi ini menjadi dasar klasifikasi POP-Q (Pelvic Organ Prolapse Quantification) yang dipakai secara internasional dan konsisten dengan pendekatan struktural yang diajarkan pada Bab II buku ini.</w:t>
            </w:r>
          </w:p>
          <w:p>
            <w:pPr>
              <w:spacing w:after="100"/>
            </w:pPr>
            <w:r>
              <w:rPr>
                <w:rFonts w:ascii="IBM Plex Sans" w:cs="IBM Plex Sans" w:eastAsia="IBM Plex Sans" w:hAnsi="IBM Plex Sans"/>
                <w:b/>
                <w:bCs/>
                <w:color w:val="7C2D12"/>
                <w:sz w:val="20"/>
                <w:szCs w:val="20"/>
              </w:rPr>
              <w:t xml:space="preserve">C. Ilustrasi Kasus Lapangan. </w:t>
            </w:r>
            <w:r>
              <w:rPr>
                <w:rFonts w:ascii="IBM Plex Sans" w:cs="IBM Plex Sans" w:eastAsia="IBM Plex Sans" w:hAnsi="IBM Plex Sans"/>
                <w:color w:val="451A03"/>
                <w:sz w:val="20"/>
                <w:szCs w:val="20"/>
              </w:rPr>
              <w:t xml:space="preserve">Seorang peserta PPDS tahun II dikonsulkan kasus retensio urin pasca persalinan pervaginam dengan ekstraksi vakum. Dengan pemahaman anatomi persarafan pudenda dan mekanisme cedera regangan (stretch injury) saraf pelvis selama kala II memanjang, peserta didik mampu membedakan retensio urin neurogenik transien dari kemungkinan cedera struktural yang memerlukan evaluasi lebih lanjut — ilustrasi konkret keterkaitan anatomi dasar dengan penalaran klinis harian.</w:t>
            </w:r>
          </w:p>
        </w:tc>
      </w:tr>
    </w:tbl>
    <w:p>
      <w:pPr>
        <w:pStyle w:val="Heading1"/>
        <w:pageBreakBefore/>
        <w:spacing w:after="240"/>
      </w:pPr>
      <w:r>
        <w:rPr>
          <w:rFonts w:ascii="Source Serif 4" w:cs="Source Serif 4" w:eastAsia="Source Serif 4" w:hAnsi="Source Serif 4"/>
          <w:b/>
          <w:bCs/>
          <w:color w:val="4F46E5"/>
          <w:sz w:val="26"/>
          <w:szCs w:val="26"/>
        </w:rPr>
        <w:t xml:space="preserve">BAB III</w:t>
      </w:r>
    </w:p>
    <w:p>
      <w:pPr>
        <w:spacing w:after="320"/>
      </w:pPr>
      <w:r>
        <w:rPr>
          <w:rFonts w:ascii="Source Serif 4" w:cs="Source Serif 4" w:eastAsia="Source Serif 4" w:hAnsi="Source Serif 4"/>
          <w:b/>
          <w:bCs/>
          <w:color w:val="334155"/>
          <w:sz w:val="40"/>
          <w:szCs w:val="40"/>
        </w:rPr>
        <w:t xml:space="preserve">Farmakologi Obstetri</w:t>
      </w:r>
    </w:p>
    <w:p>
      <w:pPr>
        <w:pStyle w:val="Heading2"/>
        <w:spacing w:after="140" w:before="200"/>
      </w:pPr>
      <w:r>
        <w:rPr>
          <w:rFonts w:ascii="Source Serif 4" w:cs="Source Serif 4" w:eastAsia="Source Serif 4" w:hAnsi="Source Serif 4"/>
          <w:b/>
          <w:bCs/>
          <w:color w:val="3730A3"/>
          <w:sz w:val="26"/>
          <w:szCs w:val="26"/>
        </w:rPr>
        <w:t xml:space="preserve">3.1 Uterotonika</w:t>
      </w:r>
    </w:p>
    <w:p>
      <w:pPr>
        <w:spacing w:after="160" w:line="300"/>
      </w:pPr>
      <w:r>
        <w:rPr>
          <w:rFonts w:ascii="IBM Plex Sans" w:cs="IBM Plex Sans" w:eastAsia="IBM Plex Sans" w:hAnsi="IBM Plex Sans"/>
          <w:color w:val="1E293B"/>
          <w:sz w:val="22"/>
          <w:szCs w:val="22"/>
        </w:rPr>
        <w:t xml:space="preserve">Uterotonika adalah kelas obat yang meningkatkan kontraktilitas miometrium, digunakan untuk induksi/augmentasi persalinan, pencegahan dan tata laksana perdarahan pascasalin (postpartum hemorrhage, PPH — ICD-10 O72 / ICD-11 JB60), serta manajemen aktif kala III persalinan.</w:t>
      </w:r>
    </w:p>
    <w:p>
      <w:pPr>
        <w:spacing w:after="160" w:line="300"/>
      </w:pPr>
      <w:r>
        <w:rPr>
          <w:rFonts w:ascii="IBM Plex Sans" w:cs="IBM Plex Sans" w:eastAsia="IBM Plex Sans" w:hAnsi="IBM Plex Sans"/>
          <w:color w:val="1E293B"/>
          <w:sz w:val="22"/>
          <w:szCs w:val="22"/>
        </w:rPr>
        <w:t xml:space="preserve">Oksitosin bekerja pada reseptor oksitosin miometrium yang berpasangan dengan protein G, meningkatkan konsentrasi kalsium intraseluler melalui jalur fosfolipase C–inositol trifosfat. Oksitosin merupakan lini pertama untuk manajemen aktif kala III dan tata laksana awal PPH karena onset kerja cepat (intravena) dan profil keamanan yang baik, meskipun waktu paruhnya singkat sehingga sering diberikan sebagai infus kontinu pascabolus. Efek samping meliputi hipotensi (bila diberikan bolus cepat intravena) dan, pada dosis tinggi berkepanjangan, efek antidiuretik akibat kemiripan struktural dengan vasopresin.</w:t>
      </w:r>
    </w:p>
    <w:p>
      <w:pPr>
        <w:spacing w:after="160" w:line="300"/>
      </w:pPr>
      <w:r>
        <w:rPr>
          <w:rFonts w:ascii="IBM Plex Sans" w:cs="IBM Plex Sans" w:eastAsia="IBM Plex Sans" w:hAnsi="IBM Plex Sans"/>
          <w:color w:val="1E293B"/>
          <w:sz w:val="22"/>
          <w:szCs w:val="22"/>
        </w:rPr>
        <w:t xml:space="preserve">Ergometrin (metilergometrin) bekerja melalui reseptor alfa-adrenergik dan serotonergik pada miometrium, menghasilkan kontraksi tonik (bukan ritmik seperti oksitosin). Ergometrin dikontraindikasikan pada hipertensi dan preeklamsia karena efek vasokonstriktor sistemiknya dapat memperberat tekanan darah — kontraindikasi ini merupakan salah satu contoh paling penting keterkaitan farmakologi dengan keselamatan pasien pada praktik obstetri.</w:t>
      </w:r>
    </w:p>
    <w:p>
      <w:pPr>
        <w:spacing w:after="160" w:line="300"/>
      </w:pPr>
      <w:r>
        <w:rPr>
          <w:rFonts w:ascii="IBM Plex Sans" w:cs="IBM Plex Sans" w:eastAsia="IBM Plex Sans" w:hAnsi="IBM Plex Sans"/>
          <w:color w:val="1E293B"/>
          <w:sz w:val="22"/>
          <w:szCs w:val="22"/>
        </w:rPr>
        <w:t xml:space="preserve">Misoprostol, analog prostaglandin E1 sintetik, bekerja pada reseptor prostaglandin miometrium dan efektif untuk pencegahan maupun tata laksana PPH terutama pada fasilitas dengan keterbatasan rantai dingin (cold chain) karena stabil pada suhu ruang — sebuah keunggulan operasional penting di banyak wilayah Indonesia. Efek samping utama meliputi menggigil (shivering) dan demam transien akibat efek pada termoregulasi hipotalamus.</w:t>
      </w:r>
    </w:p>
    <w:p>
      <w:pPr>
        <w:spacing w:after="160" w:line="300"/>
      </w:pPr>
      <w:r>
        <w:rPr>
          <w:rFonts w:ascii="IBM Plex Sans" w:cs="IBM Plex Sans" w:eastAsia="IBM Plex Sans" w:hAnsi="IBM Plex Sans"/>
          <w:color w:val="1E293B"/>
          <w:sz w:val="22"/>
          <w:szCs w:val="22"/>
        </w:rPr>
        <w:t xml:space="preserve">Karbetosin, analog oksitosin kerja panjang, memberikan durasi kerja yang lebih lama dengan dosis tunggal dibandingkan oksitosin, sehingga menguntungkan pada seksio sesarea elektif untuk mengurangi kebutuhan uterotonika tambahan, dengan profil keamanan kardiovaskular yang perlu diperhatikan pada pasien dengan penyakit jantung.</w:t>
      </w:r>
    </w:p>
    <w:p>
      <w:pPr>
        <w:spacing w:after="100" w:before="120"/>
      </w:pPr>
      <w:r>
        <w:rPr>
          <w:rFonts w:ascii="Source Serif 4" w:cs="Source Serif 4" w:eastAsia="Source Serif 4" w:hAnsi="Source Serif 4"/>
          <w:b/>
          <w:bCs/>
          <w:color w:val="3730A3"/>
          <w:sz w:val="21"/>
          <w:szCs w:val="21"/>
        </w:rPr>
        <w:t xml:space="preserve">Tabel Ringkasan Uterotonika Lini Utama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67"/>
        <w:gridCol w:w="2267"/>
        <w:gridCol w:w="2267"/>
        <w:gridCol w:w="2267"/>
      </w:tblGrid>
      <w:tr>
        <w:trPr>
          <w:tblHeader/>
        </w:trPr>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Obat</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Mekanisme Utama</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Indikasi Utama</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Perhatian Khusus</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Oksitosin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Reseptor oksitosin miometrium, jalur IP3–Ca2+</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Manajemen aktif kala III; lini pertama PPH</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Hipotensi bila bolus cepat; efek antidiuretik dosis tinggi</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Ergometrin/Metilergometrin</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Reseptor alfa-adrenergik/serotonergik, kontraksi tonik</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PPH refrakter oksitosin (bila tidak ada kontraindikasi)</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Kontraindikasi pada hipertensi/preeklamsia</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Misoprostol</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Analog PGE1, reseptor prostaglandin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Pencegahan/tata laksana PPH, stabil suhu ruang</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Menggigil, demam transien</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Karbetosin</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Analog oksitosin kerja panjang</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Profilaksis PPH pada seksio sesarea elektif</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Perhatian pada penyakit kardiovaskular</w:t>
            </w:r>
          </w:p>
        </w:tc>
      </w:tr>
    </w:tbl>
    <w:p>
      <w:pPr>
        <w:spacing w:after="160"/>
      </w:pPr>
    </w:p>
    <w:p>
      <w:pPr>
        <w:pStyle w:val="Heading2"/>
        <w:spacing w:after="140" w:before="200"/>
      </w:pPr>
      <w:r>
        <w:rPr>
          <w:rFonts w:ascii="Source Serif 4" w:cs="Source Serif 4" w:eastAsia="Source Serif 4" w:hAnsi="Source Serif 4"/>
          <w:b/>
          <w:bCs/>
          <w:color w:val="3730A3"/>
          <w:sz w:val="26"/>
          <w:szCs w:val="26"/>
        </w:rPr>
        <w:t xml:space="preserve">3.2 Tokolitik</w:t>
      </w:r>
    </w:p>
    <w:p>
      <w:pPr>
        <w:spacing w:after="160" w:line="300"/>
      </w:pPr>
      <w:r>
        <w:rPr>
          <w:rFonts w:ascii="IBM Plex Sans" w:cs="IBM Plex Sans" w:eastAsia="IBM Plex Sans" w:hAnsi="IBM Plex Sans"/>
          <w:color w:val="1E293B"/>
          <w:sz w:val="22"/>
          <w:szCs w:val="22"/>
        </w:rPr>
        <w:t xml:space="preserve">Tokolitik digunakan untuk menunda persalinan preterm (ICD-10 O60 / ICD-11 JB00) sementara, memberi jendela waktu bagi pemberian kortikosteroid pematangan paru janin dan/atau rujukan ke fasilitas dengan perawatan neonatal intensif.</w:t>
      </w:r>
    </w:p>
    <w:p>
      <w:pPr>
        <w:spacing w:after="160" w:line="300"/>
      </w:pPr>
      <w:r>
        <w:rPr>
          <w:rFonts w:ascii="IBM Plex Sans" w:cs="IBM Plex Sans" w:eastAsia="IBM Plex Sans" w:hAnsi="IBM Plex Sans"/>
          <w:color w:val="1E293B"/>
          <w:sz w:val="22"/>
          <w:szCs w:val="22"/>
        </w:rPr>
        <w:t xml:space="preserve">Nifedipin, penghambat kanal kalsium (calcium channel blocker) dihidropiridin, menghambat masuknya kalsium ekstraselular ke sel otot polos miometrium melalui kanal kalsium tipe-L, sehingga menurunkan kontraktilitas. Nifedipin menjadi salah satu tokolitik lini pertama karena kemudahan pemberian oral dan profil efek samping yang relatif dapat diterima (flushing, sakit kepala, hipotensi ringan).</w:t>
      </w:r>
    </w:p>
    <w:p>
      <w:pPr>
        <w:spacing w:after="160" w:line="300"/>
      </w:pPr>
      <w:r>
        <w:rPr>
          <w:rFonts w:ascii="IBM Plex Sans" w:cs="IBM Plex Sans" w:eastAsia="IBM Plex Sans" w:hAnsi="IBM Plex Sans"/>
          <w:color w:val="1E293B"/>
          <w:sz w:val="22"/>
          <w:szCs w:val="22"/>
        </w:rPr>
        <w:t xml:space="preserve">Magnesium sulfat (MgSO4) bekerja sebagai antagonis kompetitif kalsium pada taut neuromuskular dan mengurangi pelepasan asetilkolin presinaptik, dengan efek tokolitik yang moderat; pada praktik kontemporer, indikasi utama MgSO4 dalam konteks persalinan preterm bergeser ke neuroproteksi janin (fetal neuroprotection) untuk mengurangi risiko palsi serebral, terpisah dari fungsi tokolitiknya. MgSO4 juga merupakan terapi utama pencegahan dan tata laksana kejang eklamptik (ICD-10 O15 / ICD-11 JA84) melalui mekanisme antagonis reseptor NMDA dan efek vasodilator serebral, sehingga membutuhkan pemantauan ketat refleks patela, frekuensi napas, dan produksi urin karena indeks terapi yang sempit dan risiko toksisitas (depresi napas, henti jantung pada kadar sangat tinggi).</w:t>
      </w:r>
    </w:p>
    <w:p>
      <w:pPr>
        <w:spacing w:after="160" w:line="300"/>
      </w:pPr>
      <w:r>
        <w:rPr>
          <w:rFonts w:ascii="IBM Plex Sans" w:cs="IBM Plex Sans" w:eastAsia="IBM Plex Sans" w:hAnsi="IBM Plex Sans"/>
          <w:color w:val="1E293B"/>
          <w:sz w:val="22"/>
          <w:szCs w:val="22"/>
        </w:rPr>
        <w:t xml:space="preserve">Indometasin, penghambat siklooksigenase (COX) nonselektif, menekan sintesis prostaglandin sehingga efektif sebagai tokolitik, namun penggunaannya dibatasi pada usia kehamilan di bawah 32 minggu dan durasi singkat karena risiko penutupan dini duktus arteriosus janin dan oligohidramnion akibat efek pada fungsi ginjal janin.</w:t>
      </w:r>
    </w:p>
    <w:p>
      <w:pPr>
        <w:spacing w:after="160" w:line="300"/>
      </w:pPr>
      <w:r>
        <w:rPr>
          <w:rFonts w:ascii="IBM Plex Sans" w:cs="IBM Plex Sans" w:eastAsia="IBM Plex Sans" w:hAnsi="IBM Plex Sans"/>
          <w:color w:val="1E293B"/>
          <w:sz w:val="22"/>
          <w:szCs w:val="22"/>
        </w:rPr>
        <w:t xml:space="preserve">Atosiban, antagonis reseptor oksitosin, bekerja spesifik menghambat reseptor oksitosin miometrium tanpa efek sistemik signifikan, menjadikannya pilihan dengan profil keamanan maternal yang baik meskipun ketersediaan dan biayanya menjadi pertimbangan praktis di berbagai fasilitas.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shd w:fill="3730A3" w:val="clear"/>
            <w:tcMar>
              <w:top w:type="dxa" w:w="200"/>
              <w:left w:type="dxa" w:w="240"/>
              <w:bottom w:type="dxa" w:w="200"/>
              <w:right w:type="dxa" w:w="240"/>
            </w:tcMar>
          </w:tcPr>
          <w:p>
            <w:pPr>
              <w:spacing w:after="80"/>
            </w:pPr>
            <w:r>
              <w:rPr>
                <w:rFonts w:ascii="IBM Plex Mono" w:cs="IBM Plex Mono" w:eastAsia="IBM Plex Mono" w:hAnsi="IBM Plex Mono"/>
                <w:b/>
                <w:bCs/>
                <w:color w:val="FFFFFF"/>
                <w:sz w:val="18"/>
                <w:szCs w:val="18"/>
              </w:rPr>
              <w:t xml:space="preserve">DASAR REGULASI</w:t>
            </w:r>
          </w:p>
          <w:p>
            <w:pPr>
              <w:spacing w:after="80"/>
            </w:pPr>
            <w:r>
              <w:rPr>
                <w:rFonts w:ascii="Source Serif 4" w:cs="Source Serif 4" w:eastAsia="Source Serif 4" w:hAnsi="Source Serif 4"/>
                <w:b/>
                <w:bCs/>
                <w:color w:val="FFFFFF"/>
                <w:sz w:val="22"/>
                <w:szCs w:val="22"/>
              </w:rPr>
              <w:t xml:space="preserve">Dasar Regulasi — Kaitan Farmakologi Obstetri dengan Kompetensi Prosedural</w:t>
            </w:r>
          </w:p>
          <w:p>
            <w:pPr>
              <w:spacing w:after="100"/>
            </w:pPr>
            <w:r>
              <w:rPr>
                <w:rFonts w:ascii="IBM Plex Sans" w:cs="IBM Plex Sans" w:eastAsia="IBM Plex Sans" w:hAnsi="IBM Plex Sans"/>
                <w:color w:val="FFFFFF"/>
                <w:sz w:val="20"/>
                <w:szCs w:val="20"/>
              </w:rPr>
              <w:t xml:space="preserve">Tabel 33 Kepkonsil, butir 1: "Menguasai penerapan pengetahuan asuhan antenatal &amp; prakonsepsi, termasuk stratifikasi risiko" — kriteria kinerja minimal MCQ ≥70%; OSCE ≥70%, yang menuntut dasar fisiologi kehamilan dan farmakologi profilaksis (mis. aspirin dosis rendah, kalsium).</w:t>
            </w:r>
          </w:p>
          <w:p>
            <w:pPr>
              <w:spacing w:after="100"/>
            </w:pPr>
            <w:r>
              <w:rPr>
                <w:rFonts w:ascii="IBM Plex Sans" w:cs="IBM Plex Sans" w:eastAsia="IBM Plex Sans" w:hAnsi="IBM Plex Sans"/>
                <w:color w:val="FFFFFF"/>
                <w:sz w:val="20"/>
                <w:szCs w:val="20"/>
              </w:rPr>
              <w:t xml:space="preserve">Tabel 27 Kepkonsil, butir 6, menuntut penguasaan "opsi terapi dan kontraindikasi" serta "evaluasi guideline dan interaksi" — kompetensi ini secara langsung diuji pada pemilihan tokolitik dan uterotonika yang tepat sesuai usia kehamilan dan kondisi komorbid pasien.</w:t>
            </w:r>
          </w:p>
        </w:tc>
      </w:tr>
    </w:tbl>
    <w:p>
      <w:pPr>
        <w:spacing w:after="160"/>
      </w:pPr>
    </w:p>
    <w:p>
      <w:pPr>
        <w:pStyle w:val="Heading2"/>
        <w:spacing w:after="140" w:before="200"/>
      </w:pPr>
      <w:r>
        <w:rPr>
          <w:rFonts w:ascii="Source Serif 4" w:cs="Source Serif 4" w:eastAsia="Source Serif 4" w:hAnsi="Source Serif 4"/>
          <w:b/>
          <w:bCs/>
          <w:color w:val="3730A3"/>
          <w:sz w:val="26"/>
          <w:szCs w:val="26"/>
        </w:rPr>
        <w:t xml:space="preserve">3.3 Antihipertensi dalam Kehamilan</w:t>
      </w:r>
    </w:p>
    <w:p>
      <w:pPr>
        <w:spacing w:after="160" w:line="300"/>
      </w:pPr>
      <w:r>
        <w:rPr>
          <w:rFonts w:ascii="IBM Plex Sans" w:cs="IBM Plex Sans" w:eastAsia="IBM Plex Sans" w:hAnsi="IBM Plex Sans"/>
          <w:color w:val="1E293B"/>
          <w:sz w:val="22"/>
          <w:szCs w:val="22"/>
        </w:rPr>
        <w:t xml:space="preserve">Tata laksana hipertensi dalam kehamilan (hipertensi kronik, hipertensi gestasional, preeklamsia — ICD-10 O10–O14 / ICD-11 JA80–JA83) memerlukan pemilihan agen antihipertensi yang terbukti aman bagi janin, mengingat sebagian besar penghambat enzim konversi angiotensin (ACE inhibitor) dan penghambat reseptor angiotensin (ARB) dikontraindikasikan sepanjang kehamilan akibat risiko fetopati (disgenesis ginjal janin, oligohidramnion, kematian janin).</w:t>
      </w:r>
    </w:p>
    <w:p>
      <w:pPr>
        <w:spacing w:after="160" w:line="300"/>
      </w:pPr>
      <w:r>
        <w:rPr>
          <w:rFonts w:ascii="IBM Plex Sans" w:cs="IBM Plex Sans" w:eastAsia="IBM Plex Sans" w:hAnsi="IBM Plex Sans"/>
          <w:color w:val="1E293B"/>
          <w:sz w:val="22"/>
          <w:szCs w:val="22"/>
        </w:rPr>
        <w:t xml:space="preserve">Metildopa, agonis alfa-2 adrenergik sentral, menurunkan aliran simpatis dari batang otak, memiliki rekam jejak keamanan jangka panjang terlama pada kehamilan dan sering menjadi pilihan lini pertama untuk hipertensi kronik ringan-sedang, meski onset kerjanya lambat.</w:t>
      </w:r>
    </w:p>
    <w:p>
      <w:pPr>
        <w:spacing w:after="160" w:line="300"/>
      </w:pPr>
      <w:r>
        <w:rPr>
          <w:rFonts w:ascii="IBM Plex Sans" w:cs="IBM Plex Sans" w:eastAsia="IBM Plex Sans" w:hAnsi="IBM Plex Sans"/>
          <w:color w:val="1E293B"/>
          <w:sz w:val="22"/>
          <w:szCs w:val="22"/>
        </w:rPr>
        <w:t xml:space="preserve">Nifedipin (formulasi lepas lambat) juga digunakan sebagai antihipertensi oral pada kehamilan melalui mekanisme yang sama dengan fungsinya sebagai tokolitik (blokade kanal kalsium), efektif untuk kontrol tekanan darah akut maupun pemeliharaan jangka panjang.</w:t>
      </w:r>
    </w:p>
    <w:p>
      <w:pPr>
        <w:spacing w:after="160" w:line="300"/>
      </w:pPr>
      <w:r>
        <w:rPr>
          <w:rFonts w:ascii="IBM Plex Sans" w:cs="IBM Plex Sans" w:eastAsia="IBM Plex Sans" w:hAnsi="IBM Plex Sans"/>
          <w:color w:val="1E293B"/>
          <w:sz w:val="22"/>
          <w:szCs w:val="22"/>
        </w:rPr>
        <w:t xml:space="preserve">Labetalol, penyekat kombinasi alfa dan beta-adrenergik, efektif baik secara oral untuk kontrol jangka panjang maupun intravena untuk krisis hipertensi akut pada preeklamsia berat, dengan profil keamanan janin yang baik meski memerlukan kewaspadaan pada ibu dengan asma atau gagal jantung akibat efek beta-blokade.</w:t>
      </w:r>
    </w:p>
    <w:p>
      <w:pPr>
        <w:spacing w:after="160" w:line="300"/>
      </w:pPr>
      <w:r>
        <w:rPr>
          <w:rFonts w:ascii="IBM Plex Sans" w:cs="IBM Plex Sans" w:eastAsia="IBM Plex Sans" w:hAnsi="IBM Plex Sans"/>
          <w:color w:val="1E293B"/>
          <w:sz w:val="22"/>
          <w:szCs w:val="22"/>
        </w:rPr>
        <w:t xml:space="preserve">Hidralazin, vasodilator arteriolar langsung, tetap menjadi pilihan intravena untuk krisis hipertensi akut, meski efek refleks takikardia dan sakit kepala perlu diantisipasi.</w:t>
      </w:r>
    </w:p>
    <w:p>
      <w:pPr>
        <w:spacing w:after="160" w:line="300"/>
      </w:pPr>
      <w:r>
        <w:rPr>
          <w:rFonts w:ascii="IBM Plex Sans" w:cs="IBM Plex Sans" w:eastAsia="IBM Plex Sans" w:hAnsi="IBM Plex Sans"/>
          <w:color w:val="1E293B"/>
          <w:sz w:val="22"/>
          <w:szCs w:val="22"/>
        </w:rPr>
        <w:t xml:space="preserve">Magnesium sulfat, sebagaimana dibahas pada subbab 3.2, bukan agen antihipertensi primer namun wajib diberikan pada preeklamsia berat dan eklamsia untuk pencegahan/tata laksana kejang, terpisah dari regimen kontrol tekanan darah.</w:t>
      </w:r>
    </w:p>
    <w:p>
      <w:pPr>
        <w:pStyle w:val="Heading2"/>
        <w:spacing w:after="140" w:before="200"/>
      </w:pPr>
      <w:r>
        <w:rPr>
          <w:rFonts w:ascii="Source Serif 4" w:cs="Source Serif 4" w:eastAsia="Source Serif 4" w:hAnsi="Source Serif 4"/>
          <w:b/>
          <w:bCs/>
          <w:color w:val="3730A3"/>
          <w:sz w:val="26"/>
          <w:szCs w:val="26"/>
        </w:rPr>
        <w:t xml:space="preserve">3.4 Farmakokinetik Klinis dalam Kehamilan dan Laktasi</w:t>
      </w:r>
    </w:p>
    <w:p>
      <w:pPr>
        <w:spacing w:after="160" w:line="300"/>
      </w:pPr>
      <w:r>
        <w:rPr>
          <w:rFonts w:ascii="IBM Plex Sans" w:cs="IBM Plex Sans" w:eastAsia="IBM Plex Sans" w:hAnsi="IBM Plex Sans"/>
          <w:color w:val="1E293B"/>
          <w:sz w:val="22"/>
          <w:szCs w:val="22"/>
        </w:rPr>
        <w:t xml:space="preserve">Prinsip klasifikasi keamanan obat pada kehamilan yang dahulu digunakan secara luas — kategori huruf A/B/C/D/X dari Badan Pengawas Obat dan Makanan Amerika Serikat (FDA) — telah digantikan sejak tahun 2015 oleh Pregnancy and Lactation Labeling Rule (PLLR), yang mewajibkan label obat memuat narasi risiko berbasis bukti untuk kehamilan, laktasi, dan potensi reproduksi perempuan dan laki-laki, alih-alih kategori huruf tunggal yang dianggap terlalu menyederhanakan kompleksitas risiko-manfaat. Peserta didik PPDS perlu memahami pergeseran ini agar tidak lagi mengandalkan kategori huruf usang ketika mengonsultasikan keamanan obat pada kehamilan, dan sebagai gantinya merujuk pada sumber informasi obat terkini yang memuat narasi risiko naratif.</w:t>
      </w:r>
    </w:p>
    <w:p>
      <w:pPr>
        <w:spacing w:after="160" w:line="300"/>
      </w:pPr>
      <w:r>
        <w:rPr>
          <w:rFonts w:ascii="IBM Plex Sans" w:cs="IBM Plex Sans" w:eastAsia="IBM Plex Sans" w:hAnsi="IBM Plex Sans"/>
          <w:color w:val="1E293B"/>
          <w:sz w:val="22"/>
          <w:szCs w:val="22"/>
        </w:rPr>
        <w:t xml:space="preserve">Transfer obat ke air susu ibu bergantung pada sifat fisikokimia obat (berat molekul rendah, kelarutan lemak tinggi, dan derajat ionisasi rendah pada pH fisiologis meningkatkan transfer ke ASI), rasio konsentrasi susu-plasma (milk/plasma ratio), dan waktu paruh obat pada ibu. Prinsip umum yang dapat diajarkan kepada peserta didik adalah bahwa mayoritas obat yang aman digunakan pada bayi secara langsung (mis. banyak golongan antibiotik penisilin dan sefalosporin) umumnya juga aman digunakan pada ibu menyusui, karena jumlah obat yang diterima bayi melalui ASI jauh lebih kecil dibandingkan dosis terapeutik langsung.</w:t>
      </w:r>
    </w:p>
    <w:p>
      <w:pPr>
        <w:pStyle w:val="Heading2"/>
        <w:spacing w:after="140" w:before="200"/>
      </w:pPr>
      <w:r>
        <w:rPr>
          <w:rFonts w:ascii="Source Serif 4" w:cs="Source Serif 4" w:eastAsia="Source Serif 4" w:hAnsi="Source Serif 4"/>
          <w:b/>
          <w:bCs/>
          <w:color w:val="B45309"/>
          <w:sz w:val="26"/>
          <w:szCs w:val="26"/>
        </w:rPr>
        <w:t xml:space="preserve">3.5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menuntut penguasaan "perencanaan terapi farmakologis" tanpa mencantumkan daftar obat esensial secara eksplisit dalam teks Tabel 27/33; WHO Model List of Essential Medicines edisi ke-24 (2025) mencantumkan oksitosin sebagai uterotonika lini pertama untuk pencegahan dan tata laksana PPH, dengan misoprostol sebagai alternatif pada kondisi oksitosin tidak tersedia atau tidak dapat digunakan secara aman [Ref. 1] — sejalan dengan praktik yang berlaku di Indonesia.</w:t>
      </w:r>
    </w:p>
    <w:p>
      <w:pPr>
        <w:spacing w:after="160" w:line="300"/>
      </w:pPr>
      <w:r>
        <w:rPr>
          <w:rFonts w:ascii="IBM Plex Sans" w:cs="IBM Plex Sans" w:eastAsia="IBM Plex Sans" w:hAnsi="IBM Plex Sans"/>
          <w:color w:val="1E293B"/>
          <w:sz w:val="22"/>
          <w:szCs w:val="22"/>
        </w:rPr>
        <w:t xml:space="preserve">Studi acak multisenter CHAP (Chronic Hypertension and Pregnancy), dipublikasikan di New England Journal of Medicine tahun 2022, menunjukkan bahwa terapi antihipertensi aktif pada ambang 140/90 mmHg menurunkan kejadian luaran komposit maternal-perinatal dibandingkan penundaan terapi hingga tekanan darah ≥160/105 mmHg; berdasarkan temuan ini, ACOG menerbitkan Practice Advisory yang merekomendasikan ambang mulai/titrasi terapi 140/90 mmHg untuk hipertensi kronik dalam kehamilan, menggantikan ambang 160/110 mmHg pada Practice Bulletin No. 203 (2019) sebelumnya [Ref. 2, Ref. 3]. Standar nasional (Kepkonsil) tidak merinci ambang numerik spesifik dalam tabel kompetensi dan merujuk pada protokol penatalaksanaan klinis berbasis bukti yang berlaku di Indonesia; praktik di Indonesia mengikuti standar nasional dengan mempertimbangkan pembaruan bukti internasional tersebut melalui kanal adaptasi resmi organisasi profesi (POGI).</w:t>
      </w:r>
    </w:p>
    <w:p>
      <w:pPr>
        <w:spacing w:after="160" w:line="300"/>
      </w:pPr>
      <w:r>
        <w:rPr>
          <w:rFonts w:ascii="IBM Plex Sans" w:cs="IBM Plex Sans" w:eastAsia="IBM Plex Sans" w:hAnsi="IBM Plex Sans"/>
          <w:color w:val="1E293B"/>
          <w:sz w:val="22"/>
          <w:szCs w:val="22"/>
        </w:rPr>
        <w:t xml:space="preserve">Pedoman NICE (National Institute for Health and Care Excellence, Inggris) NG25 "Preterm labour and birth" — yang menggantikan RCOG Green-top Guideline No. 1b setelah pedoman tersebut diarsipkan — merekomendasikan nifedipin sebagai tokolitik lini pertama untuk usia kehamilan 26+0 hingga 33+6 minggu, dengan antagonis reseptor oksitosin (atosiban) sebagai alternatif bila nifedipin dikontraindikasikan, dan secara eksplisit tidak merekomendasikan beta-agonis (betamimetik) sebagai tokolitik [Ref. 4]; rekomendasi ini selaras dengan penekanan Bab III buku ini pada nifedipin sebagai pilihan utama.</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single" w:color="B45309" w:sz="24"/>
              <w:left w:val="single" w:color="B45309" w:sz="4"/>
              <w:bottom w:val="single" w:color="B45309" w:sz="4"/>
              <w:right w:val="single" w:color="B45309" w:sz="4"/>
            </w:tcBorders>
            <w:shd w:fill="FEF3E2" w:val="clear"/>
            <w:tcMar>
              <w:top w:type="dxa" w:w="200"/>
              <w:left w:type="dxa" w:w="240"/>
              <w:bottom w:type="dxa" w:w="200"/>
              <w:right w:type="dxa" w:w="240"/>
            </w:tcMar>
          </w:tcPr>
          <w:p>
            <w:pPr>
              <w:spacing w:after="120"/>
            </w:pPr>
            <w:r>
              <w:rPr>
                <w:rFonts w:ascii="IBM Plex Mono" w:cs="IBM Plex Mono" w:eastAsia="IBM Plex Mono" w:hAnsi="IBM Plex Mono"/>
                <w:b/>
                <w:bCs/>
                <w:color w:val="B45309"/>
                <w:sz w:val="18"/>
                <w:szCs w:val="18"/>
              </w:rPr>
              <w:t xml:space="preserve">KONTRIBUSI DIVISI PENGAMPU</w:t>
            </w:r>
          </w:p>
          <w:p>
            <w:pPr>
              <w:spacing w:after="120"/>
            </w:pPr>
            <w:r>
              <w:rPr>
                <w:rFonts w:ascii="Source Serif 4" w:cs="Source Serif 4" w:eastAsia="Source Serif 4" w:hAnsi="Source Serif 4"/>
                <w:b/>
                <w:bCs/>
                <w:color w:val="7C2D12"/>
                <w:sz w:val="24"/>
                <w:szCs w:val="24"/>
              </w:rPr>
              <w:t xml:space="preserve">Kontribusi Divisi Pengampu — Fetomaternal</w:t>
            </w:r>
          </w:p>
          <w:p>
            <w:pPr>
              <w:spacing w:after="100"/>
            </w:pPr>
            <w:r>
              <w:rPr>
                <w:rFonts w:ascii="IBM Plex Sans" w:cs="IBM Plex Sans" w:eastAsia="IBM Plex Sans" w:hAnsi="IBM Plex Sans"/>
                <w:b/>
                <w:bCs/>
                <w:color w:val="7C2D12"/>
                <w:sz w:val="20"/>
                <w:szCs w:val="20"/>
              </w:rPr>
              <w:t xml:space="preserve">A. Deskripsi. </w:t>
            </w:r>
            <w:r>
              <w:rPr>
                <w:rFonts w:ascii="IBM Plex Sans" w:cs="IBM Plex Sans" w:eastAsia="IBM Plex Sans" w:hAnsi="IBM Plex Sans"/>
                <w:color w:val="451A03"/>
                <w:sz w:val="20"/>
                <w:szCs w:val="20"/>
              </w:rPr>
              <w:t xml:space="preserve">Divisi Fetomaternal mengampu bab ini karena farmakologi obstetri secara langsung memengaruhi keselamatan ibu dan janin secara simultan, menuntut pertimbangan risiko-manfaat ganda yang menjadi inti keahlian subspesialisasi ini.</w:t>
            </w:r>
          </w:p>
          <w:p>
            <w:pPr>
              <w:spacing w:after="100"/>
            </w:pPr>
            <w:r>
              <w:rPr>
                <w:rFonts w:ascii="IBM Plex Sans" w:cs="IBM Plex Sans" w:eastAsia="IBM Plex Sans" w:hAnsi="IBM Plex Sans"/>
                <w:b/>
                <w:bCs/>
                <w:color w:val="7C2D12"/>
                <w:sz w:val="20"/>
                <w:szCs w:val="20"/>
              </w:rPr>
              <w:t xml:space="preserve">B. Kerangka Analisis: Prinsip Farmakoterapi Berimbang Ibu-Janin. </w:t>
            </w:r>
            <w:r>
              <w:rPr>
                <w:rFonts w:ascii="IBM Plex Sans" w:cs="IBM Plex Sans" w:eastAsia="IBM Plex Sans" w:hAnsi="IBM Plex Sans"/>
                <w:color w:val="451A03"/>
                <w:sz w:val="20"/>
                <w:szCs w:val="20"/>
              </w:rPr>
              <w:t xml:space="preserve">Setiap keputusan farmakoterapi obstetri memerlukan evaluasi terhadap tiga sumbu: (1) efektivitas terhadap indikasi maternal, (2) keamanan terhadap janin pada usia kehamilan yang bersangkutan (mempertimbangkan periode kritis organogenesis versus periode pertumbuhan), dan (3) urgensi klinis yang menentukan apakah risiko menunda terapi melebihi risiko potensial obat. Kerangka ini menjelaskan mengapa MgSO4 tetap diberikan pada eklamsia meski memiliki indeks terapi sempit — risiko kejang berulang yang mengancam nyawa ibu jauh melampaui risiko toksisitas magnesium yang dapat dipantau dan dititrasi.</w:t>
            </w:r>
          </w:p>
          <w:p>
            <w:pPr>
              <w:spacing w:after="100"/>
            </w:pPr>
            <w:r>
              <w:rPr>
                <w:rFonts w:ascii="IBM Plex Sans" w:cs="IBM Plex Sans" w:eastAsia="IBM Plex Sans" w:hAnsi="IBM Plex Sans"/>
                <w:b/>
                <w:bCs/>
                <w:color w:val="7C2D12"/>
                <w:sz w:val="20"/>
                <w:szCs w:val="20"/>
              </w:rPr>
              <w:t xml:space="preserve">C. Ilustrasi Kasus Lapangan. </w:t>
            </w:r>
            <w:r>
              <w:rPr>
                <w:rFonts w:ascii="IBM Plex Sans" w:cs="IBM Plex Sans" w:eastAsia="IBM Plex Sans" w:hAnsi="IBM Plex Sans"/>
                <w:color w:val="451A03"/>
                <w:sz w:val="20"/>
                <w:szCs w:val="20"/>
              </w:rPr>
              <w:t xml:space="preserve">Seorang pasien G2P1 usia kehamilan 29 minggu datang dengan kontraksi preterm dan tekanan darah 150/95 mmHg. Peserta PPDS perlu memutuskan apakah nifedipin diberikan sebagai tokolitik, antihipertensi, atau keduanya sekaligus — dengan pemahaman bahwa nifedipin bekerja pada mekanisme yang sama untuk kedua indikasi tersebut, peserta didik dapat menyusun rencana terapi tunggal yang efisien sekaligus mewaspadai risiko hipotensi berlebihan bila dikombinasikan dengan MgSO4 (potensiasi blokade neuromuskular dan efek hipotensif aditif).</w:t>
            </w:r>
          </w:p>
        </w:tc>
      </w:tr>
    </w:tbl>
    <w:p>
      <w:pPr>
        <w:pStyle w:val="Heading1"/>
        <w:pageBreakBefore/>
        <w:spacing w:after="240"/>
      </w:pPr>
      <w:r>
        <w:rPr>
          <w:rFonts w:ascii="Source Serif 4" w:cs="Source Serif 4" w:eastAsia="Source Serif 4" w:hAnsi="Source Serif 4"/>
          <w:b/>
          <w:bCs/>
          <w:color w:val="4F46E5"/>
          <w:sz w:val="26"/>
          <w:szCs w:val="26"/>
        </w:rPr>
        <w:t xml:space="preserve">BAB IV</w:t>
      </w:r>
    </w:p>
    <w:p>
      <w:pPr>
        <w:spacing w:after="320"/>
      </w:pPr>
      <w:r>
        <w:rPr>
          <w:rFonts w:ascii="Source Serif 4" w:cs="Source Serif 4" w:eastAsia="Source Serif 4" w:hAnsi="Source Serif 4"/>
          <w:b/>
          <w:bCs/>
          <w:color w:val="334155"/>
          <w:sz w:val="40"/>
          <w:szCs w:val="40"/>
        </w:rPr>
        <w:t xml:space="preserve">Farmakologi Ginekologi</w:t>
      </w:r>
    </w:p>
    <w:p>
      <w:pPr>
        <w:pStyle w:val="Heading2"/>
        <w:spacing w:after="140" w:before="200"/>
      </w:pPr>
      <w:r>
        <w:rPr>
          <w:rFonts w:ascii="Source Serif 4" w:cs="Source Serif 4" w:eastAsia="Source Serif 4" w:hAnsi="Source Serif 4"/>
          <w:b/>
          <w:bCs/>
          <w:color w:val="3730A3"/>
          <w:sz w:val="26"/>
          <w:szCs w:val="26"/>
        </w:rPr>
        <w:t xml:space="preserve">4.1 Farmakologi Hormonal</w:t>
      </w:r>
    </w:p>
    <w:p>
      <w:pPr>
        <w:spacing w:after="160" w:line="300"/>
      </w:pPr>
      <w:r>
        <w:rPr>
          <w:rFonts w:ascii="IBM Plex Sans" w:cs="IBM Plex Sans" w:eastAsia="IBM Plex Sans" w:hAnsi="IBM Plex Sans"/>
          <w:color w:val="1E293B"/>
          <w:sz w:val="22"/>
          <w:szCs w:val="22"/>
        </w:rPr>
        <w:t xml:space="preserve">Kontrasepsi hormonal kombinasi (estrogen-progestin) bekerja melalui supresi aksis HPO — menghambat lonjakan LH sehingga mencegah ovulasi, disertai efek tambahan penebalan mukus serviks dan penipisan endometrium. Kontrasepsi progestin-only bekerja terutama melalui penebalan mukus serviks dan, pada dosis tertentu, supresi ovulasi parsial, menjadikannya pilihan pada pasien dengan kontraindikasi estrogen (mis. riwayat tromboemboli vena, migrain dengan aura).</w:t>
      </w:r>
    </w:p>
    <w:p>
      <w:pPr>
        <w:spacing w:after="160" w:line="300"/>
      </w:pPr>
      <w:r>
        <w:rPr>
          <w:rFonts w:ascii="IBM Plex Sans" w:cs="IBM Plex Sans" w:eastAsia="IBM Plex Sans" w:hAnsi="IBM Plex Sans"/>
          <w:color w:val="1E293B"/>
          <w:sz w:val="22"/>
          <w:szCs w:val="22"/>
        </w:rPr>
        <w:t xml:space="preserve">Terapi hormon menopause (menopausal hormone therapy, MHT) menggunakan estrogen dengan atau tanpa progestin (pada wanita dengan uterus intak, progestin wajib ditambahkan untuk proteksi endometrium terhadap risiko hiperplasia/karsinoma endometrium akibat estrogen tanpa lawan/"unopposed estrogen") untuk mengatasi gejala vasomotor dan genitourinari menopause, dengan pertimbangan risiko-manfaat individual terkait usia mulai terapi dan riwayat kardiovaskular.</w:t>
      </w:r>
    </w:p>
    <w:p>
      <w:pPr>
        <w:spacing w:after="160" w:line="300"/>
      </w:pPr>
      <w:r>
        <w:rPr>
          <w:rFonts w:ascii="IBM Plex Sans" w:cs="IBM Plex Sans" w:eastAsia="IBM Plex Sans" w:hAnsi="IBM Plex Sans"/>
          <w:color w:val="1E293B"/>
          <w:sz w:val="22"/>
          <w:szCs w:val="22"/>
        </w:rPr>
        <w:t xml:space="preserve">Agonis GnRH (mis. leuprorelin) menyebabkan supresi hipofisis melalui desensitisasi reseptor setelah fase flare awal, digunakan pada endometriosis, mioma uteri simtomatik, dan sebagai bagian protokol stimulasi ovarium terkontrol pada fertilisasi in vitro. Antagonis GnRH (mis. ganirelix, elagolix) bekerja melalui blokade reseptor kompetitif tanpa fase flare, memberikan onset supresi yang lebih cepat dan reversibilitas yang lebih mudah dititrasi.</w:t>
      </w:r>
    </w:p>
    <w:p>
      <w:pPr>
        <w:pStyle w:val="Heading2"/>
        <w:spacing w:after="140" w:before="200"/>
      </w:pPr>
      <w:r>
        <w:rPr>
          <w:rFonts w:ascii="Source Serif 4" w:cs="Source Serif 4" w:eastAsia="Source Serif 4" w:hAnsi="Source Serif 4"/>
          <w:b/>
          <w:bCs/>
          <w:color w:val="3730A3"/>
          <w:sz w:val="26"/>
          <w:szCs w:val="26"/>
        </w:rPr>
        <w:t xml:space="preserve">4.2 Antibiotik dalam Praktik Ginekologi</w:t>
      </w:r>
    </w:p>
    <w:p>
      <w:pPr>
        <w:spacing w:after="160" w:line="300"/>
      </w:pPr>
      <w:r>
        <w:rPr>
          <w:rFonts w:ascii="IBM Plex Sans" w:cs="IBM Plex Sans" w:eastAsia="IBM Plex Sans" w:hAnsi="IBM Plex Sans"/>
          <w:color w:val="1E293B"/>
          <w:sz w:val="22"/>
          <w:szCs w:val="22"/>
        </w:rPr>
        <w:t xml:space="preserve">Penyakit radang panggul (pelvic inflammatory disease, PID — ICD-10 N70–N73 / ICD-11 GA10–GA13) memerlukan terapi antibiotik empiris spektrum luas yang mencakup Neisseria gonorrhoeae, Chlamydia trachomatis, dan organisme anaerob/fakultatif saluran genital, mengikuti prinsip terapi kombinasi karena etiologi polimikrobial yang lazim ditemukan.</w:t>
      </w:r>
    </w:p>
    <w:p>
      <w:pPr>
        <w:spacing w:after="160" w:line="300"/>
      </w:pPr>
      <w:r>
        <w:rPr>
          <w:rFonts w:ascii="IBM Plex Sans" w:cs="IBM Plex Sans" w:eastAsia="IBM Plex Sans" w:hAnsi="IBM Plex Sans"/>
          <w:color w:val="1E293B"/>
          <w:sz w:val="22"/>
          <w:szCs w:val="22"/>
        </w:rPr>
        <w:t xml:space="preserve">Profilaksis antibiotik perioperatif pada prosedur ginekologi (histerektomi, seksio sesarea) bertujuan menurunkan risiko infeksi luka operasi dengan pemberian dosis tunggal sefalosporin generasi pertama (atau alternatif sesuai riwayat alergi) dalam jendela waktu 60 menit sebelum insisi, sebuah prinsip farmakokinetik-farmakodinamik yang memastikan kadar puncak antibiotik jaringan tercapai saat kontaminasi bakteri paling mungkin terjadi.</w:t>
      </w:r>
    </w:p>
    <w:p>
      <w:pPr>
        <w:spacing w:after="160" w:line="300"/>
      </w:pPr>
      <w:r>
        <w:rPr>
          <w:rFonts w:ascii="IBM Plex Sans" w:cs="IBM Plex Sans" w:eastAsia="IBM Plex Sans" w:hAnsi="IBM Plex Sans"/>
          <w:color w:val="1E293B"/>
          <w:sz w:val="22"/>
          <w:szCs w:val="22"/>
        </w:rPr>
        <w:t xml:space="preserve">Infeksi saluran kemih (ISK) pada populasi ginekologi, termasuk ISK berulang pascaoperasi uroginekologi, memerlukan pertimbangan pola resistensi lokal dan durasi terapi yang disesuaikan dengan kompleksitas infeksi (sederhana versus rumit/complicated).</w:t>
      </w:r>
    </w:p>
    <w:p>
      <w:pPr>
        <w:pStyle w:val="Heading2"/>
        <w:spacing w:after="140" w:before="200"/>
      </w:pPr>
      <w:r>
        <w:rPr>
          <w:rFonts w:ascii="Source Serif 4" w:cs="Source Serif 4" w:eastAsia="Source Serif 4" w:hAnsi="Source Serif 4"/>
          <w:b/>
          <w:bCs/>
          <w:color w:val="3730A3"/>
          <w:sz w:val="26"/>
          <w:szCs w:val="26"/>
        </w:rPr>
        <w:t xml:space="preserve">4.3 Prinsip Dasar Kemoterapi dalam Onkologi Ginekologi</w:t>
      </w:r>
    </w:p>
    <w:p>
      <w:pPr>
        <w:spacing w:after="160" w:line="300"/>
      </w:pPr>
      <w:r>
        <w:rPr>
          <w:rFonts w:ascii="IBM Plex Sans" w:cs="IBM Plex Sans" w:eastAsia="IBM Plex Sans" w:hAnsi="IBM Plex Sans"/>
          <w:color w:val="1E293B"/>
          <w:sz w:val="22"/>
          <w:szCs w:val="22"/>
        </w:rPr>
        <w:t xml:space="preserve">Kemoterapi berbasis platinum (karboplatin, sisplatin) merupakan tulang punggung terapi sistemik kanker ovarium (ICD-10 C56 / ICD-11 2C73) dan kanker endometrium stadium lanjut, bekerja melalui pembentukan ikatan silang DNA (DNA cross-linking) yang menghambat replikasi sel kanker. Kombinasi platinum dengan taxane (paklitaksel) menjadi regimen standar lini pertama pada kanker ovarium epitelial stadium lanjut.</w:t>
      </w:r>
    </w:p>
    <w:p>
      <w:pPr>
        <w:spacing w:after="160" w:line="300"/>
      </w:pPr>
      <w:r>
        <w:rPr>
          <w:rFonts w:ascii="IBM Plex Sans" w:cs="IBM Plex Sans" w:eastAsia="IBM Plex Sans" w:hAnsi="IBM Plex Sans"/>
          <w:color w:val="1E293B"/>
          <w:sz w:val="22"/>
          <w:szCs w:val="22"/>
        </w:rPr>
        <w:t xml:space="preserve">Kanker serviks (ICD-10 C53 / ICD-11 2C77) stadium lokal lanjut ditata laksana dengan kemoradiasi bersamaan (concurrent chemoradiation), umumnya sisplatin dosis rendah mingguan sebagai radiosensitizer, bekerja meningkatkan efektivitas radioterapi melalui penghambatan perbaikan DNA sel kanker yang mengalami kerusakan akibat radiasi.</w:t>
      </w:r>
    </w:p>
    <w:p>
      <w:pPr>
        <w:spacing w:after="160" w:line="300"/>
      </w:pPr>
      <w:r>
        <w:rPr>
          <w:rFonts w:ascii="IBM Plex Sans" w:cs="IBM Plex Sans" w:eastAsia="IBM Plex Sans" w:hAnsi="IBM Plex Sans"/>
          <w:color w:val="1E293B"/>
          <w:sz w:val="22"/>
          <w:szCs w:val="22"/>
        </w:rPr>
        <w:t xml:space="preserve">Prinsip dasar toksisitas kemoterapi — mielosupresi, nefrotoksisitas (khususnya sisplatin), neuropati perifer (khususnya taxane), dan risiko reaksi hipersensitivitas — perlu dipahami peserta didik PPDS tahun I-II sebagai dasar pengenalan kegawatdaruratan onkologi, meskipun keputusan penuh regimen kemoterapi merupakan kewenangan subspesialis Onkologi Ginekologi.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shd w:fill="3730A3" w:val="clear"/>
            <w:tcMar>
              <w:top w:type="dxa" w:w="200"/>
              <w:left w:type="dxa" w:w="240"/>
              <w:bottom w:type="dxa" w:w="200"/>
              <w:right w:type="dxa" w:w="240"/>
            </w:tcMar>
          </w:tcPr>
          <w:p>
            <w:pPr>
              <w:spacing w:after="80"/>
            </w:pPr>
            <w:r>
              <w:rPr>
                <w:rFonts w:ascii="IBM Plex Mono" w:cs="IBM Plex Mono" w:eastAsia="IBM Plex Mono" w:hAnsi="IBM Plex Mono"/>
                <w:b/>
                <w:bCs/>
                <w:color w:val="FFFFFF"/>
                <w:sz w:val="18"/>
                <w:szCs w:val="18"/>
              </w:rPr>
              <w:t xml:space="preserve">DASAR REGULASI</w:t>
            </w:r>
          </w:p>
          <w:p>
            <w:pPr>
              <w:spacing w:after="80"/>
            </w:pPr>
            <w:r>
              <w:rPr>
                <w:rFonts w:ascii="Source Serif 4" w:cs="Source Serif 4" w:eastAsia="Source Serif 4" w:hAnsi="Source Serif 4"/>
                <w:b/>
                <w:bCs/>
                <w:color w:val="FFFFFF"/>
                <w:sz w:val="22"/>
                <w:szCs w:val="22"/>
              </w:rPr>
              <w:t xml:space="preserve">Dasar Regulasi — Batas Kewenangan Farmakoterapi Onkologi</w:t>
            </w:r>
          </w:p>
          <w:p>
            <w:pPr>
              <w:spacing w:after="100"/>
            </w:pPr>
            <w:r>
              <w:rPr>
                <w:rFonts w:ascii="IBM Plex Sans" w:cs="IBM Plex Sans" w:eastAsia="IBM Plex Sans" w:hAnsi="IBM Plex Sans"/>
                <w:color w:val="FFFFFF"/>
                <w:sz w:val="20"/>
                <w:szCs w:val="20"/>
              </w:rPr>
              <w:t xml:space="preserve">Kepkonsil, bagian Ketentuan Umum butir 20, mendefinisikan Dokter Spesialis Obstetri dan Ginekologi Subspesialis Onkologi Ginekologi (atau Konsultan Onkologi Ginekologi) sebagai dokter dengan kualifikasi lanjutan yang mampu secara mandiri melakukan penatalaksanaan komprehensif keganasan sistem reproduksi perempuan — mencakup bedah onkologi, kemoterapi, terapi multimodal, terapi terarah, dan imunoterapi — pada seluruh spektrum kompleksitas termasuk kasus refrakter atau jarang. Berdasarkan pembagian kewenangan ini, penguasaan yang dituntut Tabel 27 Kepkonsil bagi PPDS tahun I-II dan spesialis umum terbatas pada pemahaman prinsip dasar, pengenalan toksisitas akut, dan kapan merujuk — bukan penyusunan regimen kemoterapi definitif, yang merupakan kewenangan subspesialis di atas.</w:t>
            </w:r>
          </w:p>
        </w:tc>
      </w:tr>
    </w:tbl>
    <w:p>
      <w:pPr>
        <w:spacing w:after="160"/>
      </w:pPr>
    </w:p>
    <w:p>
      <w:pPr>
        <w:pStyle w:val="Heading2"/>
        <w:spacing w:after="140" w:before="200"/>
      </w:pPr>
      <w:r>
        <w:rPr>
          <w:rFonts w:ascii="Source Serif 4" w:cs="Source Serif 4" w:eastAsia="Source Serif 4" w:hAnsi="Source Serif 4"/>
          <w:b/>
          <w:bCs/>
          <w:color w:val="3730A3"/>
          <w:sz w:val="26"/>
          <w:szCs w:val="26"/>
        </w:rPr>
        <w:t xml:space="preserve">4.4 Kontrasepsi Non-Hormonal</w:t>
      </w:r>
    </w:p>
    <w:p>
      <w:pPr>
        <w:spacing w:after="160" w:line="300"/>
      </w:pPr>
      <w:r>
        <w:rPr>
          <w:rFonts w:ascii="IBM Plex Sans" w:cs="IBM Plex Sans" w:eastAsia="IBM Plex Sans" w:hAnsi="IBM Plex Sans"/>
          <w:color w:val="1E293B"/>
          <w:sz w:val="22"/>
          <w:szCs w:val="22"/>
        </w:rPr>
        <w:t xml:space="preserve">Alat kontrasepsi dalam rahim tembaga (copper intrauterine device, Cu-IUD) bekerja terutama melalui efek toksik lokal ion tembaga terhadap sperma dan ovum, menimbulkan reaksi inflamasi steril intrauterin yang menghambat fertilisasi dan implantasi, tanpa mekanisme hormonal. Cu-IUD memiliki keunggulan sebagai metode kontrasepsi jangka panjang non-hormonal dengan angka kegagalan sangat rendah dan reversibilitas cepat pascapelepasan, menjadikannya pilihan penting bagi pasien dengan kontraindikasi absolut terhadap estrogen maupun progestin.</w:t>
      </w:r>
    </w:p>
    <w:p>
      <w:pPr>
        <w:spacing w:after="160" w:line="300"/>
      </w:pPr>
      <w:r>
        <w:rPr>
          <w:rFonts w:ascii="IBM Plex Sans" w:cs="IBM Plex Sans" w:eastAsia="IBM Plex Sans" w:hAnsi="IBM Plex Sans"/>
          <w:color w:val="1E293B"/>
          <w:sz w:val="22"/>
          <w:szCs w:val="22"/>
        </w:rPr>
        <w:t xml:space="preserve">Metode barier (kondom pria dan wanita, diafragma) bekerja secara mekanis mencegah pertemuan sperma dan ovum, dengan keunggulan tambahan berupa proteksi terhadap penularan infeksi menular seksual — sebuah manfaat yang tidak dimiliki metode kontrasepsi hormonal maupun Cu-IUD, sehingga edukasi kontrasepsi komprehensif perlu mencakup diskusi mengenai perlindungan ganda (dual protection) pada populasi berisiko IMS.</w:t>
      </w:r>
    </w:p>
    <w:p>
      <w:pPr>
        <w:pStyle w:val="Heading2"/>
        <w:spacing w:after="140" w:before="200"/>
      </w:pPr>
      <w:r>
        <w:rPr>
          <w:rFonts w:ascii="Source Serif 4" w:cs="Source Serif 4" w:eastAsia="Source Serif 4" w:hAnsi="Source Serif 4"/>
          <w:b/>
          <w:bCs/>
          <w:color w:val="B45309"/>
          <w:sz w:val="26"/>
          <w:szCs w:val="26"/>
        </w:rPr>
        <w:t xml:space="preserve">4.5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tidak merinci regimen kemoterapi spesifik dalam tabel kompetensi, menyerahkan detail teknis pada protokol penatalaksanaan klinis berbasis bukti nasional; konsensus ESGO–ESMO–ESP (European Society of Gynaecological Oncology, European Society for Medical Oncology, European Society of Pathology) tahun 2023 dan Pedoman Praktik Klinis ESMO untuk kanker ovarium epitelial merekomendasikan kombinasi paklitaksel-karboplatin (paklitaksel 175 mg/m² dan karboplatin AUC 5–6, enam siklus setiap tiga minggu) sebagai regimen lini pertama standar untuk kanker ovarium epitelial stadium lanjut, dengan regimen mingguan dosis lebih rendah sebagai alternatif pada pasien lanjut usia/rapuh (frail) [Ref. 9, Ref. 10] — praktik di Indonesia mengikuti standar nasional yang secara prinsip selaras dengan regimen ini melalui pedoman Himpunan Onkologi Ginekologi Indonesia (HOGI).</w:t>
      </w:r>
    </w:p>
    <w:p>
      <w:pPr>
        <w:spacing w:after="160" w:line="300"/>
      </w:pPr>
      <w:r>
        <w:rPr>
          <w:rFonts w:ascii="IBM Plex Sans" w:cs="IBM Plex Sans" w:eastAsia="IBM Plex Sans" w:hAnsi="IBM Plex Sans"/>
          <w:color w:val="1E293B"/>
          <w:sz w:val="22"/>
          <w:szCs w:val="22"/>
        </w:rPr>
        <w:t xml:space="preserve">Pedoman CDC (Centers for Disease Control and Prevention, Amerika Serikat) Sexually Transmitted Infections Treatment Guidelines edisi 2021 merekomendasikan regimen kombinasi seftriakson 500 mg intramuskular dosis tunggal, doksisiklin 100 mg oral dua kali sehari, dan metronidazol 500 mg oral dua kali sehari selama 14 hari sebagai terapi rawat jalan lini pertama PID, dengan penambahan metronidazol dibanding pedoman 2015 sebelumnya untuk cakupan organisme anaerob yang lebih baik [Ref. 6]; standar nasional (Kepkonsil) merujuk pada protokol nasional yang secara prinsip selaras dengan pendekatan spektrum luas serupa — praktik di Indonesia mengikuti standar nasional dengan mempertimbangkan pola resistensi antimikroba lokal.</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single" w:color="B45309" w:sz="24"/>
              <w:left w:val="single" w:color="B45309" w:sz="4"/>
              <w:bottom w:val="single" w:color="B45309" w:sz="4"/>
              <w:right w:val="single" w:color="B45309" w:sz="4"/>
            </w:tcBorders>
            <w:shd w:fill="FEF3E2" w:val="clear"/>
            <w:tcMar>
              <w:top w:type="dxa" w:w="200"/>
              <w:left w:type="dxa" w:w="240"/>
              <w:bottom w:type="dxa" w:w="200"/>
              <w:right w:type="dxa" w:w="240"/>
            </w:tcMar>
          </w:tcPr>
          <w:p>
            <w:pPr>
              <w:spacing w:after="120"/>
            </w:pPr>
            <w:r>
              <w:rPr>
                <w:rFonts w:ascii="IBM Plex Mono" w:cs="IBM Plex Mono" w:eastAsia="IBM Plex Mono" w:hAnsi="IBM Plex Mono"/>
                <w:b/>
                <w:bCs/>
                <w:color w:val="B45309"/>
                <w:sz w:val="18"/>
                <w:szCs w:val="18"/>
              </w:rPr>
              <w:t xml:space="preserve">KONTRIBUSI DIVISI PENGAMPU</w:t>
            </w:r>
          </w:p>
          <w:p>
            <w:pPr>
              <w:spacing w:after="120"/>
            </w:pPr>
            <w:r>
              <w:rPr>
                <w:rFonts w:ascii="Source Serif 4" w:cs="Source Serif 4" w:eastAsia="Source Serif 4" w:hAnsi="Source Serif 4"/>
                <w:b/>
                <w:bCs/>
                <w:color w:val="7C2D12"/>
                <w:sz w:val="24"/>
                <w:szCs w:val="24"/>
              </w:rPr>
              <w:t xml:space="preserve">Kontribusi Divisi Pengampu — Fertilitas-Endokrinologi Reproduksi dan Onkologi Ginekologi</w:t>
            </w:r>
          </w:p>
          <w:p>
            <w:pPr>
              <w:spacing w:after="100"/>
            </w:pPr>
            <w:r>
              <w:rPr>
                <w:rFonts w:ascii="IBM Plex Sans" w:cs="IBM Plex Sans" w:eastAsia="IBM Plex Sans" w:hAnsi="IBM Plex Sans"/>
                <w:b/>
                <w:bCs/>
                <w:color w:val="7C2D12"/>
                <w:sz w:val="20"/>
                <w:szCs w:val="20"/>
              </w:rPr>
              <w:t xml:space="preserve">A. Deskripsi. </w:t>
            </w:r>
            <w:r>
              <w:rPr>
                <w:rFonts w:ascii="IBM Plex Sans" w:cs="IBM Plex Sans" w:eastAsia="IBM Plex Sans" w:hAnsi="IBM Plex Sans"/>
                <w:color w:val="451A03"/>
                <w:sz w:val="20"/>
                <w:szCs w:val="20"/>
              </w:rPr>
              <w:t xml:space="preserve">Divisi Fertilitas dan Endokrinologi Reproduksi mengampu materi farmakologi hormonal karena keterkaitannya langsung dengan modulasi aksis reproduksi; Divisi Onkologi Ginekologi mengampu prinsip dasar kemoterapi karena kewenangan definitifnya atas tata laksana kanker ginekologi.</w:t>
            </w:r>
          </w:p>
          <w:p>
            <w:pPr>
              <w:spacing w:after="100"/>
            </w:pPr>
            <w:r>
              <w:rPr>
                <w:rFonts w:ascii="IBM Plex Sans" w:cs="IBM Plex Sans" w:eastAsia="IBM Plex Sans" w:hAnsi="IBM Plex Sans"/>
                <w:b/>
                <w:bCs/>
                <w:color w:val="7C2D12"/>
                <w:sz w:val="20"/>
                <w:szCs w:val="20"/>
              </w:rPr>
              <w:t xml:space="preserve">B. Kerangka Analisis: Titik Kendali Farmakologis pada Aksis HPO sebagai Basis Terapi Hormonal. </w:t>
            </w:r>
            <w:r>
              <w:rPr>
                <w:rFonts w:ascii="IBM Plex Sans" w:cs="IBM Plex Sans" w:eastAsia="IBM Plex Sans" w:hAnsi="IBM Plex Sans"/>
                <w:color w:val="451A03"/>
                <w:sz w:val="20"/>
                <w:szCs w:val="20"/>
              </w:rPr>
              <w:t xml:space="preserve">Seluruh farmakoterapi hormonal ginekologi dapat dipetakan pada satu atau lebih titik kendali aksis HPO: kendali di tingkat hipotalamus (agonis/antagonis GnRH), tingkat hipofisis (efek umpan balik negatif estrogen-progestin eksogen terhadap FSH/LH), atau tingkat organ target (efek langsung pada endometrium, epitel serviks, atau jaringan payudara). Kerangka pemetaan ini memudahkan peserta didik mengingat mekanisme kerja puluhan sediaan hormonal tanpa perlu menghafal masing-masing secara terpisah.</w:t>
            </w:r>
          </w:p>
          <w:p>
            <w:pPr>
              <w:spacing w:after="100"/>
            </w:pPr>
            <w:r>
              <w:rPr>
                <w:rFonts w:ascii="IBM Plex Sans" w:cs="IBM Plex Sans" w:eastAsia="IBM Plex Sans" w:hAnsi="IBM Plex Sans"/>
                <w:b/>
                <w:bCs/>
                <w:color w:val="7C2D12"/>
                <w:sz w:val="20"/>
                <w:szCs w:val="20"/>
              </w:rPr>
              <w:t xml:space="preserve">C. Ilustrasi Kasus Lapangan. </w:t>
            </w:r>
            <w:r>
              <w:rPr>
                <w:rFonts w:ascii="IBM Plex Sans" w:cs="IBM Plex Sans" w:eastAsia="IBM Plex Sans" w:hAnsi="IBM Plex Sans"/>
                <w:color w:val="451A03"/>
                <w:sz w:val="20"/>
                <w:szCs w:val="20"/>
              </w:rPr>
              <w:t xml:space="preserve">Seorang pasien dengan endometriosis simtomatik berat direncanakan terapi agonis GnRH sebelum tindakan bedah konservatif. Peserta PPDS perlu menjelaskan kepada pasien mengenai fase "flare" awal (perburukan gejala sementara sebelum perbaikan) akibat lonjakan estrogen transien pascapemberian dosis pertama — pemahaman farmakodinamik ini penting untuk konseling pasien yang tepat dan mencegah penghentian terapi dini akibat kesalahpahaman.</w:t>
            </w:r>
          </w:p>
        </w:tc>
      </w:tr>
    </w:tbl>
    <w:p>
      <w:pPr>
        <w:pStyle w:val="Heading1"/>
        <w:pageBreakBefore/>
        <w:spacing w:after="240"/>
      </w:pPr>
      <w:r>
        <w:rPr>
          <w:rFonts w:ascii="Source Serif 4" w:cs="Source Serif 4" w:eastAsia="Source Serif 4" w:hAnsi="Source Serif 4"/>
          <w:b/>
          <w:bCs/>
          <w:color w:val="4F46E5"/>
          <w:sz w:val="26"/>
          <w:szCs w:val="26"/>
        </w:rPr>
        <w:t xml:space="preserve">BAB V</w:t>
      </w:r>
    </w:p>
    <w:p>
      <w:pPr>
        <w:spacing w:after="320"/>
      </w:pPr>
      <w:r>
        <w:rPr>
          <w:rFonts w:ascii="Source Serif 4" w:cs="Source Serif 4" w:eastAsia="Source Serif 4" w:hAnsi="Source Serif 4"/>
          <w:b/>
          <w:bCs/>
          <w:color w:val="334155"/>
          <w:sz w:val="40"/>
          <w:szCs w:val="40"/>
        </w:rPr>
        <w:t xml:space="preserve">Ilmu Dasar Penunjang: Patologi, Mikrobiologi, dan Genetika Reproduksi</w:t>
      </w:r>
    </w:p>
    <w:p>
      <w:pPr>
        <w:pStyle w:val="Heading2"/>
        <w:spacing w:after="140" w:before="200"/>
      </w:pPr>
      <w:r>
        <w:rPr>
          <w:rFonts w:ascii="Source Serif 4" w:cs="Source Serif 4" w:eastAsia="Source Serif 4" w:hAnsi="Source Serif 4"/>
          <w:b/>
          <w:bCs/>
          <w:color w:val="3730A3"/>
          <w:sz w:val="26"/>
          <w:szCs w:val="26"/>
        </w:rPr>
        <w:t xml:space="preserve">5.1 Patologi Terapan Obstetri dan Ginekologi</w:t>
      </w:r>
    </w:p>
    <w:p>
      <w:pPr>
        <w:spacing w:after="160" w:line="300"/>
      </w:pPr>
      <w:r>
        <w:rPr>
          <w:rFonts w:ascii="IBM Plex Sans" w:cs="IBM Plex Sans" w:eastAsia="IBM Plex Sans" w:hAnsi="IBM Plex Sans"/>
          <w:color w:val="1E293B"/>
          <w:sz w:val="22"/>
          <w:szCs w:val="22"/>
        </w:rPr>
        <w:t xml:space="preserve">Patologi plasenta menjadi dasar pemahaman berbagai komplikasi kehamilan. Pada preeklamsia, patogenesis melibatkan invasi trofoblas yang inadekuat pada arteri spiralis desidua pada trimester pertama, menyebabkan arteri spiralis gagal mengalami remodeling menjadi pembuluh berdiameter besar bertekanan rendah, sehingga terjadi hipoperfusi plasenta relatif yang memicu pelepasan faktor antiangiogenik (mis. soluble fms-like tyrosine kinase-1/sFlt-1) ke sirkulasi maternal, menimbulkan disfungsi endotel sistemik yang mendasari manifestasi klinis hipertensi, proteinuria, dan keterlibatan multiorgan.</w:t>
      </w:r>
    </w:p>
    <w:p>
      <w:pPr>
        <w:spacing w:after="160" w:line="300"/>
      </w:pPr>
      <w:r>
        <w:rPr>
          <w:rFonts w:ascii="IBM Plex Sans" w:cs="IBM Plex Sans" w:eastAsia="IBM Plex Sans" w:hAnsi="IBM Plex Sans"/>
          <w:color w:val="1E293B"/>
          <w:sz w:val="22"/>
          <w:szCs w:val="22"/>
        </w:rPr>
        <w:t xml:space="preserve">Patologi neoplasia ginekologi dasar mencakup pemahaman spektrum lesi prakanker serviks (cervical intraepithelial neoplasia, CIN) yang berkaitan erat dengan infeksi human papillomavirus (HPV) onkogenik persisten, terutama tipe 16 dan 18, melalui mekanisme inaktivasi protein supresor tumor p53 dan Rb oleh onkoprotein virus E6 dan E7. Pemahaman ini menjadi dasar rasional skrining sitologi serviks (Pap smear) dan tes HPV, serta strategi vaksinasi HPV sebagai pencegahan primer.</w:t>
      </w:r>
    </w:p>
    <w:p>
      <w:pPr>
        <w:pStyle w:val="Heading2"/>
        <w:spacing w:after="140" w:before="200"/>
      </w:pPr>
      <w:r>
        <w:rPr>
          <w:rFonts w:ascii="Source Serif 4" w:cs="Source Serif 4" w:eastAsia="Source Serif 4" w:hAnsi="Source Serif 4"/>
          <w:b/>
          <w:bCs/>
          <w:color w:val="3730A3"/>
          <w:sz w:val="26"/>
          <w:szCs w:val="26"/>
        </w:rPr>
        <w:t xml:space="preserve">5.2 Mikrobiologi Reproduksi</w:t>
      </w:r>
    </w:p>
    <w:p>
      <w:pPr>
        <w:spacing w:after="160" w:line="300"/>
      </w:pPr>
      <w:r>
        <w:rPr>
          <w:rFonts w:ascii="IBM Plex Sans" w:cs="IBM Plex Sans" w:eastAsia="IBM Plex Sans" w:hAnsi="IBM Plex Sans"/>
          <w:color w:val="1E293B"/>
          <w:sz w:val="22"/>
          <w:szCs w:val="22"/>
        </w:rPr>
        <w:t xml:space="preserve">Flora vagina normal didominasi Lactobacillus spp. yang mempertahankan pH vagina asam (sekitar 3,8–4,5) melalui produksi asam laktat, menciptakan lingkungan yang menghambat pertumbuhan berlebih organisme patogen. Vaginosis bakterial terjadi akibat pergeseran ekosistem ini menuju dominasi organisme anaerob (mis. Gardnerella vaginalis, Prevotella spp.) disertai peningkatan pH vagina di atas 4,5.</w:t>
      </w:r>
    </w:p>
    <w:p>
      <w:pPr>
        <w:spacing w:after="160" w:line="300"/>
      </w:pPr>
      <w:r>
        <w:rPr>
          <w:rFonts w:ascii="IBM Plex Sans" w:cs="IBM Plex Sans" w:eastAsia="IBM Plex Sans" w:hAnsi="IBM Plex Sans"/>
          <w:color w:val="1E293B"/>
          <w:sz w:val="22"/>
          <w:szCs w:val="22"/>
        </w:rPr>
        <w:t xml:space="preserve">Infeksi menular seksual (IMS) yang relevan pada praktik obgin meliputi Chlamydia trachomatis dan Neisseria gonorrhoeae (penyebab tersering PID pada populasi muda aktif seksual), Treponema pallidum (sifilis, ICD-10 A50–A53 pada kehamilan berisiko transmisi vertikal), serta human immunodeficiency virus (HIV) yang memerlukan protokol pencegahan penularan ibu ke anak (prevention of mother-to-child transmission, PMTCT) melibatkan terapi antiretroviral kombinasi selama kehamilan.</w:t>
      </w:r>
    </w:p>
    <w:p>
      <w:pPr>
        <w:pStyle w:val="Heading2"/>
        <w:spacing w:after="140" w:before="200"/>
      </w:pPr>
      <w:r>
        <w:rPr>
          <w:rFonts w:ascii="Source Serif 4" w:cs="Source Serif 4" w:eastAsia="Source Serif 4" w:hAnsi="Source Serif 4"/>
          <w:b/>
          <w:bCs/>
          <w:color w:val="3730A3"/>
          <w:sz w:val="26"/>
          <w:szCs w:val="26"/>
        </w:rPr>
        <w:t xml:space="preserve">5.3 Genetika Reproduksi</w:t>
      </w:r>
    </w:p>
    <w:p>
      <w:pPr>
        <w:spacing w:after="160" w:line="300"/>
      </w:pPr>
      <w:r>
        <w:rPr>
          <w:rFonts w:ascii="IBM Plex Sans" w:cs="IBM Plex Sans" w:eastAsia="IBM Plex Sans" w:hAnsi="IBM Plex Sans"/>
          <w:color w:val="1E293B"/>
          <w:sz w:val="22"/>
          <w:szCs w:val="22"/>
        </w:rPr>
        <w:t xml:space="preserve">Skrining kelainan kromosom prenatal — meliputi skrining kombinasi trimester pertama (usia ibu, translusensi nukal, PAPP-A, beta-hCG bebas), skrining serum kuadruple trimester kedua, dan skrining prenatal non-invasif (non-invasive prenatal testing, NIPT) berbasis cell-free DNA janin dalam plasma maternal — menjadi dasar identifikasi risiko trisomi 21, 18, dan 13 sebelum konfirmasi diagnostik melalui pemeriksaan invasif (amniosentesis atau chorionic villus sampling) bila diperlukan.</w:t>
      </w:r>
    </w:p>
    <w:p>
      <w:pPr>
        <w:spacing w:after="160" w:line="300"/>
      </w:pPr>
      <w:r>
        <w:rPr>
          <w:rFonts w:ascii="IBM Plex Sans" w:cs="IBM Plex Sans" w:eastAsia="IBM Plex Sans" w:hAnsi="IBM Plex Sans"/>
          <w:color w:val="1E293B"/>
          <w:sz w:val="22"/>
          <w:szCs w:val="22"/>
        </w:rPr>
        <w:t xml:space="preserve">Genetika kanker herediter relevan pada onkologi ginekologi, terutama mutasi germline BRCA1/BRCA2 yang meningkatkan risiko kumulatif seumur hidup kanker ovarium dan kanker payudara secara signifikan, serta sindrom Lynch (mutasi gen mismatch repair seperti MLH1, MSH2) yang meningkatkan risiko kanker endometrium dan kanker kolorektal. Identifikasi riwayat keluarga yang mencurigakan menjadi dasar rujukan konseling genetik sebelum pengujian genetik dilakukan.</w:t>
      </w:r>
    </w:p>
    <w:p>
      <w:pPr>
        <w:pStyle w:val="Heading2"/>
        <w:spacing w:after="140" w:before="200"/>
      </w:pPr>
      <w:r>
        <w:rPr>
          <w:rFonts w:ascii="Source Serif 4" w:cs="Source Serif 4" w:eastAsia="Source Serif 4" w:hAnsi="Source Serif 4"/>
          <w:b/>
          <w:bCs/>
          <w:color w:val="3730A3"/>
          <w:sz w:val="26"/>
          <w:szCs w:val="26"/>
        </w:rPr>
        <w:t xml:space="preserve">5.4 Imunologi Reproduksi Dasar</w:t>
      </w:r>
    </w:p>
    <w:p>
      <w:pPr>
        <w:spacing w:after="160" w:line="300"/>
      </w:pPr>
      <w:r>
        <w:rPr>
          <w:rFonts w:ascii="IBM Plex Sans" w:cs="IBM Plex Sans" w:eastAsia="IBM Plex Sans" w:hAnsi="IBM Plex Sans"/>
          <w:color w:val="1E293B"/>
          <w:sz w:val="22"/>
          <w:szCs w:val="22"/>
        </w:rPr>
        <w:t xml:space="preserve">Kehamilan merupakan fenomena imunologis unik: janin yang secara genetik semi-alogenik (separuh antigen berasal dari ayah) tidak ditolak oleh sistem imun ibu, sebuah fenomena yang dijelaskan melalui beberapa mekanisme toleransi imun maternal-fetal, antara lain ekspresi human leukocyte antigen non-klasik (HLA-G) oleh trofoblas ekstravilus yang menghambat aktivitas sel natural killer (NK) desidua, pergeseran keseimbangan sel T helper ke arah profil anti-inflamasi (Th2/regulatori) pada antarmuka fetomaternal, dan peran sel T regulator (Treg) dalam mempertahankan toleransi lokal terhadap antigen paternal.</w:t>
      </w:r>
    </w:p>
    <w:p>
      <w:pPr>
        <w:spacing w:after="160" w:line="300"/>
      </w:pPr>
      <w:r>
        <w:rPr>
          <w:rFonts w:ascii="IBM Plex Sans" w:cs="IBM Plex Sans" w:eastAsia="IBM Plex Sans" w:hAnsi="IBM Plex Sans"/>
          <w:color w:val="1E293B"/>
          <w:sz w:val="22"/>
          <w:szCs w:val="22"/>
        </w:rPr>
        <w:t xml:space="preserve">Pemahaman imunologi reproduksi ini relevan secara klinis pada kondisi keguguran berulang (recurrent pregnancy loss) yang diduga berkaitan dengan disregulasi imun, serta pada prinsip dasar penapisan inkompatibilitas Rhesus (Rh) — pembentukan antibodi anti-D pada ibu Rh-negatif yang terpapar eritrosit janin Rh-positif dapat menyebabkan penyakit hemolitik pada janin/neonatus pada kehamilan berikutnya, sehingga pemberian imunoglobulin anti-D profilaksis pada waktu yang tepat menjadi strategi pencegahan berbasis prinsip imunologi dasar.</w:t>
      </w:r>
    </w:p>
    <w:p>
      <w:pPr>
        <w:pStyle w:val="Heading2"/>
        <w:spacing w:after="140" w:before="200"/>
      </w:pPr>
      <w:r>
        <w:rPr>
          <w:rFonts w:ascii="Source Serif 4" w:cs="Source Serif 4" w:eastAsia="Source Serif 4" w:hAnsi="Source Serif 4"/>
          <w:b/>
          <w:bCs/>
          <w:color w:val="B45309"/>
          <w:sz w:val="26"/>
          <w:szCs w:val="26"/>
        </w:rPr>
        <w:t xml:space="preserve">5.5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menuntut penguasaan "pemilihan pemeriksaan penunjang" dan "interpretasi hasil pemeriksaan" (Tabel 27) tanpa merinci algoritme skrining genetik spesifik; ISUOG Practice Guidelines mengenai pemindaian trimester pertama (dimutakhirkan 2023) merekomendasikan pemindaian sistematis usia kehamilan 11+0–14+0 minggu sebagai kesempatan skrining aneuploidi sekaligus deteksi anomali struktural mayor [Ref. 7] — praktik di Indonesia mengikuti standar nasional dengan mempertimbangkan ketersediaan dan pembiayaan pemeriksaan NIPT yang bervariasi antarfasilitas [DATA: rujuk laporan/registri resmi terbaru mengenai cakupan skrining prenatal nasional, mis. Kemenkes/POGI].</w:t>
      </w:r>
    </w:p>
    <w:p>
      <w:pPr>
        <w:spacing w:after="160" w:line="300"/>
      </w:pPr>
      <w:r>
        <w:rPr>
          <w:rFonts w:ascii="IBM Plex Sans" w:cs="IBM Plex Sans" w:eastAsia="IBM Plex Sans" w:hAnsi="IBM Plex Sans"/>
          <w:color w:val="1E293B"/>
          <w:sz w:val="22"/>
          <w:szCs w:val="22"/>
        </w:rPr>
        <w:t xml:space="preserve">Tinjauan sistematis Cochrane oleh Koliopoulos dkk. (2017) mengenai akurasi diagnostik tes HPV dibandingkan sitologi untuk skrining kanker serviks pada populasi umum menyimpulkan bahwa tes HPV memiliki sensitivitas lebih tinggi untuk mendeteksi CIN 2 atau lebih berat dibandingkan sitologi, meski dengan spesifisitas sedikit lebih rendah [Ref. 5]; temuan ini mendasari pergeseran kebijakan skrining berbasis tes HPV primer pada program skrining nasional di berbagai negara, dan relevan sebagai bahan pengayaan bagi PPDS dalam memahami arah tren skrining kanker serviks global, meski Indonesia tetap mengacu pada program skrining nasional yang berlaku.</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single" w:color="B45309" w:sz="24"/>
              <w:left w:val="single" w:color="B45309" w:sz="4"/>
              <w:bottom w:val="single" w:color="B45309" w:sz="4"/>
              <w:right w:val="single" w:color="B45309" w:sz="4"/>
            </w:tcBorders>
            <w:shd w:fill="FEF3E2" w:val="clear"/>
            <w:tcMar>
              <w:top w:type="dxa" w:w="200"/>
              <w:left w:type="dxa" w:w="240"/>
              <w:bottom w:type="dxa" w:w="200"/>
              <w:right w:type="dxa" w:w="240"/>
            </w:tcMar>
          </w:tcPr>
          <w:p>
            <w:pPr>
              <w:spacing w:after="120"/>
            </w:pPr>
            <w:r>
              <w:rPr>
                <w:rFonts w:ascii="IBM Plex Mono" w:cs="IBM Plex Mono" w:eastAsia="IBM Plex Mono" w:hAnsi="IBM Plex Mono"/>
                <w:b/>
                <w:bCs/>
                <w:color w:val="B45309"/>
                <w:sz w:val="18"/>
                <w:szCs w:val="18"/>
              </w:rPr>
              <w:t xml:space="preserve">KONTRIBUSI DIVISI PENGAMPU</w:t>
            </w:r>
          </w:p>
          <w:p>
            <w:pPr>
              <w:spacing w:after="120"/>
            </w:pPr>
            <w:r>
              <w:rPr>
                <w:rFonts w:ascii="Source Serif 4" w:cs="Source Serif 4" w:eastAsia="Source Serif 4" w:hAnsi="Source Serif 4"/>
                <w:b/>
                <w:bCs/>
                <w:color w:val="7C2D12"/>
                <w:sz w:val="24"/>
                <w:szCs w:val="24"/>
              </w:rPr>
              <w:t xml:space="preserve">Kontribusi Divisi Pengampu — Onkologi Ginekologi dan Obstetri Ginekologi Sosial</w:t>
            </w:r>
          </w:p>
          <w:p>
            <w:pPr>
              <w:spacing w:after="100"/>
            </w:pPr>
            <w:r>
              <w:rPr>
                <w:rFonts w:ascii="IBM Plex Sans" w:cs="IBM Plex Sans" w:eastAsia="IBM Plex Sans" w:hAnsi="IBM Plex Sans"/>
                <w:b/>
                <w:bCs/>
                <w:color w:val="7C2D12"/>
                <w:sz w:val="20"/>
                <w:szCs w:val="20"/>
              </w:rPr>
              <w:t xml:space="preserve">A. Deskripsi. </w:t>
            </w:r>
            <w:r>
              <w:rPr>
                <w:rFonts w:ascii="IBM Plex Sans" w:cs="IBM Plex Sans" w:eastAsia="IBM Plex Sans" w:hAnsi="IBM Plex Sans"/>
                <w:color w:val="451A03"/>
                <w:sz w:val="20"/>
                <w:szCs w:val="20"/>
              </w:rPr>
              <w:t xml:space="preserve">Divisi Onkologi Ginekologi mengampu materi patologi neoplasia dan genetika kanker herediter; Divisi Obstetri Ginekologi Sosial mengampu materi mikrobiologi reproduksi dalam konteks kesehatan masyarakat dan epidemiologi IMS pada populasi.</w:t>
            </w:r>
          </w:p>
          <w:p>
            <w:pPr>
              <w:spacing w:after="100"/>
            </w:pPr>
            <w:r>
              <w:rPr>
                <w:rFonts w:ascii="IBM Plex Sans" w:cs="IBM Plex Sans" w:eastAsia="IBM Plex Sans" w:hAnsi="IBM Plex Sans"/>
                <w:b/>
                <w:bCs/>
                <w:color w:val="7C2D12"/>
                <w:sz w:val="20"/>
                <w:szCs w:val="20"/>
              </w:rPr>
              <w:t xml:space="preserve">B. Kerangka Analisis: Kontinuum Pencegahan Berlapis pada Kanker Serviks. </w:t>
            </w:r>
            <w:r>
              <w:rPr>
                <w:rFonts w:ascii="IBM Plex Sans" w:cs="IBM Plex Sans" w:eastAsia="IBM Plex Sans" w:hAnsi="IBM Plex Sans"/>
                <w:color w:val="451A03"/>
                <w:sz w:val="20"/>
                <w:szCs w:val="20"/>
              </w:rPr>
              <w:t xml:space="preserve">Pencegahan kanker serviks dipahami sebagai kontinuum tiga lapis: pencegahan primer (vaksinasi HPV pada usia prapajanan), pencegahan sekunder (skrining sitologi/HPV untuk deteksi lesi prakanker sebelum menjadi invasif), dan tata laksana tersier (terapi lesi CIN terkonfirmasi serta kanker invasif terdiagnosis). Kerangka berlapis ini relevan lintas divisi karena menggabungkan perspektif kesehatan masyarakat (cakupan vaksinasi dan skrining populasi) dengan perspektif onkologi klinis (tata laksana individual).</w:t>
            </w:r>
          </w:p>
          <w:p>
            <w:pPr>
              <w:spacing w:after="100"/>
            </w:pPr>
            <w:r>
              <w:rPr>
                <w:rFonts w:ascii="IBM Plex Sans" w:cs="IBM Plex Sans" w:eastAsia="IBM Plex Sans" w:hAnsi="IBM Plex Sans"/>
                <w:b/>
                <w:bCs/>
                <w:color w:val="7C2D12"/>
                <w:sz w:val="20"/>
                <w:szCs w:val="20"/>
              </w:rPr>
              <w:t xml:space="preserve">C. Ilustrasi Kasus Lapangan. </w:t>
            </w:r>
            <w:r>
              <w:rPr>
                <w:rFonts w:ascii="IBM Plex Sans" w:cs="IBM Plex Sans" w:eastAsia="IBM Plex Sans" w:hAnsi="IBM Plex Sans"/>
                <w:color w:val="451A03"/>
                <w:sz w:val="20"/>
                <w:szCs w:val="20"/>
              </w:rPr>
              <w:t xml:space="preserve">Seorang pasien usia 35 tahun dengan hasil Pap smear ASC-US (atypical squamous cells of undetermined significance) dan tes HPV positif tipe onkogenik dikonsulkan ke poliklinik. Peserta PPDS perlu memahami bahwa kombinasi hasil ini menuntut kolposkopi lanjutan sesuai algoritme triase berbasis risiko, bukan sekadar observasi ulang — kerangka patologi dan mikrobiologi HPV pada bab ini mendasari keputusan tersebut.</w:t>
            </w:r>
          </w:p>
        </w:tc>
      </w:tr>
    </w:tbl>
    <w:p>
      <w:pPr>
        <w:pStyle w:val="Heading1"/>
        <w:pageBreakBefore/>
        <w:spacing w:after="240"/>
      </w:pPr>
      <w:r>
        <w:rPr>
          <w:rFonts w:ascii="Source Serif 4" w:cs="Source Serif 4" w:eastAsia="Source Serif 4" w:hAnsi="Source Serif 4"/>
          <w:b/>
          <w:bCs/>
          <w:color w:val="4F46E5"/>
          <w:sz w:val="26"/>
          <w:szCs w:val="26"/>
        </w:rPr>
        <w:t xml:space="preserve">BAB VI</w:t>
      </w:r>
    </w:p>
    <w:p>
      <w:pPr>
        <w:spacing w:after="320"/>
      </w:pPr>
      <w:r>
        <w:rPr>
          <w:rFonts w:ascii="Source Serif 4" w:cs="Source Serif 4" w:eastAsia="Source Serif 4" w:hAnsi="Source Serif 4"/>
          <w:b/>
          <w:bCs/>
          <w:color w:val="334155"/>
          <w:sz w:val="40"/>
          <w:szCs w:val="40"/>
        </w:rPr>
        <w:t xml:space="preserve">Perbandingan Standar Internasional: WHO Model List of Essential Medicines dan Pedoman NICE</w:t>
      </w:r>
    </w:p>
    <w:p>
      <w:pPr>
        <w:pStyle w:val="Heading2"/>
        <w:spacing w:after="140" w:before="200"/>
      </w:pPr>
      <w:r>
        <w:rPr>
          <w:rFonts w:ascii="Source Serif 4" w:cs="Source Serif 4" w:eastAsia="Source Serif 4" w:hAnsi="Source Serif 4"/>
          <w:b/>
          <w:bCs/>
          <w:color w:val="3730A3"/>
          <w:sz w:val="26"/>
          <w:szCs w:val="26"/>
        </w:rPr>
        <w:t xml:space="preserve">6.1 WHO Model List of Essential Medicines pada Praktik Obgin</w:t>
      </w:r>
    </w:p>
    <w:p>
      <w:pPr>
        <w:spacing w:after="160" w:line="300"/>
      </w:pPr>
      <w:r>
        <w:rPr>
          <w:rFonts w:ascii="IBM Plex Sans" w:cs="IBM Plex Sans" w:eastAsia="IBM Plex Sans" w:hAnsi="IBM Plex Sans"/>
          <w:color w:val="1E293B"/>
          <w:sz w:val="22"/>
          <w:szCs w:val="22"/>
        </w:rPr>
        <w:t xml:space="preserve">WHO Model List of Essential Medicines (EML) edisi ke-24 (2025) — pembaruan dua tahunan terbaru dari daftar yang pertama kali diterbitkan tahun 1977 — mencantumkan obat-obat obstetri-ginekologi yang dianggap esensial berdasarkan prioritas kesehatan masyarakat global, termasuk oksitosin dan misoprostol untuk pencegahan/tata laksana PPH, magnesium sulfat untuk preeklamsia/eklamsia, serta metildopa dan nifedipin untuk hipertensi kehamilan [Ref. 1]. Daftar ini menjadi rujukan penting bagi perencanaan ketersediaan obat pada fasilitas kesehatan primer dan sekunder, meski keputusan formularium nasional (Formularium Nasional/Fornas Kementerian Kesehatan) tetap menjadi acuan legal-administratif utama bagi praktik peresepan di Indonesia.</w:t>
      </w:r>
    </w:p>
    <w:p>
      <w:pPr>
        <w:pStyle w:val="Heading2"/>
        <w:spacing w:after="140" w:before="200"/>
      </w:pPr>
      <w:r>
        <w:rPr>
          <w:rFonts w:ascii="Source Serif 4" w:cs="Source Serif 4" w:eastAsia="Source Serif 4" w:hAnsi="Source Serif 4"/>
          <w:b/>
          <w:bCs/>
          <w:color w:val="3730A3"/>
          <w:sz w:val="26"/>
          <w:szCs w:val="26"/>
        </w:rPr>
        <w:t xml:space="preserve">6.2 Pedoman Nasional Inggris (NICE) sebagai Pembanding Praktik Klinis</w:t>
      </w:r>
    </w:p>
    <w:p>
      <w:pPr>
        <w:spacing w:after="160" w:line="300"/>
      </w:pPr>
      <w:r>
        <w:rPr>
          <w:rFonts w:ascii="IBM Plex Sans" w:cs="IBM Plex Sans" w:eastAsia="IBM Plex Sans" w:hAnsi="IBM Plex Sans"/>
          <w:color w:val="1E293B"/>
          <w:sz w:val="22"/>
          <w:szCs w:val="22"/>
        </w:rPr>
        <w:t xml:space="preserve">Pedoman NICE (National Institute for Health and Care Excellence) — badan penyusun pedoman klinis nasional Inggris yang menaungi National Health Service (NHS) — sering menjadi rujukan pembanding praktik farmakoterapi obstetri karena sifatnya yang berbasis tinjauan bukti sistematis dan pembaruan berkala. Dua pedoman NICE yang relevan bagi buku ini adalah NG25 "Preterm labour and birth" (diterbitkan 2015, dimutakhirkan 2022) mengenai tokolisis, dan NG133 "Hypertension in pregnancy: diagnosis and management" mengenai tata laksana hipertensi kehamilan [Ref. 4, Ref. 11]. Perbandingan dengan pedoman NICE bermanfaat sebagai pengayaan pemahaman farmakologi klinis berbasis bukti terkini, dengan catatan bahwa regimen dosis definitif tetap mengikuti panduan nasional Indonesia yang mempertimbangkan ketersediaan sediaan dan pola epidemiologi lokal.</w:t>
      </w:r>
    </w:p>
    <w:p>
      <w:pPr>
        <w:pStyle w:val="Heading2"/>
        <w:spacing w:after="140" w:before="200"/>
      </w:pPr>
      <w:r>
        <w:rPr>
          <w:rFonts w:ascii="Source Serif 4" w:cs="Source Serif 4" w:eastAsia="Source Serif 4" w:hAnsi="Source Serif 4"/>
          <w:b/>
          <w:bCs/>
          <w:color w:val="3730A3"/>
          <w:sz w:val="26"/>
          <w:szCs w:val="26"/>
        </w:rPr>
        <w:t xml:space="preserve">6.3 Tabel Perbandingan Ringkas</w:t>
      </w:r>
    </w:p>
    <w:p>
      <w:pPr>
        <w:spacing w:after="160" w:line="300"/>
      </w:pPr>
      <w:r>
        <w:rPr>
          <w:rFonts w:ascii="IBM Plex Sans" w:cs="IBM Plex Sans" w:eastAsia="IBM Plex Sans" w:hAnsi="IBM Plex Sans"/>
          <w:color w:val="1E293B"/>
          <w:sz w:val="22"/>
          <w:szCs w:val="22"/>
        </w:rPr>
        <w:t xml:space="preserve">Standar nasional (protokol yang berlaku dan Fornas) menetapkan oksitosin sebagai uterotonika lini pertama PPH; WHO EML edisi ke-24 (2025) dan pedoman NICE secara konsisten mendukung posisi ini, sehingga tidak terdapat perbedaan substansial pada kelas obat ini — kesamaan ini memperkuat validitas praktik nasional [Ref. 1]. Perbedaan yang lebih menonjol tampak pada preferensi labetalol sebagai lini pertama antihipertensi kehamilan pada pedoman NICE NG133 [Ref. 11], sementara praktik Indonesia menempatkan metildopa, nifedipin, dan labetalol sebagai pilihan lini awal yang setara bergantung ketersediaan; standar nasional tetap menjadi acuan utama praktik di Indonesia mengingat pertimbangan ketersediaan obat dan pembiayaan.</w:t>
      </w:r>
    </w:p>
    <w:p>
      <w:pPr>
        <w:spacing w:after="100" w:before="120"/>
      </w:pPr>
      <w:r>
        <w:rPr>
          <w:rFonts w:ascii="Source Serif 4" w:cs="Source Serif 4" w:eastAsia="Source Serif 4" w:hAnsi="Source Serif 4"/>
          <w:b/>
          <w:bCs/>
          <w:color w:val="3730A3"/>
          <w:sz w:val="21"/>
          <w:szCs w:val="21"/>
        </w:rPr>
        <w:t xml:space="preserve">Tabel Perbandingan Rujukan Obat Esensial Obgin: Praktik Nasional vs WHO EML vs NICE (Inggris)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67"/>
        <w:gridCol w:w="2267"/>
        <w:gridCol w:w="2267"/>
        <w:gridCol w:w="2267"/>
      </w:tblGrid>
      <w:tr>
        <w:trPr>
          <w:tblHeader/>
        </w:trPr>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Kelas Obat</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Acuan Nasional (Fornas/Protokol Kepkonsil)</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WHO EML ed.24 (2025)</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NICE (NG25/NG133)</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Uterotonika PPH</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Oksitosin lini pertama; misoprostol alternatif</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Oksitosin lini pertama; misoprostol bila oksitosin tak tersedia/aman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Oksitosin lini pertama manajemen aktif kala III</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Antikonvulsan preeklamsia/eklamsia</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Magnesium sulfat</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Magnesium sulfat (daftar inti)</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Magnesium sulfat, protokol regimen serupa</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Antihipertensi kehamilan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Metildopa, nifedipin, labetalol</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Metildopa, nifedipin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Labetalol lini pertama (NG133); nifedipin/metildopa alternatif</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Tokolitik</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Nifedipin lini pertama</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Bukan fokus utama EML (bersifat suportif, bukan kuratif)</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Nifedipin lini pertama; atosiban bila nifedipin dikontraindikasikan (NG25)</w:t>
            </w:r>
          </w:p>
        </w:tc>
      </w:tr>
    </w:tbl>
    <w:p>
      <w:pPr>
        <w:spacing w:after="160"/>
      </w:pPr>
    </w:p>
    <w:p>
      <w:pPr>
        <w:pStyle w:val="Heading1"/>
        <w:pageBreakBefore/>
        <w:spacing w:after="240"/>
      </w:pPr>
      <w:r>
        <w:rPr>
          <w:rFonts w:ascii="Source Serif 4" w:cs="Source Serif 4" w:eastAsia="Source Serif 4" w:hAnsi="Source Serif 4"/>
          <w:b/>
          <w:bCs/>
          <w:color w:val="4F46E5"/>
          <w:sz w:val="26"/>
          <w:szCs w:val="26"/>
        </w:rPr>
        <w:t xml:space="preserve">BAB VII</w:t>
      </w:r>
    </w:p>
    <w:p>
      <w:pPr>
        <w:spacing w:after="320"/>
      </w:pPr>
      <w:r>
        <w:rPr>
          <w:rFonts w:ascii="Source Serif 4" w:cs="Source Serif 4" w:eastAsia="Source Serif 4" w:hAnsi="Source Serif 4"/>
          <w:b/>
          <w:bCs/>
          <w:color w:val="334155"/>
          <w:sz w:val="40"/>
          <w:szCs w:val="40"/>
        </w:rPr>
        <w:t xml:space="preserve">Ringkasan</w:t>
      </w:r>
    </w:p>
    <w:p>
      <w:pPr>
        <w:pStyle w:val="Heading2"/>
        <w:spacing w:after="140" w:before="200"/>
      </w:pPr>
      <w:r>
        <w:rPr>
          <w:rFonts w:ascii="Source Serif 4" w:cs="Source Serif 4" w:eastAsia="Source Serif 4" w:hAnsi="Source Serif 4"/>
          <w:b/>
          <w:bCs/>
          <w:color w:val="3730A3"/>
          <w:sz w:val="26"/>
          <w:szCs w:val="26"/>
        </w:rPr>
        <w:t xml:space="preserve">7.1 Ikhtisar Keterkaitan Ilmu Dasar dengan Kompetensi Klinis</w:t>
      </w:r>
    </w:p>
    <w:p>
      <w:pPr>
        <w:spacing w:after="160" w:line="300"/>
      </w:pPr>
      <w:r>
        <w:rPr>
          <w:rFonts w:ascii="IBM Plex Sans" w:cs="IBM Plex Sans" w:eastAsia="IBM Plex Sans" w:hAnsi="IBM Plex Sans"/>
          <w:color w:val="1E293B"/>
          <w:sz w:val="22"/>
          <w:szCs w:val="22"/>
        </w:rPr>
        <w:t xml:space="preserve">Buku tematik ini menegaskan bahwa penguasaan ilmu dasar biomedik — anatomi dan fisiologi reproduksi terapan, farmakologi obstetri dan ginekologi, patologi, mikrobiologi, dan genetika reproduksi — bukan tujuan akademik yang terpisah dari praktik klinis, melainkan prasyarat langsung bagi tercapainya kompetensi penatalaksanaan klinis (Tabel 27 Kepkonsil) dan kompetensi prosedural klinis (Tabel 33 Kepkonsil) yang dituntut bagi seluruh dokter spesialis dan subspesialis obstetri dan ginekologi.</w:t>
      </w:r>
    </w:p>
    <w:p>
      <w:pPr>
        <w:spacing w:after="160" w:line="300"/>
      </w:pPr>
      <w:r>
        <w:rPr>
          <w:rFonts w:ascii="IBM Plex Sans" w:cs="IBM Plex Sans" w:eastAsia="IBM Plex Sans" w:hAnsi="IBM Plex Sans"/>
          <w:color w:val="1E293B"/>
          <w:sz w:val="22"/>
          <w:szCs w:val="22"/>
        </w:rPr>
        <w:t xml:space="preserve">Peserta didik PPDS tahun I-II disarankan menggunakan buku ini secara berulang sebagai rujukan lintas bab ketika mempelajari Panduan Praktik Klinis (PPK) per diagnosis spesifik, karena pemahaman mekanistik yang dibangun pada buku ini akan memudahkan retensi dan penalaran klinis pada tata laksana kasus nyata, alih-alih sekadar menghafal algoritme tata laksana secara terisolasi.</w:t>
      </w:r>
    </w:p>
    <w:p>
      <w:pPr>
        <w:pStyle w:val="Heading2"/>
        <w:spacing w:after="140" w:before="200"/>
      </w:pPr>
      <w:r>
        <w:rPr>
          <w:rFonts w:ascii="Source Serif 4" w:cs="Source Serif 4" w:eastAsia="Source Serif 4" w:hAnsi="Source Serif 4"/>
          <w:b/>
          <w:bCs/>
          <w:color w:val="3730A3"/>
          <w:sz w:val="26"/>
          <w:szCs w:val="26"/>
        </w:rPr>
        <w:t xml:space="preserve">7.2 Tabel Ringkasan Kompetensi</w:t>
      </w:r>
    </w:p>
    <w:p>
      <w:pPr>
        <w:spacing w:after="100" w:before="120"/>
      </w:pPr>
      <w:r>
        <w:rPr>
          <w:rFonts w:ascii="Source Serif 4" w:cs="Source Serif 4" w:eastAsia="Source Serif 4" w:hAnsi="Source Serif 4"/>
          <w:b/>
          <w:bCs/>
          <w:color w:val="3730A3"/>
          <w:sz w:val="21"/>
          <w:szCs w:val="21"/>
        </w:rPr>
        <w:t xml:space="preserve">Tabel Ringkasan Kompetensi dan Indikator — Buku Tematik B13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67"/>
        <w:gridCol w:w="2267"/>
        <w:gridCol w:w="2267"/>
        <w:gridCol w:w="2267"/>
      </w:tblGrid>
      <w:tr>
        <w:trPr>
          <w:tblHeader/>
        </w:trPr>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Area Materi</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Rujukan Kepkonsil</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Indikator Kinerja Minimal</w:t>
            </w:r>
          </w:p>
        </w:tc>
        <w:tc>
          <w:tcPr>
            <w:tcW w:type="dxa" w:w="226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Bab Terkait</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Anatomi-fisiologi reproduksi terapan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Tabel 27 butir 1-2; Tabel 33 butir 1</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MCQ ≥70%; OSCE ≥70%</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Bab II</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Farmakologi obstetri (uterotonika, tokolitik, antihipertensi)</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Tabel 27 butir 6-7</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MCQ ≥70%; OSCE ≥70%</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Bab III</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Farmakologi ginekologi (hormonal, antibiotik, kemoterapi dasar)</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Tabel 27 butir 6-7</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MCQ ≥70%; OSCE ≥70%</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Bab IV</w:t>
            </w:r>
          </w:p>
        </w:tc>
      </w:tr>
      <w:tr>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Ilmu dasar penunjang (patologi, mikrobiologi, genetika)</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Tabel 27 butir 3-5</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MCQ ≥70%; OSCE ≥70%</w:t>
            </w:r>
          </w:p>
        </w:tc>
        <w:tc>
          <w:tcPr>
            <w:tcW w:type="dxa" w:w="2267"/>
            <w:shd w:fill="F1F5F9"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Bab V</w:t>
            </w:r>
          </w:p>
        </w:tc>
      </w:tr>
      <w:tr>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Pengayaan standar internasional</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Perintah Umum Aturan 2 (lintas dokumen)</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Minimal 2 sumber internasional per bab</w:t>
            </w:r>
          </w:p>
        </w:tc>
        <w:tc>
          <w:tcPr>
            <w:tcW w:type="dxa" w:w="2267"/>
            <w:shd w:fill="FFFFFF" w:val="clear"/>
            <w:tcMar>
              <w:top w:type="dxa" w:w="100"/>
              <w:left w:type="dxa" w:w="120"/>
              <w:bottom w:type="dxa" w:w="100"/>
              <w:right w:type="dxa" w:w="120"/>
            </w:tcMar>
          </w:tcPr>
          <w:p>
            <w:r>
              <w:rPr>
                <w:rFonts w:ascii="IBM Plex Sans" w:cs="IBM Plex Sans" w:eastAsia="IBM Plex Sans" w:hAnsi="IBM Plex Sans"/>
                <w:color w:val="1E293B"/>
                <w:sz w:val="18"/>
                <w:szCs w:val="18"/>
              </w:rPr>
              <w:t xml:space="preserve">Bab II-VI</w:t>
            </w:r>
          </w:p>
        </w:tc>
      </w:tr>
    </w:tbl>
    <w:p>
      <w:pPr>
        <w:spacing w:after="160"/>
      </w:pPr>
    </w:p>
    <w:p>
      <w:pPr>
        <w:pStyle w:val="Heading1"/>
        <w:pageBreakBefore/>
        <w:spacing w:after="240"/>
      </w:pPr>
      <w:r>
        <w:rPr>
          <w:rFonts w:ascii="Source Serif 4" w:cs="Source Serif 4" w:eastAsia="Source Serif 4" w:hAnsi="Source Serif 4"/>
          <w:b/>
          <w:bCs/>
          <w:color w:val="4F46E5"/>
          <w:sz w:val="34"/>
          <w:szCs w:val="34"/>
        </w:rPr>
        <w:t xml:space="preserve">Daftar Pustaka</w:t>
      </w:r>
    </w:p>
    <w:p>
      <w:pPr>
        <w:spacing w:after="140"/>
        <w:ind w:left="360" w:hanging="360"/>
      </w:pPr>
      <w:r>
        <w:rPr>
          <w:rFonts w:ascii="IBM Plex Mono" w:cs="IBM Plex Mono" w:eastAsia="IBM Plex Mono" w:hAnsi="IBM Plex Mono"/>
          <w:b/>
          <w:bCs/>
          <w:color w:val="3730A3"/>
          <w:sz w:val="19"/>
          <w:szCs w:val="19"/>
        </w:rPr>
        <w:t xml:space="preserve">[1] </w:t>
      </w:r>
      <w:r>
        <w:rPr>
          <w:rFonts w:ascii="IBM Plex Sans" w:cs="IBM Plex Sans" w:eastAsia="IBM Plex Sans" w:hAnsi="IBM Plex Sans"/>
          <w:color w:val="1E293B"/>
          <w:sz w:val="20"/>
          <w:szCs w:val="20"/>
        </w:rPr>
        <w:t xml:space="preserve">World Health Organization. The Selection and Use of Essential Medicines 2025: WHO Model List of Essential Medicines, 24th List. Geneva: WHO; 2025.  </w:t>
      </w:r>
      <w:r>
        <w:rPr>
          <w:rFonts w:ascii="IBM Plex Mono" w:cs="IBM Plex Mono" w:eastAsia="IBM Plex Mono" w:hAnsi="IBM Plex Mono"/>
          <w:color w:val="4F46E5"/>
          <w:sz w:val="17"/>
          <w:szCs w:val="17"/>
          <w:u w:val="single"/>
        </w:rPr>
        <w:t xml:space="preserve">https://www.who.int/publications/i/item/B09474</w:t>
      </w:r>
    </w:p>
    <w:p>
      <w:pPr>
        <w:spacing w:after="140"/>
        <w:ind w:left="360" w:hanging="360"/>
      </w:pPr>
      <w:r>
        <w:rPr>
          <w:rFonts w:ascii="IBM Plex Mono" w:cs="IBM Plex Mono" w:eastAsia="IBM Plex Mono" w:hAnsi="IBM Plex Mono"/>
          <w:b/>
          <w:bCs/>
          <w:color w:val="3730A3"/>
          <w:sz w:val="19"/>
          <w:szCs w:val="19"/>
        </w:rPr>
        <w:t xml:space="preserve">[2] </w:t>
      </w:r>
      <w:r>
        <w:rPr>
          <w:rFonts w:ascii="IBM Plex Sans" w:cs="IBM Plex Sans" w:eastAsia="IBM Plex Sans" w:hAnsi="IBM Plex Sans"/>
          <w:color w:val="1E293B"/>
          <w:sz w:val="20"/>
          <w:szCs w:val="20"/>
        </w:rPr>
        <w:t xml:space="preserve">Tita AT, Szychowski JM, Boggess K, et al., Chronic Hypertension and Pregnancy (CHAP) Trial Consortium. Treatment for Mild Chronic Hypertension during Pregnancy. N Engl J Med. 2022;386:1781–1792.  </w:t>
      </w:r>
      <w:r>
        <w:rPr>
          <w:rFonts w:ascii="IBM Plex Mono" w:cs="IBM Plex Mono" w:eastAsia="IBM Plex Mono" w:hAnsi="IBM Plex Mono"/>
          <w:color w:val="4F46E5"/>
          <w:sz w:val="17"/>
          <w:szCs w:val="17"/>
          <w:u w:val="single"/>
        </w:rPr>
        <w:t xml:space="preserve">https://www.nejm.org/doi/full/10.1056/NEJMoa2201295</w:t>
      </w:r>
    </w:p>
    <w:p>
      <w:pPr>
        <w:spacing w:after="140"/>
        <w:ind w:left="360" w:hanging="360"/>
      </w:pPr>
      <w:r>
        <w:rPr>
          <w:rFonts w:ascii="IBM Plex Mono" w:cs="IBM Plex Mono" w:eastAsia="IBM Plex Mono" w:hAnsi="IBM Plex Mono"/>
          <w:b/>
          <w:bCs/>
          <w:color w:val="3730A3"/>
          <w:sz w:val="19"/>
          <w:szCs w:val="19"/>
        </w:rPr>
        <w:t xml:space="preserve">[3] </w:t>
      </w:r>
      <w:r>
        <w:rPr>
          <w:rFonts w:ascii="IBM Plex Sans" w:cs="IBM Plex Sans" w:eastAsia="IBM Plex Sans" w:hAnsi="IBM Plex Sans"/>
          <w:color w:val="1E293B"/>
          <w:sz w:val="20"/>
          <w:szCs w:val="20"/>
        </w:rPr>
        <w:t xml:space="preserve">American College of Obstetricians and Gynecologists. Clinical Guidance for the Integration of the Findings of the Chronic Hypertension and Pregnancy (CHAP) Study. Practice Advisory. Washington, DC: ACOG; April 2022.  </w:t>
      </w:r>
      <w:r>
        <w:rPr>
          <w:rFonts w:ascii="IBM Plex Mono" w:cs="IBM Plex Mono" w:eastAsia="IBM Plex Mono" w:hAnsi="IBM Plex Mono"/>
          <w:color w:val="4F46E5"/>
          <w:sz w:val="17"/>
          <w:szCs w:val="17"/>
          <w:u w:val="single"/>
        </w:rPr>
        <w:t xml:space="preserve">https://www.acog.org/clinical/clinical-guidance/practice-advisory/articles/2022/04/clinical-guidance-for-the-integration-of-the-findings-of-the-chronic-hypertension-and-pregnancy-chap-study</w:t>
      </w:r>
    </w:p>
    <w:p>
      <w:pPr>
        <w:spacing w:after="140"/>
        <w:ind w:left="360" w:hanging="360"/>
      </w:pPr>
      <w:r>
        <w:rPr>
          <w:rFonts w:ascii="IBM Plex Mono" w:cs="IBM Plex Mono" w:eastAsia="IBM Plex Mono" w:hAnsi="IBM Plex Mono"/>
          <w:b/>
          <w:bCs/>
          <w:color w:val="3730A3"/>
          <w:sz w:val="19"/>
          <w:szCs w:val="19"/>
        </w:rPr>
        <w:t xml:space="preserve">[4] </w:t>
      </w:r>
      <w:r>
        <w:rPr>
          <w:rFonts w:ascii="IBM Plex Sans" w:cs="IBM Plex Sans" w:eastAsia="IBM Plex Sans" w:hAnsi="IBM Plex Sans"/>
          <w:color w:val="1E293B"/>
          <w:sz w:val="20"/>
          <w:szCs w:val="20"/>
        </w:rPr>
        <w:t xml:space="preserve">National Institute for Health and Care Excellence (NICE). Preterm Labour and Birth. NICE Guideline NG25. London: NICE; 2015 (diperbarui 2022).  </w:t>
      </w:r>
      <w:r>
        <w:rPr>
          <w:rFonts w:ascii="IBM Plex Mono" w:cs="IBM Plex Mono" w:eastAsia="IBM Plex Mono" w:hAnsi="IBM Plex Mono"/>
          <w:color w:val="4F46E5"/>
          <w:sz w:val="17"/>
          <w:szCs w:val="17"/>
          <w:u w:val="single"/>
        </w:rPr>
        <w:t xml:space="preserve">https://www.nice.org.uk/guidance/ng25</w:t>
      </w:r>
    </w:p>
    <w:p>
      <w:pPr>
        <w:spacing w:after="140"/>
        <w:ind w:left="360" w:hanging="360"/>
      </w:pPr>
      <w:r>
        <w:rPr>
          <w:rFonts w:ascii="IBM Plex Mono" w:cs="IBM Plex Mono" w:eastAsia="IBM Plex Mono" w:hAnsi="IBM Plex Mono"/>
          <w:b/>
          <w:bCs/>
          <w:color w:val="3730A3"/>
          <w:sz w:val="19"/>
          <w:szCs w:val="19"/>
        </w:rPr>
        <w:t xml:space="preserve">[5] </w:t>
      </w:r>
      <w:r>
        <w:rPr>
          <w:rFonts w:ascii="IBM Plex Sans" w:cs="IBM Plex Sans" w:eastAsia="IBM Plex Sans" w:hAnsi="IBM Plex Sans"/>
          <w:color w:val="1E293B"/>
          <w:sz w:val="20"/>
          <w:szCs w:val="20"/>
        </w:rPr>
        <w:t xml:space="preserve">Koliopoulos G, Nyaga VN, Santesso N, et al. Cytology versus HPV Testing for Cervical Cancer Screening in the General Population. Cochrane Database Syst Rev. 2017;8:CD008587.  </w:t>
      </w:r>
      <w:r>
        <w:rPr>
          <w:rFonts w:ascii="IBM Plex Mono" w:cs="IBM Plex Mono" w:eastAsia="IBM Plex Mono" w:hAnsi="IBM Plex Mono"/>
          <w:color w:val="4F46E5"/>
          <w:sz w:val="17"/>
          <w:szCs w:val="17"/>
          <w:u w:val="single"/>
        </w:rPr>
        <w:t xml:space="preserve">https://www.cochranelibrary.com/cdsr/doi/10.1002/14651858.CD008587.pub2/full</w:t>
      </w:r>
    </w:p>
    <w:p>
      <w:pPr>
        <w:spacing w:after="140"/>
        <w:ind w:left="360" w:hanging="360"/>
      </w:pPr>
      <w:r>
        <w:rPr>
          <w:rFonts w:ascii="IBM Plex Mono" w:cs="IBM Plex Mono" w:eastAsia="IBM Plex Mono" w:hAnsi="IBM Plex Mono"/>
          <w:b/>
          <w:bCs/>
          <w:color w:val="3730A3"/>
          <w:sz w:val="19"/>
          <w:szCs w:val="19"/>
        </w:rPr>
        <w:t xml:space="preserve">[6] </w:t>
      </w:r>
      <w:r>
        <w:rPr>
          <w:rFonts w:ascii="IBM Plex Sans" w:cs="IBM Plex Sans" w:eastAsia="IBM Plex Sans" w:hAnsi="IBM Plex Sans"/>
          <w:color w:val="1E293B"/>
          <w:sz w:val="20"/>
          <w:szCs w:val="20"/>
        </w:rPr>
        <w:t xml:space="preserve">Workowski KA, Bachmann LH, Chan PA, et al. Sexually Transmitted Infections Treatment Guidelines, 2021. MMWR Recomm Rep. 2021;70(4):1–187. Centers for Disease Control and Prevention.  </w:t>
      </w:r>
      <w:r>
        <w:rPr>
          <w:rFonts w:ascii="IBM Plex Mono" w:cs="IBM Plex Mono" w:eastAsia="IBM Plex Mono" w:hAnsi="IBM Plex Mono"/>
          <w:color w:val="4F46E5"/>
          <w:sz w:val="17"/>
          <w:szCs w:val="17"/>
          <w:u w:val="single"/>
        </w:rPr>
        <w:t xml:space="preserve">https://www.cdc.gov/std/treatment-guidelines/STI-Guidelines-2021.pdf</w:t>
      </w:r>
    </w:p>
    <w:p>
      <w:pPr>
        <w:spacing w:after="140"/>
        <w:ind w:left="360" w:hanging="360"/>
      </w:pPr>
      <w:r>
        <w:rPr>
          <w:rFonts w:ascii="IBM Plex Mono" w:cs="IBM Plex Mono" w:eastAsia="IBM Plex Mono" w:hAnsi="IBM Plex Mono"/>
          <w:b/>
          <w:bCs/>
          <w:color w:val="3730A3"/>
          <w:sz w:val="19"/>
          <w:szCs w:val="19"/>
        </w:rPr>
        <w:t xml:space="preserve">[7] </w:t>
      </w:r>
      <w:r>
        <w:rPr>
          <w:rFonts w:ascii="IBM Plex Sans" w:cs="IBM Plex Sans" w:eastAsia="IBM Plex Sans" w:hAnsi="IBM Plex Sans"/>
          <w:color w:val="1E293B"/>
          <w:sz w:val="20"/>
          <w:szCs w:val="20"/>
        </w:rPr>
        <w:t xml:space="preserve">International Society of Ultrasound in Obstetrics and Gynecology (ISUOG). ISUOG Practice Guidelines (updated): Performance of the 11–14-week Ultrasound Scan. Ultrasound Obstet Gynecol. 2023;61(1):127–143.  </w:t>
      </w:r>
      <w:r>
        <w:rPr>
          <w:rFonts w:ascii="IBM Plex Mono" w:cs="IBM Plex Mono" w:eastAsia="IBM Plex Mono" w:hAnsi="IBM Plex Mono"/>
          <w:color w:val="4F46E5"/>
          <w:sz w:val="17"/>
          <w:szCs w:val="17"/>
          <w:u w:val="single"/>
        </w:rPr>
        <w:t xml:space="preserve">https://obgyn.onlinelibrary.wiley.com/doi/10.1002/uog.26106</w:t>
      </w:r>
    </w:p>
    <w:p>
      <w:pPr>
        <w:spacing w:after="140"/>
        <w:ind w:left="360" w:hanging="360"/>
      </w:pPr>
      <w:r>
        <w:rPr>
          <w:rFonts w:ascii="IBM Plex Mono" w:cs="IBM Plex Mono" w:eastAsia="IBM Plex Mono" w:hAnsi="IBM Plex Mono"/>
          <w:b/>
          <w:bCs/>
          <w:color w:val="3730A3"/>
          <w:sz w:val="19"/>
          <w:szCs w:val="19"/>
        </w:rPr>
        <w:t xml:space="preserve">[8] </w:t>
      </w:r>
      <w:r>
        <w:rPr>
          <w:rFonts w:ascii="IBM Plex Sans" w:cs="IBM Plex Sans" w:eastAsia="IBM Plex Sans" w:hAnsi="IBM Plex Sans"/>
          <w:color w:val="1E293B"/>
          <w:sz w:val="20"/>
          <w:szCs w:val="20"/>
        </w:rPr>
        <w:t xml:space="preserve">International Confederation of Midwives (ICM). Essential Competencies for Midwifery Practice, 2024 Update. The Hague: ICM; 2024.  </w:t>
      </w:r>
      <w:r>
        <w:rPr>
          <w:rFonts w:ascii="IBM Plex Mono" w:cs="IBM Plex Mono" w:eastAsia="IBM Plex Mono" w:hAnsi="IBM Plex Mono"/>
          <w:color w:val="4F46E5"/>
          <w:sz w:val="17"/>
          <w:szCs w:val="17"/>
          <w:u w:val="single"/>
        </w:rPr>
        <w:t xml:space="preserve">https://internationalmidwives.org/resources/essential-competencies-for-midwifery-practice/</w:t>
      </w:r>
    </w:p>
    <w:p>
      <w:pPr>
        <w:spacing w:after="140"/>
        <w:ind w:left="360" w:hanging="360"/>
      </w:pPr>
      <w:r>
        <w:rPr>
          <w:rFonts w:ascii="IBM Plex Mono" w:cs="IBM Plex Mono" w:eastAsia="IBM Plex Mono" w:hAnsi="IBM Plex Mono"/>
          <w:b/>
          <w:bCs/>
          <w:color w:val="3730A3"/>
          <w:sz w:val="19"/>
          <w:szCs w:val="19"/>
        </w:rPr>
        <w:t xml:space="preserve">[9] </w:t>
      </w:r>
      <w:r>
        <w:rPr>
          <w:rFonts w:ascii="IBM Plex Sans" w:cs="IBM Plex Sans" w:eastAsia="IBM Plex Sans" w:hAnsi="IBM Plex Sans"/>
          <w:color w:val="1E293B"/>
          <w:sz w:val="20"/>
          <w:szCs w:val="20"/>
        </w:rPr>
        <w:t xml:space="preserve">Colombo N, Ledermann JA, et al. ESGO–ESMO–ESP Consensus Conference Recommendations on Ovarian Cancer: Pathology and Molecular Biology, and Early, Advanced, and Recurrent Disease. Ann Oncol. 2023;34(10):833–848.  </w:t>
      </w:r>
      <w:r>
        <w:rPr>
          <w:rFonts w:ascii="IBM Plex Mono" w:cs="IBM Plex Mono" w:eastAsia="IBM Plex Mono" w:hAnsi="IBM Plex Mono"/>
          <w:color w:val="4F46E5"/>
          <w:sz w:val="17"/>
          <w:szCs w:val="17"/>
          <w:u w:val="single"/>
        </w:rPr>
        <w:t xml:space="preserve">https://www.annalsofoncology.org/article/S0923-7534(23)05103-7/fulltext</w:t>
      </w:r>
    </w:p>
    <w:p>
      <w:pPr>
        <w:spacing w:after="140"/>
        <w:ind w:left="360" w:hanging="360"/>
      </w:pPr>
      <w:r>
        <w:rPr>
          <w:rFonts w:ascii="IBM Plex Mono" w:cs="IBM Plex Mono" w:eastAsia="IBM Plex Mono" w:hAnsi="IBM Plex Mono"/>
          <w:b/>
          <w:bCs/>
          <w:color w:val="3730A3"/>
          <w:sz w:val="19"/>
          <w:szCs w:val="19"/>
        </w:rPr>
        <w:t xml:space="preserve">[10] </w:t>
      </w:r>
      <w:r>
        <w:rPr>
          <w:rFonts w:ascii="IBM Plex Sans" w:cs="IBM Plex Sans" w:eastAsia="IBM Plex Sans" w:hAnsi="IBM Plex Sans"/>
          <w:color w:val="1E293B"/>
          <w:sz w:val="20"/>
          <w:szCs w:val="20"/>
        </w:rPr>
        <w:t xml:space="preserve">Colombo N, Sessa C, du Bois A, et al. Newly Diagnosed and Relapsed Epithelial Ovarian Cancer: ESMO Clinical Practice Guideline for Diagnosis, Treatment and Follow-up. Ann Oncol. 2023;34(10):833–848.  </w:t>
      </w:r>
      <w:r>
        <w:rPr>
          <w:rFonts w:ascii="IBM Plex Mono" w:cs="IBM Plex Mono" w:eastAsia="IBM Plex Mono" w:hAnsi="IBM Plex Mono"/>
          <w:color w:val="4F46E5"/>
          <w:sz w:val="17"/>
          <w:szCs w:val="17"/>
          <w:u w:val="single"/>
        </w:rPr>
        <w:t xml:space="preserve">https://www.annalsofoncology.org/article/S0923-7534(23)00797-4/fulltext</w:t>
      </w:r>
    </w:p>
    <w:p>
      <w:pPr>
        <w:spacing w:after="140"/>
        <w:ind w:left="360" w:hanging="360"/>
      </w:pPr>
      <w:r>
        <w:rPr>
          <w:rFonts w:ascii="IBM Plex Mono" w:cs="IBM Plex Mono" w:eastAsia="IBM Plex Mono" w:hAnsi="IBM Plex Mono"/>
          <w:b/>
          <w:bCs/>
          <w:color w:val="3730A3"/>
          <w:sz w:val="19"/>
          <w:szCs w:val="19"/>
        </w:rPr>
        <w:t xml:space="preserve">[11] </w:t>
      </w:r>
      <w:r>
        <w:rPr>
          <w:rFonts w:ascii="IBM Plex Sans" w:cs="IBM Plex Sans" w:eastAsia="IBM Plex Sans" w:hAnsi="IBM Plex Sans"/>
          <w:color w:val="1E293B"/>
          <w:sz w:val="20"/>
          <w:szCs w:val="20"/>
        </w:rPr>
        <w:t xml:space="preserve">National Institute for Health and Care Excellence (NICE). Hypertension in Pregnancy: Diagnosis and Management. NICE Guideline NG133. London: NICE; 2019 (dengan pembaruan berkelanjutan).  </w:t>
      </w:r>
      <w:r>
        <w:rPr>
          <w:rFonts w:ascii="IBM Plex Mono" w:cs="IBM Plex Mono" w:eastAsia="IBM Plex Mono" w:hAnsi="IBM Plex Mono"/>
          <w:color w:val="4F46E5"/>
          <w:sz w:val="17"/>
          <w:szCs w:val="17"/>
          <w:u w:val="single"/>
        </w:rPr>
        <w:t xml:space="preserve">https://www.nice.org.uk/guidance/ng133</w:t>
      </w:r>
    </w:p>
    <w:p>
      <w:pPr>
        <w:spacing w:after="140"/>
        <w:ind w:left="360" w:hanging="360"/>
      </w:pPr>
      <w:r>
        <w:rPr>
          <w:rFonts w:ascii="IBM Plex Mono" w:cs="IBM Plex Mono" w:eastAsia="IBM Plex Mono" w:hAnsi="IBM Plex Mono"/>
          <w:b/>
          <w:bCs/>
          <w:color w:val="3730A3"/>
          <w:sz w:val="19"/>
          <w:szCs w:val="19"/>
        </w:rPr>
        <w:t xml:space="preserve">[12] </w:t>
      </w:r>
      <w:r>
        <w:rPr>
          <w:rFonts w:ascii="IBM Plex Sans" w:cs="IBM Plex Sans" w:eastAsia="IBM Plex Sans" w:hAnsi="IBM Plex Sans"/>
          <w:color w:val="1E293B"/>
          <w:sz w:val="20"/>
          <w:szCs w:val="20"/>
        </w:rPr>
        <w:t xml:space="preserve">Keputusan Ketua Konsil Kesehatan Indonesia Nomor HK.01.02/KKI/1318/2026 tentang Standar Kompetensi Dokter Spesialis dan Subspesialis Bidang Obstetri dan Ginekologi.</w:t>
      </w:r>
    </w:p>
    <w:p>
      <w:pPr>
        <w:pStyle w:val="Heading1"/>
        <w:pageBreakBefore/>
        <w:spacing w:after="240"/>
      </w:pPr>
      <w:r>
        <w:rPr>
          <w:rFonts w:ascii="Source Serif 4" w:cs="Source Serif 4" w:eastAsia="Source Serif 4" w:hAnsi="Source Serif 4"/>
          <w:b/>
          <w:bCs/>
          <w:color w:val="4F46E5"/>
          <w:sz w:val="34"/>
          <w:szCs w:val="34"/>
        </w:rPr>
        <w:t xml:space="preserve">Glosarium</w:t>
      </w:r>
    </w:p>
    <w:p>
      <w:pPr>
        <w:spacing w:after="140"/>
      </w:pPr>
      <w:r>
        <w:rPr>
          <w:rFonts w:ascii="IBM Plex Sans" w:cs="IBM Plex Sans" w:eastAsia="IBM Plex Sans" w:hAnsi="IBM Plex Sans"/>
          <w:b/>
          <w:bCs/>
          <w:color w:val="3730A3"/>
          <w:sz w:val="20"/>
          <w:szCs w:val="20"/>
        </w:rPr>
        <w:t xml:space="preserve">Aneuploidi — </w:t>
      </w:r>
      <w:r>
        <w:rPr>
          <w:rFonts w:ascii="IBM Plex Sans" w:cs="IBM Plex Sans" w:eastAsia="IBM Plex Sans" w:hAnsi="IBM Plex Sans"/>
          <w:color w:val="1E293B"/>
          <w:sz w:val="20"/>
          <w:szCs w:val="20"/>
        </w:rPr>
        <w:t xml:space="preserve">Kondisi jumlah kromosom sel yang tidak sesuai dengan kelipatan normal set haploid, misalnya trisomi 21 pada sindrom Down.</w:t>
      </w:r>
    </w:p>
    <w:p>
      <w:pPr>
        <w:spacing w:after="140"/>
      </w:pPr>
      <w:r>
        <w:rPr>
          <w:rFonts w:ascii="IBM Plex Sans" w:cs="IBM Plex Sans" w:eastAsia="IBM Plex Sans" w:hAnsi="IBM Plex Sans"/>
          <w:b/>
          <w:bCs/>
          <w:color w:val="3730A3"/>
          <w:sz w:val="20"/>
          <w:szCs w:val="20"/>
        </w:rPr>
        <w:t xml:space="preserve">Atosiban — </w:t>
      </w:r>
      <w:r>
        <w:rPr>
          <w:rFonts w:ascii="IBM Plex Sans" w:cs="IBM Plex Sans" w:eastAsia="IBM Plex Sans" w:hAnsi="IBM Plex Sans"/>
          <w:color w:val="1E293B"/>
          <w:sz w:val="20"/>
          <w:szCs w:val="20"/>
        </w:rPr>
        <w:t xml:space="preserve">Obat golongan antagonis reseptor oksitosin yang digunakan sebagai tokolitik untuk menunda persalinan preterm.</w:t>
      </w:r>
    </w:p>
    <w:p>
      <w:pPr>
        <w:spacing w:after="140"/>
      </w:pPr>
      <w:r>
        <w:rPr>
          <w:rFonts w:ascii="IBM Plex Sans" w:cs="IBM Plex Sans" w:eastAsia="IBM Plex Sans" w:hAnsi="IBM Plex Sans"/>
          <w:b/>
          <w:bCs/>
          <w:color w:val="3730A3"/>
          <w:sz w:val="20"/>
          <w:szCs w:val="20"/>
        </w:rPr>
        <w:t xml:space="preserve">BRCA1/BRCA2 — </w:t>
      </w:r>
      <w:r>
        <w:rPr>
          <w:rFonts w:ascii="IBM Plex Sans" w:cs="IBM Plex Sans" w:eastAsia="IBM Plex Sans" w:hAnsi="IBM Plex Sans"/>
          <w:color w:val="1E293B"/>
          <w:sz w:val="20"/>
          <w:szCs w:val="20"/>
        </w:rPr>
        <w:t xml:space="preserve">Gen supresor tumor yang bila bermutasi secara germline meningkatkan risiko kumulatif kanker ovarium dan kanker payudara.</w:t>
      </w:r>
    </w:p>
    <w:p>
      <w:pPr>
        <w:spacing w:after="140"/>
      </w:pPr>
      <w:r>
        <w:rPr>
          <w:rFonts w:ascii="IBM Plex Sans" w:cs="IBM Plex Sans" w:eastAsia="IBM Plex Sans" w:hAnsi="IBM Plex Sans"/>
          <w:b/>
          <w:bCs/>
          <w:color w:val="3730A3"/>
          <w:sz w:val="20"/>
          <w:szCs w:val="20"/>
        </w:rPr>
        <w:t xml:space="preserve">Cervical ripening — </w:t>
      </w:r>
      <w:r>
        <w:rPr>
          <w:rFonts w:ascii="IBM Plex Sans" w:cs="IBM Plex Sans" w:eastAsia="IBM Plex Sans" w:hAnsi="IBM Plex Sans"/>
          <w:color w:val="1E293B"/>
          <w:sz w:val="20"/>
          <w:szCs w:val="20"/>
        </w:rPr>
        <w:t xml:space="preserve">Proses pematangan/pelunakan serviks melalui remodeling matriks ekstraselular sebagai persiapan menjelang persalinan.</w:t>
      </w:r>
    </w:p>
    <w:p>
      <w:pPr>
        <w:spacing w:after="140"/>
      </w:pPr>
      <w:r>
        <w:rPr>
          <w:rFonts w:ascii="IBM Plex Sans" w:cs="IBM Plex Sans" w:eastAsia="IBM Plex Sans" w:hAnsi="IBM Plex Sans"/>
          <w:b/>
          <w:bCs/>
          <w:color w:val="3730A3"/>
          <w:sz w:val="20"/>
          <w:szCs w:val="20"/>
        </w:rPr>
        <w:t xml:space="preserve">CIN (Cervical Intraepithelial Neoplasia) — </w:t>
      </w:r>
      <w:r>
        <w:rPr>
          <w:rFonts w:ascii="IBM Plex Sans" w:cs="IBM Plex Sans" w:eastAsia="IBM Plex Sans" w:hAnsi="IBM Plex Sans"/>
          <w:color w:val="1E293B"/>
          <w:sz w:val="20"/>
          <w:szCs w:val="20"/>
        </w:rPr>
        <w:t xml:space="preserve">Spektrum lesi prakanker pada epitel serviks yang berkaitan dengan infeksi HPV onkogenik persisten.</w:t>
      </w:r>
    </w:p>
    <w:p>
      <w:pPr>
        <w:spacing w:after="140"/>
      </w:pPr>
      <w:r>
        <w:rPr>
          <w:rFonts w:ascii="IBM Plex Sans" w:cs="IBM Plex Sans" w:eastAsia="IBM Plex Sans" w:hAnsi="IBM Plex Sans"/>
          <w:b/>
          <w:bCs/>
          <w:color w:val="3730A3"/>
          <w:sz w:val="20"/>
          <w:szCs w:val="20"/>
        </w:rPr>
        <w:t xml:space="preserve">Desidua — </w:t>
      </w:r>
      <w:r>
        <w:rPr>
          <w:rFonts w:ascii="IBM Plex Sans" w:cs="IBM Plex Sans" w:eastAsia="IBM Plex Sans" w:hAnsi="IBM Plex Sans"/>
          <w:color w:val="1E293B"/>
          <w:sz w:val="20"/>
          <w:szCs w:val="20"/>
        </w:rPr>
        <w:t xml:space="preserve">Lapisan endometrium yang mengalami transformasi khusus selama kehamilan untuk mendukung implantasi dan nutrisi awal janin.</w:t>
      </w:r>
    </w:p>
    <w:p>
      <w:pPr>
        <w:spacing w:after="140"/>
      </w:pPr>
      <w:r>
        <w:rPr>
          <w:rFonts w:ascii="IBM Plex Sans" w:cs="IBM Plex Sans" w:eastAsia="IBM Plex Sans" w:hAnsi="IBM Plex Sans"/>
          <w:b/>
          <w:bCs/>
          <w:color w:val="3730A3"/>
          <w:sz w:val="20"/>
          <w:szCs w:val="20"/>
        </w:rPr>
        <w:t xml:space="preserve">Eklamsia — </w:t>
      </w:r>
      <w:r>
        <w:rPr>
          <w:rFonts w:ascii="IBM Plex Sans" w:cs="IBM Plex Sans" w:eastAsia="IBM Plex Sans" w:hAnsi="IBM Plex Sans"/>
          <w:color w:val="1E293B"/>
          <w:sz w:val="20"/>
          <w:szCs w:val="20"/>
        </w:rPr>
        <w:t xml:space="preserve">Kejang yang terjadi pada wanita dengan preeklamsia, tanpa penyebab kejang lain yang dapat diidentifikasi.</w:t>
      </w:r>
    </w:p>
    <w:p>
      <w:pPr>
        <w:spacing w:after="140"/>
      </w:pPr>
      <w:r>
        <w:rPr>
          <w:rFonts w:ascii="IBM Plex Sans" w:cs="IBM Plex Sans" w:eastAsia="IBM Plex Sans" w:hAnsi="IBM Plex Sans"/>
          <w:b/>
          <w:bCs/>
          <w:color w:val="3730A3"/>
          <w:sz w:val="20"/>
          <w:szCs w:val="20"/>
        </w:rPr>
        <w:t xml:space="preserve">GnRH (Gonadotropin-Releasing Hormone) — </w:t>
      </w:r>
      <w:r>
        <w:rPr>
          <w:rFonts w:ascii="IBM Plex Sans" w:cs="IBM Plex Sans" w:eastAsia="IBM Plex Sans" w:hAnsi="IBM Plex Sans"/>
          <w:color w:val="1E293B"/>
          <w:sz w:val="20"/>
          <w:szCs w:val="20"/>
        </w:rPr>
        <w:t xml:space="preserve">Hormon hipotalamus yang mengatur pelepasan FSH dan LH dari hipofisis anterior untuk mengendalikan aksis reproduksi.</w:t>
      </w:r>
    </w:p>
    <w:p>
      <w:pPr>
        <w:spacing w:after="140"/>
      </w:pPr>
      <w:r>
        <w:rPr>
          <w:rFonts w:ascii="IBM Plex Sans" w:cs="IBM Plex Sans" w:eastAsia="IBM Plex Sans" w:hAnsi="IBM Plex Sans"/>
          <w:b/>
          <w:bCs/>
          <w:color w:val="3730A3"/>
          <w:sz w:val="20"/>
          <w:szCs w:val="20"/>
        </w:rPr>
        <w:t xml:space="preserve">HPO axis (Hypothalamic-Pituitary-Ovarian Axis) — </w:t>
      </w:r>
      <w:r>
        <w:rPr>
          <w:rFonts w:ascii="IBM Plex Sans" w:cs="IBM Plex Sans" w:eastAsia="IBM Plex Sans" w:hAnsi="IBM Plex Sans"/>
          <w:color w:val="1E293B"/>
          <w:sz w:val="20"/>
          <w:szCs w:val="20"/>
        </w:rPr>
        <w:t xml:space="preserve">Jalur regulasi hormonal antara hipotalamus, hipofisis, dan ovarium yang mengendalikan siklus menstruasi dan reproduksi.</w:t>
      </w:r>
    </w:p>
    <w:p>
      <w:pPr>
        <w:spacing w:after="140"/>
      </w:pPr>
      <w:r>
        <w:rPr>
          <w:rFonts w:ascii="IBM Plex Sans" w:cs="IBM Plex Sans" w:eastAsia="IBM Plex Sans" w:hAnsi="IBM Plex Sans"/>
          <w:b/>
          <w:bCs/>
          <w:color w:val="3730A3"/>
          <w:sz w:val="20"/>
          <w:szCs w:val="20"/>
        </w:rPr>
        <w:t xml:space="preserve">Karbetosin — </w:t>
      </w:r>
      <w:r>
        <w:rPr>
          <w:rFonts w:ascii="IBM Plex Sans" w:cs="IBM Plex Sans" w:eastAsia="IBM Plex Sans" w:hAnsi="IBM Plex Sans"/>
          <w:color w:val="1E293B"/>
          <w:sz w:val="20"/>
          <w:szCs w:val="20"/>
        </w:rPr>
        <w:t xml:space="preserve">Analog oksitosin kerja panjang yang digunakan sebagai uterotonika, terutama pada profilaksis PPH pasca seksio sesarea elektif.</w:t>
      </w:r>
    </w:p>
    <w:p>
      <w:pPr>
        <w:spacing w:after="140"/>
      </w:pPr>
      <w:r>
        <w:rPr>
          <w:rFonts w:ascii="IBM Plex Sans" w:cs="IBM Plex Sans" w:eastAsia="IBM Plex Sans" w:hAnsi="IBM Plex Sans"/>
          <w:b/>
          <w:bCs/>
          <w:color w:val="3730A3"/>
          <w:sz w:val="20"/>
          <w:szCs w:val="20"/>
        </w:rPr>
        <w:t xml:space="preserve">Kemoradiasi bersamaan (concurrent chemoradiation) — </w:t>
      </w:r>
      <w:r>
        <w:rPr>
          <w:rFonts w:ascii="IBM Plex Sans" w:cs="IBM Plex Sans" w:eastAsia="IBM Plex Sans" w:hAnsi="IBM Plex Sans"/>
          <w:color w:val="1E293B"/>
          <w:sz w:val="20"/>
          <w:szCs w:val="20"/>
        </w:rPr>
        <w:t xml:space="preserve">Strategi terapi kanker yang menggabungkan pemberian kemoterapi bersamaan dengan radioterapi untuk meningkatkan efektivitas radiosensitisasi.</w:t>
      </w:r>
    </w:p>
    <w:p>
      <w:pPr>
        <w:spacing w:after="140"/>
      </w:pPr>
      <w:r>
        <w:rPr>
          <w:rFonts w:ascii="IBM Plex Sans" w:cs="IBM Plex Sans" w:eastAsia="IBM Plex Sans" w:hAnsi="IBM Plex Sans"/>
          <w:b/>
          <w:bCs/>
          <w:color w:val="3730A3"/>
          <w:sz w:val="20"/>
          <w:szCs w:val="20"/>
        </w:rPr>
        <w:t xml:space="preserve">Kolposkopi — </w:t>
      </w:r>
      <w:r>
        <w:rPr>
          <w:rFonts w:ascii="IBM Plex Sans" w:cs="IBM Plex Sans" w:eastAsia="IBM Plex Sans" w:hAnsi="IBM Plex Sans"/>
          <w:color w:val="1E293B"/>
          <w:sz w:val="20"/>
          <w:szCs w:val="20"/>
        </w:rPr>
        <w:t xml:space="preserve">Prosedur pemeriksaan visual serviks menggunakan alat pembesar untuk mengevaluasi lesi abnormal setelah hasil skrining positif.</w:t>
      </w:r>
    </w:p>
    <w:p>
      <w:pPr>
        <w:spacing w:after="140"/>
      </w:pPr>
      <w:r>
        <w:rPr>
          <w:rFonts w:ascii="IBM Plex Sans" w:cs="IBM Plex Sans" w:eastAsia="IBM Plex Sans" w:hAnsi="IBM Plex Sans"/>
          <w:b/>
          <w:bCs/>
          <w:color w:val="3730A3"/>
          <w:sz w:val="20"/>
          <w:szCs w:val="20"/>
        </w:rPr>
        <w:t xml:space="preserve">Laktogenesis — </w:t>
      </w:r>
      <w:r>
        <w:rPr>
          <w:rFonts w:ascii="IBM Plex Sans" w:cs="IBM Plex Sans" w:eastAsia="IBM Plex Sans" w:hAnsi="IBM Plex Sans"/>
          <w:color w:val="1E293B"/>
          <w:sz w:val="20"/>
          <w:szCs w:val="20"/>
        </w:rPr>
        <w:t xml:space="preserve">Proses fisiologis pembentukan dan permulaan sekresi air susu pada kelenjar mamaria.</w:t>
      </w:r>
    </w:p>
    <w:p>
      <w:pPr>
        <w:spacing w:after="140"/>
      </w:pPr>
      <w:r>
        <w:rPr>
          <w:rFonts w:ascii="IBM Plex Sans" w:cs="IBM Plex Sans" w:eastAsia="IBM Plex Sans" w:hAnsi="IBM Plex Sans"/>
          <w:b/>
          <w:bCs/>
          <w:color w:val="3730A3"/>
          <w:sz w:val="20"/>
          <w:szCs w:val="20"/>
        </w:rPr>
        <w:t xml:space="preserve">Miometrium — </w:t>
      </w:r>
      <w:r>
        <w:rPr>
          <w:rFonts w:ascii="IBM Plex Sans" w:cs="IBM Plex Sans" w:eastAsia="IBM Plex Sans" w:hAnsi="IBM Plex Sans"/>
          <w:color w:val="1E293B"/>
          <w:sz w:val="20"/>
          <w:szCs w:val="20"/>
        </w:rPr>
        <w:t xml:space="preserve">Lapisan otot polos uterus yang bertanggung jawab atas kontraksi selama persalinan.</w:t>
      </w:r>
    </w:p>
    <w:p>
      <w:pPr>
        <w:spacing w:after="140"/>
      </w:pPr>
      <w:r>
        <w:rPr>
          <w:rFonts w:ascii="IBM Plex Sans" w:cs="IBM Plex Sans" w:eastAsia="IBM Plex Sans" w:hAnsi="IBM Plex Sans"/>
          <w:b/>
          <w:bCs/>
          <w:color w:val="3730A3"/>
          <w:sz w:val="20"/>
          <w:szCs w:val="20"/>
        </w:rPr>
        <w:t xml:space="preserve">NIPT (Non-Invasive Prenatal Testing) — </w:t>
      </w:r>
      <w:r>
        <w:rPr>
          <w:rFonts w:ascii="IBM Plex Sans" w:cs="IBM Plex Sans" w:eastAsia="IBM Plex Sans" w:hAnsi="IBM Plex Sans"/>
          <w:color w:val="1E293B"/>
          <w:sz w:val="20"/>
          <w:szCs w:val="20"/>
        </w:rPr>
        <w:t xml:space="preserve">Pemeriksaan skrining prenatal berbasis analisis DNA bebas sel janin dalam plasma darah ibu untuk menilai risiko aneuploidi.</w:t>
      </w:r>
    </w:p>
    <w:p>
      <w:pPr>
        <w:spacing w:after="140"/>
      </w:pPr>
      <w:r>
        <w:rPr>
          <w:rFonts w:ascii="IBM Plex Sans" w:cs="IBM Plex Sans" w:eastAsia="IBM Plex Sans" w:hAnsi="IBM Plex Sans"/>
          <w:b/>
          <w:bCs/>
          <w:color w:val="3730A3"/>
          <w:sz w:val="20"/>
          <w:szCs w:val="20"/>
        </w:rPr>
        <w:t xml:space="preserve">Preeklamsia — </w:t>
      </w:r>
      <w:r>
        <w:rPr>
          <w:rFonts w:ascii="IBM Plex Sans" w:cs="IBM Plex Sans" w:eastAsia="IBM Plex Sans" w:hAnsi="IBM Plex Sans"/>
          <w:color w:val="1E293B"/>
          <w:sz w:val="20"/>
          <w:szCs w:val="20"/>
        </w:rPr>
        <w:t xml:space="preserve">Kondisi hipertensi spesifik kehamilan yang disertai proteinuria dan/atau tanda keterlibatan organ lain, timbul setelah usia kehamilan 20 minggu.</w:t>
      </w:r>
    </w:p>
    <w:p>
      <w:pPr>
        <w:spacing w:after="140"/>
      </w:pPr>
      <w:r>
        <w:rPr>
          <w:rFonts w:ascii="IBM Plex Sans" w:cs="IBM Plex Sans" w:eastAsia="IBM Plex Sans" w:hAnsi="IBM Plex Sans"/>
          <w:b/>
          <w:bCs/>
          <w:color w:val="3730A3"/>
          <w:sz w:val="20"/>
          <w:szCs w:val="20"/>
        </w:rPr>
        <w:t xml:space="preserve">Sindrom Lynch — </w:t>
      </w:r>
      <w:r>
        <w:rPr>
          <w:rFonts w:ascii="IBM Plex Sans" w:cs="IBM Plex Sans" w:eastAsia="IBM Plex Sans" w:hAnsi="IBM Plex Sans"/>
          <w:color w:val="1E293B"/>
          <w:sz w:val="20"/>
          <w:szCs w:val="20"/>
        </w:rPr>
        <w:t xml:space="preserve">Sindrom kanker herediter akibat mutasi gen mismatch repair yang meningkatkan risiko kanker endometrium dan kanker kolorektal.</w:t>
      </w:r>
    </w:p>
    <w:p>
      <w:pPr>
        <w:spacing w:after="140"/>
      </w:pPr>
      <w:r>
        <w:rPr>
          <w:rFonts w:ascii="IBM Plex Sans" w:cs="IBM Plex Sans" w:eastAsia="IBM Plex Sans" w:hAnsi="IBM Plex Sans"/>
          <w:b/>
          <w:bCs/>
          <w:color w:val="3730A3"/>
          <w:sz w:val="20"/>
          <w:szCs w:val="20"/>
        </w:rPr>
        <w:t xml:space="preserve">Tokolitik — </w:t>
      </w:r>
      <w:r>
        <w:rPr>
          <w:rFonts w:ascii="IBM Plex Sans" w:cs="IBM Plex Sans" w:eastAsia="IBM Plex Sans" w:hAnsi="IBM Plex Sans"/>
          <w:color w:val="1E293B"/>
          <w:sz w:val="20"/>
          <w:szCs w:val="20"/>
        </w:rPr>
        <w:t xml:space="preserve">Golongan obat yang digunakan untuk menunda sementara terjadinya persalinan preterm.</w:t>
      </w:r>
    </w:p>
    <w:p>
      <w:pPr>
        <w:spacing w:after="140"/>
      </w:pPr>
      <w:r>
        <w:rPr>
          <w:rFonts w:ascii="IBM Plex Sans" w:cs="IBM Plex Sans" w:eastAsia="IBM Plex Sans" w:hAnsi="IBM Plex Sans"/>
          <w:b/>
          <w:bCs/>
          <w:color w:val="3730A3"/>
          <w:sz w:val="20"/>
          <w:szCs w:val="20"/>
        </w:rPr>
        <w:t xml:space="preserve">Trofoblas — </w:t>
      </w:r>
      <w:r>
        <w:rPr>
          <w:rFonts w:ascii="IBM Plex Sans" w:cs="IBM Plex Sans" w:eastAsia="IBM Plex Sans" w:hAnsi="IBM Plex Sans"/>
          <w:color w:val="1E293B"/>
          <w:sz w:val="20"/>
          <w:szCs w:val="20"/>
        </w:rPr>
        <w:t xml:space="preserve">Lapisan sel terluar blastokista yang berkembang menjadi bagian janin dari plasenta dan berperan pada invasi arteri spiralis maternal.</w:t>
      </w:r>
    </w:p>
    <w:p>
      <w:pPr>
        <w:spacing w:after="140"/>
      </w:pPr>
      <w:r>
        <w:rPr>
          <w:rFonts w:ascii="IBM Plex Sans" w:cs="IBM Plex Sans" w:eastAsia="IBM Plex Sans" w:hAnsi="IBM Plex Sans"/>
          <w:b/>
          <w:bCs/>
          <w:color w:val="3730A3"/>
          <w:sz w:val="20"/>
          <w:szCs w:val="20"/>
        </w:rPr>
        <w:t xml:space="preserve">Uterotonika — </w:t>
      </w:r>
      <w:r>
        <w:rPr>
          <w:rFonts w:ascii="IBM Plex Sans" w:cs="IBM Plex Sans" w:eastAsia="IBM Plex Sans" w:hAnsi="IBM Plex Sans"/>
          <w:color w:val="1E293B"/>
          <w:sz w:val="20"/>
          <w:szCs w:val="20"/>
        </w:rPr>
        <w:t xml:space="preserve">Golongan obat yang meningkatkan kontraktilitas miometrium, digunakan pada induksi/augmentasi persalinan dan tata laksana PPH.</w:t>
      </w:r>
    </w:p>
    <w:p>
      <w:pPr>
        <w:pageBreakBefore/>
        <w:spacing w:before="400"/>
      </w:pPr>
      <w:r>
        <w:rPr>
          <w:rFonts w:ascii="IBM Plex Mono" w:cs="IBM Plex Mono" w:eastAsia="IBM Plex Mono" w:hAnsi="IBM Plex Mono"/>
          <w:color w:val="334155"/>
          <w:sz w:val="16"/>
          <w:szCs w:val="16"/>
        </w:rPr>
        <w:t xml:space="preserve">Dokumen B13 dari 15 — Sebelumnya: B12 — Dokumen 13 dari 15 · Berikutnya: B14 — Dokumen 15 dari 15</w:t>
      </w:r>
    </w:p>
    <w:sectPr>
      <w:headerReference w:type="default" r:id="rId7"/>
      <w:footerReference w:type="default" r:id="rId8"/>
      <w:pgSz w:w="11908" w:h="16833"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Halaman </w:t>
    </w:r>
    <w:r>
      <w:rPr>
        <w:rFonts w:ascii="IBM Plex Mono" w:cs="IBM Plex Mono" w:eastAsia="IBM Plex Mono" w:hAnsi="IBM Plex Mono"/>
        <w:color w:val="334155"/>
        <w:sz w:val="15"/>
        <w:szCs w:val="15"/>
      </w:rPr>
      <w:fldChar w:fldCharType="begin"/>
      <w:instrText xml:space="preserve">PAGE</w:instrText>
      <w:fldChar w:fldCharType="separate"/>
      <w:fldChar w:fldCharType="end"/>
    </w:r>
    <w:r>
      <w:rPr>
        <w:rFonts w:ascii="IBM Plex Mono" w:cs="IBM Plex Mono" w:eastAsia="IBM Plex Mono" w:hAnsi="IBM Plex Mono"/>
        <w:color w:val="334155"/>
        <w:sz w:val="15"/>
        <w:szCs w:val="15"/>
      </w:rPr>
      <w:t xml:space="preserve"> dari </w:t>
    </w:r>
    <w:r>
      <w:rPr>
        <w:rFonts w:ascii="IBM Plex Mono" w:cs="IBM Plex Mono" w:eastAsia="IBM Plex Mono" w:hAnsi="IBM Plex Mono"/>
        <w:color w:val="3341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pBdr>
      <w:tabs>
        <w:tab w:val="right" w:pos="9026"/>
      </w:tabs>
    </w:pPr>
    <w:r>
      <w:rPr>
        <w:rFonts w:ascii="IBM Plex Mono" w:cs="IBM Plex Mono" w:eastAsia="IBM Plex Mono" w:hAnsi="IBM Plex Mono"/>
        <w:color w:val="334155"/>
        <w:sz w:val="15"/>
        <w:szCs w:val="15"/>
      </w:rPr>
      <w:t xml:space="preserve">Penguasaan Pengetahuan Biomedik, Farmakologi, dan Ilmu Dasar Penunjang Praktik Obgin</w:t>
    </w:r>
    <w:r>
      <w:rPr>
        <w:rFonts w:ascii="IBM Plex Mono" w:cs="IBM Plex Mono" w:eastAsia="IBM Plex Mono" w:hAnsi="IBM Plex Mono"/>
        <w:b/>
        <w:bCs/>
        <w:color w:val="B45309"/>
        <w:sz w:val="15"/>
        <w:szCs w:val="15"/>
      </w:rPr>
      <w:t xml:space="preserve">	B13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0"/>
    </w:pPr>
    <w:rPr>
      <w:rFonts w:ascii="Source Serif 4" w:cs="Source Serif 4" w:eastAsia="Source Serif 4" w:hAnsi="Source Serif 4"/>
      <w:b/>
      <w:bCs/>
      <w:color w:val="4F46E5"/>
      <w:sz w:val="34"/>
      <w:szCs w:val="34"/>
    </w:rPr>
  </w:style>
  <w:style w:type="paragraph" w:styleId="Heading2">
    <w:name w:val="Heading 2"/>
    <w:basedOn w:val="Normal"/>
    <w:next w:val="Normal"/>
    <w:qFormat/>
    <w:pPr>
      <w:spacing w:after="140" w:before="240"/>
    </w:pPr>
    <w:rPr>
      <w:rFonts w:ascii="Source Serif 4" w:cs="Source Serif 4" w:eastAsia="Source Serif 4" w:hAnsi="Source Serif 4"/>
      <w:b/>
      <w:bCs/>
      <w:color w:val="3730A3"/>
      <w:sz w:val="26"/>
      <w:szCs w:val="26"/>
    </w:rPr>
  </w:style>
  <w:style w:type="paragraph" w:styleId="Heading3">
    <w:name w:val="Heading 3"/>
    <w:basedOn w:val="Normal"/>
    <w:next w:val="Normal"/>
    <w:qFormat/>
    <w:pPr>
      <w:spacing w:after="100" w:before="160"/>
    </w:pPr>
    <w:rPr>
      <w:rFonts w:ascii="Source Serif 4" w:cs="Source Serif 4" w:eastAsia="Source Serif 4" w:hAnsi="Source Serif 4"/>
      <w:b/>
      <w:bCs/>
      <w:color w:val="334155"/>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2026-08-18T21:26:05.935Z</dcterms:created>
  <dcterms:modified xsi:type="dcterms:W3CDTF">2026-08-18T21:26:05.935Z</dcterms:modified>
</cp:coreProperties>
</file>

<file path=docProps/custom.xml><?xml version="1.0" encoding="utf-8"?>
<Properties xmlns="http://schemas.openxmlformats.org/officeDocument/2006/custom-properties" xmlns:vt="http://schemas.openxmlformats.org/officeDocument/2006/docPropsVTypes"/>
</file>