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p>
    <w:p>
      <w:pPr>
        <w:jc w:val="center"/>
      </w:pPr>
      <w:r>
        <w:rPr>
          <w:rFonts w:ascii="IBM Plex Sans" w:cs="IBM Plex Sans" w:eastAsia="IBM Plex Sans" w:hAnsi="IBM Plex Sans"/>
          <w:b/>
          <w:bCs/>
          <w:color w:val="B45309"/>
          <w:sz w:val="20"/>
          <w:szCs w:val="20"/>
        </w:rPr>
        <w:t xml:space="preserve">EKOSISTEM LITERATUR STANDAR SpOG</w:t>
      </w:r>
    </w:p>
    <w:p>
      <w:pPr>
        <w:spacing w:after="300" w:before="100"/>
        <w:jc w:val="center"/>
      </w:pPr>
      <w:r>
        <w:rPr>
          <w:rFonts w:ascii="IBM Plex Mono" w:cs="IBM Plex Mono" w:eastAsia="IBM Plex Mono" w:hAnsi="IBM Plex Mono"/>
          <w:b/>
          <w:bCs/>
          <w:color w:val="64748B"/>
          <w:sz w:val="18"/>
          <w:szCs w:val="18"/>
        </w:rPr>
        <w:t xml:space="preserve">BUKU TEMATIK · UNIT B14 · DOKUMEN 15 DARI 15 (KATEGORI BUKU)</w:t>
      </w:r>
    </w:p>
    <w:p>
      <w:pPr>
        <w:spacing w:before="600"/>
        <w:jc w:val="center"/>
      </w:pPr>
      <w:r>
        <w:rPr>
          <w:rFonts w:ascii="Source Serif 4" w:cs="Source Serif 4" w:eastAsia="Source Serif 4" w:hAnsi="Source Serif 4"/>
          <w:b/>
          <w:bCs/>
          <w:color w:val="3730A3"/>
          <w:sz w:val="46"/>
          <w:szCs w:val="46"/>
        </w:rPr>
        <w:t xml:space="preserve">Komunikasi Interpersonal, Profesionalisme, Praktik Berbasis Sistem, dan Kesadaran Biaya</w:t>
      </w:r>
    </w:p>
    <w:p>
      <w:pPr>
        <w:spacing w:after="500" w:before="500"/>
        <w:jc w:val="center"/>
      </w:pPr>
      <w:r>
        <w:rPr>
          <w:rFonts w:ascii="IBM Plex Sans" w:cs="IBM Plex Sans" w:eastAsia="IBM Plex Sans" w:hAnsi="IBM Plex Sans"/>
          <w:i/>
          <w:iCs/>
          <w:color w:val="334155"/>
          <w:sz w:val="24"/>
          <w:szCs w:val="24"/>
        </w:rPr>
        <w:t xml:space="preserve">Standar Kompetensi Dokter Spesialis dan Subspesialis Bidang Obstetri dan Ginekologi</w:t>
      </w:r>
    </w:p>
    <w:p>
      <w:pPr>
        <w:spacing w:before="800"/>
        <w:jc w:val="center"/>
      </w:pPr>
      <w:r>
        <w:rPr>
          <w:rFonts w:ascii="IBM Plex Mono" w:cs="IBM Plex Mono" w:eastAsia="IBM Plex Mono" w:hAnsi="IBM Plex Mono"/>
          <w:b/>
          <w:bCs/>
          <w:color w:val="B45309"/>
          <w:sz w:val="18"/>
          <w:szCs w:val="18"/>
        </w:rPr>
        <w:t xml:space="preserve">AUDIENS UTAMA</w:t>
      </w:r>
    </w:p>
    <w:p>
      <w:pPr>
        <w:spacing w:after="400"/>
        <w:jc w:val="center"/>
      </w:pPr>
      <w:r>
        <w:rPr>
          <w:rFonts w:ascii="IBM Plex Sans" w:cs="IBM Plex Sans" w:eastAsia="IBM Plex Sans" w:hAnsi="IBM Plex Sans"/>
          <w:color w:val="334155"/>
          <w:sz w:val="22"/>
          <w:szCs w:val="22"/>
        </w:rPr>
        <w:t xml:space="preserve">Peserta Didik Program Pendidikan Dokter Spesialis (PPDS) Obstetri dan Ginekologi, seluruh tahun</w:t>
      </w:r>
    </w:p>
    <w:p>
      <w:pPr>
        <w:jc w:val="center"/>
      </w:pPr>
      <w:r>
        <w:rPr>
          <w:rFonts w:ascii="IBM Plex Mono" w:cs="IBM Plex Mono" w:eastAsia="IBM Plex Mono" w:hAnsi="IBM Plex Mono"/>
          <w:b/>
          <w:bCs/>
          <w:color w:val="B45309"/>
          <w:sz w:val="18"/>
          <w:szCs w:val="18"/>
        </w:rPr>
        <w:t xml:space="preserve">DIVISI PENGAMPU</w:t>
      </w:r>
    </w:p>
    <w:p>
      <w:pPr>
        <w:spacing w:after="800"/>
        <w:jc w:val="center"/>
      </w:pPr>
      <w:r>
        <w:rPr>
          <w:rFonts w:ascii="IBM Plex Sans" w:cs="IBM Plex Sans" w:eastAsia="IBM Plex Sans" w:hAnsi="IBM Plex Sans"/>
          <w:color w:val="334155"/>
          <w:sz w:val="22"/>
          <w:szCs w:val="22"/>
        </w:rPr>
        <w:t xml:space="preserve">Lintas 5 Divisi (Fetomaternal; Fertilitas dan Endokrinologi Reproduksi; Onkologi Ginekologi; Obstetri Ginekologi Sosial; Uroginekologi Rekonstruksi)</w:t>
      </w:r>
    </w:p>
    <w:p>
      <w:pPr>
        <w:pBdr>
          <w:top w:val="single" w:color="4F46E5" w:sz="6"/>
        </w:pBdr>
        <w:spacing w:before="400"/>
        <w:jc w:val="center"/>
      </w:pPr>
    </w:p>
    <w:p>
      <w:pPr>
        <w:spacing w:before="200"/>
        <w:jc w:val="center"/>
      </w:pPr>
      <w:r>
        <w:rPr>
          <w:rFonts w:ascii="IBM Plex Mono" w:cs="IBM Plex Mono" w:eastAsia="IBM Plex Mono" w:hAnsi="IBM Plex Mono"/>
          <w:b/>
          <w:bCs/>
          <w:color w:val="B45309"/>
          <w:sz w:val="18"/>
          <w:szCs w:val="18"/>
        </w:rPr>
        <w:t xml:space="preserve">DASAR REGULASI</w:t>
      </w:r>
    </w:p>
    <w:p>
      <w:pPr>
        <w:spacing w:after="200"/>
        <w:jc w:val="center"/>
      </w:pPr>
      <w:r>
        <w:rPr>
          <w:rFonts w:ascii="IBM Plex Mono" w:cs="IBM Plex Mono" w:eastAsia="IBM Plex Mono" w:hAnsi="IBM Plex Mono"/>
          <w:color w:val="334155"/>
          <w:sz w:val="20"/>
          <w:szCs w:val="20"/>
        </w:rPr>
        <w:t xml:space="preserve">Keputusan Ketua Konsil Kesehatan Indonesia No. HK.01.02/KKI/1318/2026 tentang Standar Kompetensi Dokter Spesialis dan Subspesialis Bidang Obstetri dan Ginekologi, Lampiran Tabel 39, 40, 41, dan 42 (Area Kompetensi 4-7)</w:t>
      </w:r>
    </w:p>
    <w:p>
      <w:pPr>
        <w:spacing w:before="700"/>
        <w:jc w:val="center"/>
      </w:pPr>
      <w:r>
        <w:rPr>
          <w:rFonts w:ascii="IBM Plex Sans" w:cs="IBM Plex Sans" w:eastAsia="IBM Plex Sans" w:hAnsi="IBM Plex Sans"/>
          <w:b/>
          <w:bCs/>
          <w:color w:val="334155"/>
          <w:sz w:val="22"/>
          <w:szCs w:val="22"/>
        </w:rPr>
        <w:t xml:space="preserve">Dr.dr. Budi Siswanto, Sp.OG., Subsp.Obginsos., SH., S.Kom.</w:t>
      </w:r>
    </w:p>
    <w:p>
      <w:pPr>
        <w:spacing w:before="120"/>
        <w:jc w:val="center"/>
      </w:pPr>
      <w:r>
        <w:rPr>
          <w:rFonts w:ascii="IBM Plex Sans" w:cs="IBM Plex Sans" w:eastAsia="IBM Plex Sans" w:hAnsi="IBM Plex Sans"/>
          <w:color w:val="64748B"/>
          <w:sz w:val="18"/>
          <w:szCs w:val="18"/>
        </w:rPr>
        <w:t xml:space="preserve">Perpustakaan Digital ABBA · Jl. Kerinci Raya No. 9, Malang 65138</w:t>
      </w:r>
    </w:p>
    <w:p>
      <w:pPr>
        <w:spacing w:before="40"/>
        <w:jc w:val="center"/>
      </w:pPr>
      <w:r>
        <w:rPr>
          <w:rFonts w:ascii="IBM Plex Sans" w:cs="IBM Plex Sans" w:eastAsia="IBM Plex Sans" w:hAnsi="IBM Plex Sans"/>
          <w:color w:val="64748B"/>
          <w:sz w:val="18"/>
          <w:szCs w:val="18"/>
        </w:rPr>
        <w:t xml:space="preserve">2026</w:t>
      </w:r>
    </w:p>
    <w:p>
      <w:r>
        <w:br w:type="page"/>
      </w:r>
    </w:p>
    <w:p>
      <w:pPr>
        <w:sectPr>
          <w:pgSz w:w="11906" w:h="16838" w:orient="portrait"/>
          <w:pgMar w:top="1440" w:right="1440" w:bottom="1440" w:left="1440" w:header="708" w:footer="708" w:gutter="0"/>
          <w:pgNumType/>
          <w:docGrid w:linePitch="360"/>
        </w:sectPr>
      </w:pPr>
    </w:p>
    <w:p>
      <w:pPr>
        <w:pStyle w:val="Heading1"/>
      </w:pPr>
      <w:r>
        <w:rPr>
          <w:color w:val="3730A3"/>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sectPr>
          <w:headerReference w:type="default" r:id="rId7"/>
          <w:footerReference w:type="default" r:id="rId8"/>
          <w:pgSz w:w="11906" w:h="16838" w:orient="portrait"/>
          <w:pgMar w:top="1440" w:right="1440" w:bottom="1440" w:left="1440" w:header="708" w:footer="708" w:gutter="0"/>
          <w:pgNumType/>
          <w:docGrid w:linePitch="360"/>
        </w:sectPr>
      </w:pPr>
    </w:p>
    <w:p>
      <w:pPr>
        <w:pStyle w:val="Heading1"/>
        <w:spacing w:after="200" w:before="400"/>
      </w:pPr>
      <w:r>
        <w:rPr>
          <w:color w:val="3730A3"/>
        </w:rPr>
        <w:t xml:space="preserve">Bab I. Pendahuluan</w:t>
      </w:r>
    </w:p>
    <w:p>
      <w:pPr>
        <w:pStyle w:val="Heading2"/>
        <w:spacing w:after="160" w:before="300"/>
      </w:pPr>
      <w:r>
        <w:rPr>
          <w:color w:val="4F46E5"/>
        </w:rPr>
        <w:t xml:space="preserve">1.1 Latar Belakang</w:t>
      </w:r>
    </w:p>
    <w:p>
      <w:pPr>
        <w:spacing w:after="160"/>
        <w:jc w:val="both"/>
      </w:pPr>
      <w:r>
        <w:rPr>
          <w:rFonts w:ascii="IBM Plex Sans" w:cs="IBM Plex Sans" w:eastAsia="IBM Plex Sans" w:hAnsi="IBM Plex Sans"/>
          <w:color w:val="334155"/>
          <w:sz w:val="21"/>
          <w:szCs w:val="21"/>
        </w:rPr>
        <w:t xml:space="preserve">Kompetensi seorang dokter spesialis obstetri dan ginekologi (SpOG) tidak berhenti pada penguasaan teknis klinis. Standar Kompetensi Dokter Spesialis dan Subspesialis Bidang Obstetri dan Ginekologi yang ditetapkan melalui Keputusan Ketua Konsil Kesehatan Indonesia Nomor HK.01.02/KKI/1318/2026 menyusun kerangka kompetensi ke dalam 7 (tujuh) area, dan empat di antaranya — Area Kompetensi 4 hingga 7 — secara eksplisit berada di luar ranah pengetahuan medis murni. Keempat area ini menegaskan bahwa mutu pelayanan obstetri dan ginekologi ditentukan sama besarnya oleh bagaimana seorang dokter berkomunikasi dengan Pasien (interpersonal and communication/komunikasi interpersonal), bagaimana ia menjunjung integritas dan etika (professionalism/profesionalisme), bagaimana ia berfungsi di dalam sistem pelayanan kesehatan yang kompleks (systems-based practice/praktik berbasis sistem), dan bagaimana ia mempertimbangkan implikasi biaya dari setiap keputusan klinis (cost awareness in medical care/kesadaran biaya dalam pelayanan medis).</w:t>
      </w:r>
    </w:p>
    <w:p>
      <w:pPr>
        <w:spacing w:after="160"/>
        <w:jc w:val="both"/>
      </w:pPr>
      <w:r>
        <w:rPr>
          <w:rFonts w:ascii="IBM Plex Sans" w:cs="IBM Plex Sans" w:eastAsia="IBM Plex Sans" w:hAnsi="IBM Plex Sans"/>
          <w:color w:val="334155"/>
          <w:sz w:val="21"/>
          <w:szCs w:val="21"/>
        </w:rPr>
        <w:t xml:space="preserve">Keempat kompetensi ini memiliki relevansi khusus dalam obstetri dan ginekologi karena sifat pelayanan yang unik: melibatkan dua nyawa sekaligus (ibu dan janin) dalam situasi yang seringkali darurat dan emosional; menyentuh ranah privasi dan nilai personal yang sangat sensitif (fertilitas, seksualitas, kehilangan kehamilan, kanker reproduksi); serta beroperasi dalam sistem rujukan berjenjang nasional yang menuntut koordinasi lintas fasilitas dan lintas profesi. Buku tematik ini disusun untuk memberikan kerangka pembelajaran yang runtut dan mendalam bagi peserta didik PPDS Obstetri dan Ginekologi seluruh tahun, agar keempat area kompetensi tersebut tidak dipahami sebagai materi pelengkap, melainkan sebagai fondasi profesionalisme yang menyatu dengan setiap tindakan klinis.</w:t>
      </w:r>
    </w:p>
    <w:p>
      <w:pPr>
        <w:pStyle w:val="Heading2"/>
        <w:spacing w:after="160" w:before="300"/>
      </w:pPr>
      <w:r>
        <w:rPr>
          <w:color w:val="4F46E5"/>
        </w:rPr>
        <w:t xml:space="preserve">1.2 Kerangka Regulasi</w:t>
      </w:r>
    </w:p>
    <w:p>
      <w:pPr>
        <w:spacing w:after="160"/>
        <w:jc w:val="both"/>
      </w:pPr>
      <w:r>
        <w:rPr>
          <w:rFonts w:ascii="IBM Plex Sans" w:cs="IBM Plex Sans" w:eastAsia="IBM Plex Sans" w:hAnsi="IBM Plex Sans"/>
          <w:color w:val="334155"/>
          <w:sz w:val="21"/>
          <w:szCs w:val="21"/>
        </w:rPr>
        <w:t xml:space="preserve">Kerangka kompetensi dokter spesialis dan subspesialis di Indonesia, sebagaimana ditetapkan dalam Lampiran Keputusan Ketua Konsil Kesehatan Indonesia Nomor HK.01.02/KKI/1318/2026 Bab III, mencakup 7 (tujuh) area kompetensi: (1) Keselamatan Pasien dan Pelayanan Kesehatan, (2) Kompetensi Medis, (3) Penguasaan Pengetahuan Medis, (4) Kompetensi Interpersonal dan Komunikasi, (5) Profesionalisme, (6) Praktik Berbasis Sistem, dan (7) Kesadaran Biaya dalam Pelayanan Medis. Buku tematik ini secara khusus membahas Area Kompetensi 4 sampai dengan 7, yang dijabarkan berturut-turut dalam Tabel 39, Tabel 40, Tabel 41, dan Tabel 42 pada Lampiran Kepkonsil dimaksud. Setiap tabel menguraikan Komponen Kompetensi, Penjabaran Komponen Kompetensi, Deskripsi Kriteria Kinerja Minimal, dan Kriteria Kinerja Minimal yang terukur — pola empat kolom yang konsisten di seluruh Kepkonsil dan menjadi acuan tunggal bagi setiap klaim kompetensi dalam buku ini.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FEF3E2" w:sz="2"/>
              <w:left w:val="single" w:color="B45309" w:sz="24"/>
              <w:bottom w:val="single" w:color="FEF3E2" w:sz="2"/>
              <w:right w:val="single" w:color="FEF3E2" w:sz="2"/>
            </w:tcBorders>
            <w:shd w:fill="FEF3E2" w:val="clear"/>
            <w:tcMar>
              <w:top w:type="dxa" w:w="160"/>
              <w:left w:type="dxa" w:w="220"/>
              <w:bottom w:type="dxa" w:w="160"/>
              <w:right w:type="dxa" w:w="220"/>
            </w:tcMar>
          </w:tcPr>
          <w:p>
            <w:pPr>
              <w:spacing w:after="120"/>
            </w:pPr>
            <w:r>
              <w:rPr>
                <w:rFonts w:ascii="IBM Plex Mono" w:cs="IBM Plex Mono" w:eastAsia="IBM Plex Mono" w:hAnsi="IBM Plex Mono"/>
                <w:b/>
                <w:bCs/>
                <w:color w:val="B45309"/>
                <w:sz w:val="16"/>
                <w:szCs w:val="16"/>
              </w:rPr>
              <w:t xml:space="preserve">DASAR REGULASI</w:t>
            </w:r>
          </w:p>
          <w:p>
            <w:pPr>
              <w:spacing w:after="80"/>
            </w:pPr>
            <w:r>
              <w:rPr>
                <w:rFonts w:ascii="Source Serif 4" w:cs="Source Serif 4" w:eastAsia="Source Serif 4" w:hAnsi="Source Serif 4"/>
                <w:b/>
                <w:bCs/>
                <w:color w:val="334155"/>
                <w:sz w:val="21"/>
                <w:szCs w:val="21"/>
              </w:rPr>
              <w:t xml:space="preserve">Dasar Regulasi — Kerangka Umum</w:t>
            </w:r>
          </w:p>
          <w:p>
            <w:pPr>
              <w:spacing w:after="0"/>
            </w:pPr>
            <w:r>
              <w:rPr>
                <w:rFonts w:ascii="IBM Plex Sans" w:cs="IBM Plex Sans" w:eastAsia="IBM Plex Sans" w:hAnsi="IBM Plex Sans"/>
                <w:color w:val="334155"/>
                <w:sz w:val="21"/>
                <w:szCs w:val="21"/>
              </w:rPr>
              <w:t xml:space="preserve">Keputusan Ketua Konsil Kesehatan Indonesia No. HK.01.02/KKI/1318/2026 tentang Standar Kompetensi Dokter Spesialis dan Subspesialis Bidang Obstetri dan Ginekologi, ditetapkan di Jakarta pada tanggal 7 Mei 2026. Lampiran Bab III menetapkan 7 area kompetensi; Area Kompetensi 4-7 (Tabel 39-42) menjadi dasar seluruh bab substantif buku ini. Standar ini berlaku sebagai capaian kompetensi minimal bagi dokter spesialis obstetri dan ginekologi serta kelima subspesialis: kedokteran fetomaternal, fertilitas dan endokrinologi reproduksi, onkologi ginekologi, obstetri ginekologi sosial, dan uroginekologi rekonstruksi (Diktum KEDUA).</w:t>
            </w:r>
          </w:p>
        </w:tc>
      </w:tr>
    </w:tbl>
    <w:p>
      <w:pPr>
        <w:spacing w:after="200"/>
      </w:pPr>
    </w:p>
    <w:p>
      <w:pPr>
        <w:pStyle w:val="Heading2"/>
        <w:spacing w:after="160" w:before="300"/>
      </w:pPr>
      <w:r>
        <w:rPr>
          <w:color w:val="4F46E5"/>
        </w:rPr>
        <w:t xml:space="preserve">1.3 Ruang Lingkup dan Tujuan Pembelajaran</w:t>
      </w:r>
    </w:p>
    <w:p>
      <w:pPr>
        <w:spacing w:after="160"/>
        <w:jc w:val="both"/>
      </w:pPr>
      <w:r>
        <w:rPr>
          <w:rFonts w:ascii="IBM Plex Sans" w:cs="IBM Plex Sans" w:eastAsia="IBM Plex Sans" w:hAnsi="IBM Plex Sans"/>
          <w:color w:val="334155"/>
          <w:sz w:val="21"/>
          <w:szCs w:val="21"/>
        </w:rPr>
        <w:t xml:space="preserve">Buku ini disusun dalam tujuh bab. Bab II hingga Bab V membahas satu area kompetensi masing-masing (komunikasi interpersonal, profesionalisme, praktik berbasis sistem, kesadaran biaya), setiap bab memuat uraian kompetensi berdasarkan tabel Kepkonsil terkait, kerangka analisis dan model kerja klinis yang dapat diterapkan, perbandingan dengan standar internasional, serta ilustrasi kasus lapangan. Bab VI menyajikan kontribusi lintas lima divisi subspesialis terhadap keempat area kompetensi tersebut, menunjukkan bagaimana kompetensi yang bersifat umum ini termanifestasi secara spesifik pada tiap peminatan. Bab VII merangkum keseluruhan pembahasan dalam bentuk tabel indikator kompetensi.</w:t>
      </w:r>
    </w:p>
    <w:p>
      <w:pPr>
        <w:spacing w:after="160"/>
        <w:jc w:val="both"/>
      </w:pPr>
      <w:r>
        <w:rPr>
          <w:rFonts w:ascii="IBM Plex Sans" w:cs="IBM Plex Sans" w:eastAsia="IBM Plex Sans" w:hAnsi="IBM Plex Sans"/>
          <w:color w:val="334155"/>
          <w:sz w:val="21"/>
          <w:szCs w:val="21"/>
        </w:rPr>
        <w:t xml:space="preserve">Setelah mempelajari buku ini, peserta didik PPDS diharapkan mampu: (a) menerapkan prinsip komunikasi terapeutik dan konseling berbasis bukti dalam interaksi dengan Pasien dan keluarga pada situasi obstetri-ginekologi yang kompleks dan emosional; (b) menunjukkan integritas profesional dan kepatuhan etika sesuai Kode Etik Kedokteran Indonesia (KODEKI) dalam seluruh aspek praktik klinis dan akademik; (c) berfungsi secara efektif di dalam sistem pelayanan kesehatan berjenjang, termasuk koordinasi rujukan dan kerja tim multidisiplin; dan (d) mengintegrasikan pertimbangan efektivitas biaya (cost-effectiveness) ke dalam pengambilan keputusan klinis tanpa mengorbankan mutu maupun keadilan akses layanan.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EF2FF" w:sz="2"/>
              <w:left w:val="single" w:color="4F46E5" w:sz="24"/>
              <w:bottom w:val="single" w:color="EEF2FF" w:sz="2"/>
              <w:right w:val="single" w:color="EEF2FF" w:sz="2"/>
            </w:tcBorders>
            <w:shd w:fill="EEF2FF" w:val="clear"/>
            <w:tcMar>
              <w:top w:type="dxa" w:w="160"/>
              <w:left w:type="dxa" w:w="220"/>
              <w:bottom w:type="dxa" w:w="160"/>
              <w:right w:type="dxa" w:w="220"/>
            </w:tcMar>
          </w:tcPr>
          <w:p>
            <w:pPr>
              <w:spacing w:after="120"/>
            </w:pPr>
            <w:r>
              <w:rPr>
                <w:rFonts w:ascii="IBM Plex Mono" w:cs="IBM Plex Mono" w:eastAsia="IBM Plex Mono" w:hAnsi="IBM Plex Mono"/>
                <w:b/>
                <w:bCs/>
                <w:color w:val="4F46E5"/>
                <w:sz w:val="16"/>
                <w:szCs w:val="16"/>
              </w:rPr>
              <w:t xml:space="preserve">PERBANDINGAN &amp; PENGAYAAN STANDAR INTERNASIONAL</w:t>
            </w:r>
          </w:p>
          <w:p>
            <w:pPr>
              <w:spacing w:after="80"/>
            </w:pPr>
            <w:r>
              <w:rPr>
                <w:rFonts w:ascii="Source Serif 4" w:cs="Source Serif 4" w:eastAsia="Source Serif 4" w:hAnsi="Source Serif 4"/>
                <w:b/>
                <w:bCs/>
                <w:color w:val="334155"/>
                <w:sz w:val="21"/>
                <w:szCs w:val="21"/>
              </w:rPr>
              <w:t xml:space="preserve">Perbandingan dan Pengayaan Standar Internasional</w:t>
            </w:r>
          </w:p>
          <w:p>
            <w:pPr>
              <w:spacing w:after="140"/>
            </w:pPr>
            <w:r>
              <w:rPr>
                <w:rFonts w:ascii="IBM Plex Sans" w:cs="IBM Plex Sans" w:eastAsia="IBM Plex Sans" w:hAnsi="IBM Plex Sans"/>
                <w:color w:val="334155"/>
                <w:sz w:val="21"/>
                <w:szCs w:val="21"/>
              </w:rPr>
              <w:t xml:space="preserve">Kerangka kompetensi non-teknis ("soft competency domains") dalam pendidikan spesialis bukanlah konsep yang unik bagi Indonesia. ACGME (Accreditation Council for Graduate Medical Education) di Amerika Serikat, melalui kerangka ACGME Core Competencies, telah lama menetapkan Interpersonal and Communication Skills, Professionalism, Systems-Based Practice, dan Practice-Based Learning sebagai empat dari enam kompetensi inti pendidikan spesialis — struktur yang secara konseptual sejajar dengan Area Kompetensi 4, 5, dan 6 Kepkonsil.</w:t>
            </w:r>
          </w:p>
          <w:p>
            <w:pPr>
              <w:spacing w:after="140"/>
            </w:pPr>
            <w:r>
              <w:rPr>
                <w:rFonts w:ascii="IBM Plex Sans" w:cs="IBM Plex Sans" w:eastAsia="IBM Plex Sans" w:hAnsi="IBM Plex Sans"/>
                <w:color w:val="334155"/>
                <w:sz w:val="21"/>
                <w:szCs w:val="21"/>
              </w:rPr>
              <w:t xml:space="preserve">RCOG (Royal College of Obstetricians and Gynaecologists) melalui kurikulum spesialis Obstetrics and Gynaecology menetapkan Generic Professional Capabilities yang mencakup komunikasi, profesionalisme, kerja tim, dan manajemen sumber daya sebagai capaian wajib yang dinilai berdampingan dengan kompetensi klinis, bukan sebagai pelengkap.</w:t>
            </w:r>
          </w:p>
          <w:p>
            <w:pPr>
              <w:spacing w:after="0"/>
            </w:pPr>
            <w:r>
              <w:rPr>
                <w:rFonts w:ascii="IBM Plex Sans" w:cs="IBM Plex Sans" w:eastAsia="IBM Plex Sans" w:hAnsi="IBM Plex Sans"/>
                <w:color w:val="334155"/>
                <w:sz w:val="21"/>
                <w:szCs w:val="21"/>
              </w:rPr>
              <w:t xml:space="preserve">Standar nasional (Kepkonsil) menempatkan kesadaran biaya sebagai area kompetensi tersendiri dan setara dengan area lain (Area Kompetensi 7); FIGO (International Federation of Gynecology and Obstetrics) dan WHO umumnya membahas efisiensi biaya sebagai bagian dari prinsip Universal Health Coverage (UHC) dan value-based care yang terintegrasi ke dalam kompetensi sistem kesehatan, bukan sebagai domain kompetensi berdiri sendiri. Praktik di Indonesia mengikuti standar nasional dengan menjadikan kesadaran biaya sebagai kompetensi eksplisit dan terukur tersendiri, sekaligus memperkaya penerapannya dengan prinsip value-based care dari literatur internasional.</w:t>
            </w:r>
          </w:p>
        </w:tc>
      </w:tr>
    </w:tbl>
    <w:p>
      <w:pPr>
        <w:spacing w:after="200"/>
      </w:pPr>
    </w:p>
    <w:p>
      <w:pPr>
        <w:pStyle w:val="Heading2"/>
        <w:spacing w:after="160" w:before="300"/>
      </w:pPr>
      <w:r>
        <w:rPr>
          <w:color w:val="4F46E5"/>
        </w:rPr>
        <w:t xml:space="preserve">1.4 Kerangka Kompetensi Sejenis di Pendidikan Spesialis Internasional</w:t>
      </w:r>
    </w:p>
    <w:p>
      <w:pPr>
        <w:spacing w:after="160"/>
        <w:jc w:val="both"/>
      </w:pPr>
      <w:r>
        <w:rPr>
          <w:rFonts w:ascii="IBM Plex Sans" w:cs="IBM Plex Sans" w:eastAsia="IBM Plex Sans" w:hAnsi="IBM Plex Sans"/>
          <w:color w:val="334155"/>
          <w:sz w:val="21"/>
          <w:szCs w:val="21"/>
        </w:rPr>
        <w:t xml:space="preserve">Rujukan RCOG (Royal College of Obstetricians and Gynaecologists) pada subbab 1.3 memerlukan penjelasan lebih tepat: sejak pembaruan kurikulum inti Obstetri dan Ginekologi tahun 2019, RCOG menyusun capaian pendidikan spesialis ke dalam 14 Capabilities in Practice (CiP) yang dikelompokkan dalam empat Professional Identities, dan CiP generik ini secara eksplisit dipetakan terhadap Generic Professional Capabilities (GPC) Framework yang diterbitkan oleh General Medical Council (GMC) Britania Raya — bukan disusun langsung oleh RCOG. Pemetaan ini menegaskan bahwa kompetensi non-teknis seperti komunikasi, profesionalisme, dan praktik berbasis sistem bersifat lintas-spesialisasi (generik), sementara kompetensi klinis obstetri-ginekologi bersifat spesifik — pembagian yang konsisten dengan struktur Kepkonsil yang memisahkan Area Kompetensi 1-3 (klinis) dari Area Kompetensi 4-7 (non-teknis).</w:t>
      </w:r>
    </w:p>
    <w:p>
      <w:pPr>
        <w:pStyle w:val="Heading2"/>
        <w:spacing w:after="160" w:before="300"/>
      </w:pPr>
      <w:r>
        <w:rPr>
          <w:color w:val="4F46E5"/>
        </w:rPr>
        <w:t xml:space="preserve">1.5 Metode Asesmen Lintas Area Kompetensi 4-7</w:t>
      </w:r>
    </w:p>
    <w:p>
      <w:pPr>
        <w:spacing w:after="160"/>
        <w:jc w:val="both"/>
      </w:pPr>
      <w:r>
        <w:rPr>
          <w:rFonts w:ascii="IBM Plex Sans" w:cs="IBM Plex Sans" w:eastAsia="IBM Plex Sans" w:hAnsi="IBM Plex Sans"/>
          <w:color w:val="334155"/>
          <w:sz w:val="21"/>
          <w:szCs w:val="21"/>
        </w:rPr>
        <w:t xml:space="preserve">Salah satu ciri khas Kriteria Kinerja Minimal pada Tabel 39 hingga Tabel 42 adalah sifatnya yang terukur secara kuantitatif maupun kualitatif, sehingga dapat diases melalui metode yang beragam. Peserta didik dan pembimbing klinik program studi perlu memahami sejak awal bahwa keempat area kompetensi ini tidak diases melalui ujian tertulis semata, melainkan melalui kombinasi metode: audit rekam medis dan clinical pathway (untuk komponen dokumentasi dan rasionalitas klinis), survei kepuasan Pasien dan exit interview (untuk komponen komunikasi), evaluasi 360 derajat oleh sejawat dan supervisor (untuk komponen profesionalisme), Objective Structured Clinical Examination (OSCE) berbasis simulasi (untuk keterampilan komunikasi krisis seperti breaking bad news), serta portofolio kontribusi pada forum mutu dan kebijakan institusi (untuk komponen praktik berbasis sistem).</w:t>
      </w:r>
    </w:p>
    <w:p>
      <w:pPr>
        <w:spacing w:after="160"/>
        <w:jc w:val="both"/>
      </w:pPr>
      <w:r>
        <w:rPr>
          <w:rFonts w:ascii="IBM Plex Sans" w:cs="IBM Plex Sans" w:eastAsia="IBM Plex Sans" w:hAnsi="IBM Plex Sans"/>
          <w:color w:val="334155"/>
          <w:sz w:val="21"/>
          <w:szCs w:val="21"/>
        </w:rPr>
        <w:t xml:space="preserve">Pendekatan multi-metode ini konsisten dengan prinsip programmatic assessment yang berkembang dalam pendidikan kedokteran global, yaitu bahwa kompetensi kompleks dan multidimensi tidak dapat direduksi menjadi satu instrumen penilaian tunggal. Program studi diharapkan menyusun jadwal asesmen berkala (formatif setiap semester, sumatif pada akhir tahapan pendidikan) yang secara eksplisit memetakan setiap Kriteria Kinerja Minimal pada Tabel 39-42 terhadap metode asesmen yang sesuai, sehingga capaian kompetensi peserta didik dapat ditelusuri secara objektif dan bertanggung jawab sebelum kelulusan.</w:t>
      </w:r>
    </w:p>
    <w:p>
      <w:pPr>
        <w:pStyle w:val="Heading1"/>
        <w:spacing w:after="200" w:before="400"/>
      </w:pPr>
      <w:r>
        <w:rPr>
          <w:color w:val="3730A3"/>
        </w:rPr>
        <w:t xml:space="preserve">Bab II. Komunikasi Interpersonal dan Konseling</w:t>
      </w:r>
    </w:p>
    <w:p>
      <w:pPr>
        <w:pStyle w:val="Heading2"/>
        <w:spacing w:after="160" w:before="300"/>
      </w:pPr>
      <w:r>
        <w:rPr>
          <w:color w:val="4F46E5"/>
        </w:rPr>
        <w:t xml:space="preserve">2.1 A. Deskripsi Kompetensi</w:t>
      </w:r>
    </w:p>
    <w:p>
      <w:pPr>
        <w:spacing w:after="160"/>
        <w:jc w:val="both"/>
      </w:pPr>
      <w:r>
        <w:rPr>
          <w:rFonts w:ascii="IBM Plex Sans" w:cs="IBM Plex Sans" w:eastAsia="IBM Plex Sans" w:hAnsi="IBM Plex Sans"/>
          <w:color w:val="334155"/>
          <w:sz w:val="21"/>
          <w:szCs w:val="21"/>
        </w:rPr>
        <w:t xml:space="preserve">Area Kompetensi 4 dalam Kepkonsil No. HK.01.02/KKI/1318/2026 mencakup kompetensi berkomunikasi secara efektif dengan Pasien, keluarga, dan tim kesehatan untuk menunjang pelayanan medis yang berkualitas. Tabel 39 Lampiran Kepkonsil menjabarkan lima komponen kompetensi inti: (1) membangun hubungan terapeutik yang saling percaya dengan Pasien dan keluarganya; (2) menyampaikan informasi medis secara jelas, empatik, dan sesuai tingkat pemahaman Pasien; (3) mendengarkan secara aktif dan merespons kekhawatiran serta nilai-nilai Pasien; (4) berpartisipasi dalam komunikasi antarprofesi yang efektif dan konstruktif; dan (5) menyesuaikan cara komunikasi dengan memperhatikan konteks budaya, bahasa, dan latar belakang sosial Pasien.</w:t>
      </w:r>
    </w:p>
    <w:p>
      <w:pPr>
        <w:spacing w:after="160"/>
        <w:jc w:val="both"/>
      </w:pPr>
      <w:r>
        <w:rPr>
          <w:rFonts w:ascii="IBM Plex Sans" w:cs="IBM Plex Sans" w:eastAsia="IBM Plex Sans" w:hAnsi="IBM Plex Sans"/>
          <w:color w:val="334155"/>
          <w:sz w:val="21"/>
          <w:szCs w:val="21"/>
        </w:rPr>
        <w:t xml:space="preserve">Dalam praktik obstetri dan ginekologi, kompetensi ini menghadapi ujian yang lebih berat dibandingkan banyak disiplin lain. Seorang dokter SpOG kerap harus menyampaikan diagnosis kelainan kongenital berat pada janin, mengonfirmasi kematian janin dalam kandungan, mendiskusikan diagnosis kanker ginekologi, atau membahas pilihan terapi fertilitas yang menyentuh identitas dan harapan hidup seorang perempuan. Situasi-situasi ini menuntut lebih dari sekadar penyampaian fakta klinis — dibutuhkan kerangka konseling yang terstruktur namun tetap manusiawi.</w:t>
      </w:r>
    </w:p>
    <w:p>
      <w:pPr>
        <w:pStyle w:val="Heading2"/>
        <w:spacing w:after="160" w:before="300"/>
      </w:pPr>
      <w:r>
        <w:rPr>
          <w:color w:val="4F46E5"/>
        </w:rPr>
        <w:t xml:space="preserve">2.2 B. Kerangka Kerja Konseling Klinis dalam Obstetri dan Ginekologi</w:t>
      </w:r>
    </w:p>
    <w:p>
      <w:pPr>
        <w:spacing w:after="160"/>
        <w:jc w:val="both"/>
      </w:pPr>
      <w:r>
        <w:rPr>
          <w:rFonts w:ascii="IBM Plex Sans" w:cs="IBM Plex Sans" w:eastAsia="IBM Plex Sans" w:hAnsi="IBM Plex Sans"/>
          <w:color w:val="334155"/>
          <w:sz w:val="21"/>
          <w:szCs w:val="21"/>
        </w:rPr>
        <w:t xml:space="preserve">Kriteria Kinerja Minimal pada Tabel 39 menuntut, antara lain, bahwa sekurang-kurangnya 90% Pasien atau keluarga menyatakan puas terhadap komunikasi dan sikap dokter berdasarkan audit mutu, serta bahwa Pasien mampu mengulang kembali informasi penting melalui metode teach-back pada sekurang-kurangnya 90% interaksi. Untuk mencapai kriteria terukur ini secara konsisten, peserta didik memerlukan kerangka kerja yang dapat direplikasi, bukan sekadar niat baik yang tidak terstruktur.</w:t>
      </w:r>
    </w:p>
    <w:p>
      <w:pPr>
        <w:spacing w:after="160"/>
        <w:jc w:val="both"/>
      </w:pPr>
      <w:r>
        <w:rPr>
          <w:rFonts w:ascii="IBM Plex Sans" w:cs="IBM Plex Sans" w:eastAsia="IBM Plex Sans" w:hAnsi="IBM Plex Sans"/>
          <w:color w:val="334155"/>
          <w:sz w:val="21"/>
          <w:szCs w:val="21"/>
        </w:rPr>
        <w:t xml:space="preserve">Protokol SPIKES (Setting, Perception, Invitation, Knowledge, Emotion, Strategy/Summary) merupakan salah satu kerangka penyampaian berita buruk (breaking bad news) yang paling banyak diadopsi dalam pendidikan kedokteran, dan selaras dengan Kriteria Kinerja Minimal Tabel 39 tentang penjelasan diagnosis, prognosis, dan pilihan terapi dengan bahasa sederhana serta dokumentasi lengkap di rekam medis. Penerapannya dalam konteks obstetri-ginekologi mencakup: menyiapkan ruang dan waktu yang privat (Setting); menggali sejauh mana Pasien telah memahami situasinya (Perception); meminta izin sebelum menyampaikan informasi lanjut (Invitation); menyampaikan informasi secara bertahap dengan bahasa non-teknis (Knowledge); mengenali dan merespons reaksi emosional Pasien sebelum melanjutkan pembicaraan klinis (Emotion); dan menutup dengan rencana tindak lanjut yang jelas (Strategy/Summary).</w:t>
      </w:r>
    </w:p>
    <w:p>
      <w:pPr>
        <w:spacing w:after="160"/>
        <w:jc w:val="both"/>
      </w:pPr>
      <w:r>
        <w:rPr>
          <w:rFonts w:ascii="IBM Plex Sans" w:cs="IBM Plex Sans" w:eastAsia="IBM Plex Sans" w:hAnsi="IBM Plex Sans"/>
          <w:color w:val="334155"/>
          <w:sz w:val="21"/>
          <w:szCs w:val="21"/>
        </w:rPr>
        <w:t xml:space="preserve">Metode teach-back — meminta Pasien mengulang kembali informasi dengan kata-katanya sendiri — bukan sekadar formalitas administratif, melainkan mekanisme verifikasi bahwa komunikasi telah benar-benar efektif, sejalan dengan Kriteria Kinerja Minimal Tabel 39 yang menuntukan audit observasi atau rekam medis sebagai bukti. Demikian pula, prinsip pengambilan keputusan bersama (shared decision-making) menjadi kerangka operasional bagi komponen kompetensi "mendengarkan secara aktif dan merespons kekhawatiran serta nilai-nilai Pasien", di mana rencana terapi didokumentasikan sebagai hasil negosiasi antara bukti klinis dan preferensi Pasien, bukan instruksi searah dari dokter.</w:t>
      </w:r>
    </w:p>
    <w:p>
      <w:pPr>
        <w:spacing w:after="160"/>
        <w:jc w:val="both"/>
      </w:pPr>
      <w:r>
        <w:rPr>
          <w:rFonts w:ascii="IBM Plex Sans" w:cs="IBM Plex Sans" w:eastAsia="IBM Plex Sans" w:hAnsi="IBM Plex Sans"/>
          <w:color w:val="334155"/>
          <w:sz w:val="21"/>
          <w:szCs w:val="21"/>
        </w:rPr>
        <w:t xml:space="preserve">Komunikasi antarprofesi yang efektif — komponen keempat pada Tabel 39 — diterapkan melalui struktur komunikasi terstandar seperti SBAR (Situation, Background, Assessment, Recommendation) pada serah terima pasien (handover) dan forum multidisciplinary team meeting, terutama pada kasus risiko tinggi seperti preeklampsia berat (ICD-10 O14.9; ICD-11 JA24.0) yang memerlukan koordinasi cepat antara SpOG, anestesiologi, dan neonatologi.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FEF3E2" w:sz="2"/>
              <w:left w:val="single" w:color="B45309" w:sz="24"/>
              <w:bottom w:val="single" w:color="FEF3E2" w:sz="2"/>
              <w:right w:val="single" w:color="FEF3E2" w:sz="2"/>
            </w:tcBorders>
            <w:shd w:fill="FEF3E2" w:val="clear"/>
            <w:tcMar>
              <w:top w:type="dxa" w:w="160"/>
              <w:left w:type="dxa" w:w="220"/>
              <w:bottom w:type="dxa" w:w="160"/>
              <w:right w:type="dxa" w:w="220"/>
            </w:tcMar>
          </w:tcPr>
          <w:p>
            <w:pPr>
              <w:spacing w:after="120"/>
            </w:pPr>
            <w:r>
              <w:rPr>
                <w:rFonts w:ascii="IBM Plex Mono" w:cs="IBM Plex Mono" w:eastAsia="IBM Plex Mono" w:hAnsi="IBM Plex Mono"/>
                <w:b/>
                <w:bCs/>
                <w:color w:val="B45309"/>
                <w:sz w:val="16"/>
                <w:szCs w:val="16"/>
              </w:rPr>
              <w:t xml:space="preserve">DASAR REGULASI</w:t>
            </w:r>
          </w:p>
          <w:p>
            <w:pPr>
              <w:spacing w:after="80"/>
            </w:pPr>
            <w:r>
              <w:rPr>
                <w:rFonts w:ascii="Source Serif 4" w:cs="Source Serif 4" w:eastAsia="Source Serif 4" w:hAnsi="Source Serif 4"/>
                <w:b/>
                <w:bCs/>
                <w:color w:val="334155"/>
                <w:sz w:val="21"/>
                <w:szCs w:val="21"/>
              </w:rPr>
              <w:t xml:space="preserve">Dasar Regulasi — Bab II</w:t>
            </w:r>
          </w:p>
          <w:p>
            <w:pPr>
              <w:spacing w:after="0"/>
            </w:pPr>
            <w:r>
              <w:rPr>
                <w:rFonts w:ascii="IBM Plex Sans" w:cs="IBM Plex Sans" w:eastAsia="IBM Plex Sans" w:hAnsi="IBM Plex Sans"/>
                <w:color w:val="334155"/>
                <w:sz w:val="21"/>
                <w:szCs w:val="21"/>
              </w:rPr>
              <w:t xml:space="preserve">Tabel 39 Lampiran Kepkonsil No. HK.01.02/KKI/1318/2026, Area Kompetensi 4: Kompetensi Interpersonal dan Komunikasi. Lima komponen kompetensi: membangun hubungan terapeutik; menyampaikan informasi medis secara jelas dan empatik; mendengarkan aktif; komunikasi antarprofesi; dan penyesuaian komunikasi lintas budaya. Kriteria Kinerja Minimal bersifat kuantitatif (misalnya ≥90% kepuasan Pasien, ≥90% keberhasilan teach-back, ≥95% dokumentasi rekam medis lengkap) dan diverifikasi melalui audit mutu, survei kepuasan, serta evaluasi 360 derajat.</w:t>
            </w:r>
          </w:p>
        </w:tc>
      </w:tr>
    </w:tbl>
    <w:p>
      <w:pPr>
        <w:spacing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EF2FF" w:sz="2"/>
              <w:left w:val="single" w:color="4F46E5" w:sz="24"/>
              <w:bottom w:val="single" w:color="EEF2FF" w:sz="2"/>
              <w:right w:val="single" w:color="EEF2FF" w:sz="2"/>
            </w:tcBorders>
            <w:shd w:fill="EEF2FF" w:val="clear"/>
            <w:tcMar>
              <w:top w:type="dxa" w:w="160"/>
              <w:left w:type="dxa" w:w="220"/>
              <w:bottom w:type="dxa" w:w="160"/>
              <w:right w:type="dxa" w:w="220"/>
            </w:tcMar>
          </w:tcPr>
          <w:p>
            <w:pPr>
              <w:spacing w:after="120"/>
            </w:pPr>
            <w:r>
              <w:rPr>
                <w:rFonts w:ascii="IBM Plex Mono" w:cs="IBM Plex Mono" w:eastAsia="IBM Plex Mono" w:hAnsi="IBM Plex Mono"/>
                <w:b/>
                <w:bCs/>
                <w:color w:val="4F46E5"/>
                <w:sz w:val="16"/>
                <w:szCs w:val="16"/>
              </w:rPr>
              <w:t xml:space="preserve">PERBANDINGAN &amp; PENGAYAAN STANDAR INTERNASIONAL</w:t>
            </w:r>
          </w:p>
          <w:p>
            <w:pPr>
              <w:spacing w:after="80"/>
            </w:pPr>
            <w:r>
              <w:rPr>
                <w:rFonts w:ascii="Source Serif 4" w:cs="Source Serif 4" w:eastAsia="Source Serif 4" w:hAnsi="Source Serif 4"/>
                <w:b/>
                <w:bCs/>
                <w:color w:val="334155"/>
                <w:sz w:val="21"/>
                <w:szCs w:val="21"/>
              </w:rPr>
              <w:t xml:space="preserve">Perbandingan dan Pengayaan Standar Internasional</w:t>
            </w:r>
          </w:p>
          <w:p>
            <w:pPr>
              <w:spacing w:after="140"/>
            </w:pPr>
            <w:r>
              <w:rPr>
                <w:rFonts w:ascii="IBM Plex Sans" w:cs="IBM Plex Sans" w:eastAsia="IBM Plex Sans" w:hAnsi="IBM Plex Sans"/>
                <w:color w:val="334155"/>
                <w:sz w:val="21"/>
                <w:szCs w:val="21"/>
              </w:rPr>
              <w:t xml:space="preserve">WHO, dalam berbagai pedoman pelayanan antenatal dan intrapartum (WHO Recommendations on Antenatal Care for a Positive Pregnancy Experience), secara konsisten menekankan komunikasi yang menghargai martabat perempuan (respectful maternity care) sebagai komponen inti mutu pelayanan, sejalan dengan komponen pertama Tabel 39 tentang hubungan terapeutik yang menghargai martabat Pasien.</w:t>
            </w:r>
          </w:p>
          <w:p>
            <w:pPr>
              <w:spacing w:after="140"/>
            </w:pPr>
            <w:r>
              <w:rPr>
                <w:rFonts w:ascii="IBM Plex Sans" w:cs="IBM Plex Sans" w:eastAsia="IBM Plex Sans" w:hAnsi="IBM Plex Sans"/>
                <w:color w:val="334155"/>
                <w:sz w:val="21"/>
                <w:szCs w:val="21"/>
              </w:rPr>
              <w:t xml:space="preserve">ACOG (American College of Obstetricians and Gynecologists) melalui Committee Opinion Nomor 819, "Informed Consent and Shared Decision Making in Obstetrics and Gynecology" (2021), menekankan penggunaan bahasa yang dapat dipahami awam (plain language) dan proses shared decision-making terdokumentasi — prinsip yang setara dengan Kriteria Kinerja Minimal Tabel 39 mengenai dokumentasi diagnosis, prognosis, dan risiko-manfaat dalam rekam medis.</w:t>
            </w:r>
          </w:p>
          <w:p>
            <w:pPr>
              <w:spacing w:after="0"/>
            </w:pPr>
            <w:r>
              <w:rPr>
                <w:rFonts w:ascii="IBM Plex Sans" w:cs="IBM Plex Sans" w:eastAsia="IBM Plex Sans" w:hAnsi="IBM Plex Sans"/>
                <w:color w:val="334155"/>
                <w:sz w:val="21"/>
                <w:szCs w:val="21"/>
              </w:rPr>
              <w:t xml:space="preserve">ICM (International Confederation of Midwives) Essential Competencies for Midwifery Practice, dalam pembaruan besar tahun 2024 yang memperluas kerangka dari 4 menjadi 5 kategori kompetensi, menegaskan pentingnya komunikasi lintas budaya dan penghormatan terhadap preferensi persalinan sebagai bagian dari asuhan yang berpusat pada perempuan (woman-centred care). Standar nasional dan internasional pada aspek ini sejalan; tidak ditemukan perbedaan rekomendasi yang signifikan, sehingga pendekatan lintas budaya dalam Tabel 39 dapat diperkaya langsung dengan kerangka woman-centred care ICM tanpa penyesuaian.</w:t>
            </w:r>
          </w:p>
        </w:tc>
      </w:tr>
    </w:tbl>
    <w:p>
      <w:pPr>
        <w:spacing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F1F5F9" w:sz="2"/>
              <w:left w:val="single" w:color="334155" w:sz="24"/>
              <w:bottom w:val="single" w:color="F1F5F9" w:sz="2"/>
              <w:right w:val="single" w:color="F1F5F9" w:sz="2"/>
            </w:tcBorders>
            <w:shd w:fill="F1F5F9" w:val="clear"/>
            <w:tcMar>
              <w:top w:type="dxa" w:w="160"/>
              <w:left w:type="dxa" w:w="220"/>
              <w:bottom w:type="dxa" w:w="160"/>
              <w:right w:type="dxa" w:w="220"/>
            </w:tcMar>
          </w:tcPr>
          <w:p>
            <w:pPr>
              <w:spacing w:after="120"/>
            </w:pPr>
            <w:r>
              <w:rPr>
                <w:rFonts w:ascii="IBM Plex Mono" w:cs="IBM Plex Mono" w:eastAsia="IBM Plex Mono" w:hAnsi="IBM Plex Mono"/>
                <w:b/>
                <w:bCs/>
                <w:color w:val="334155"/>
                <w:sz w:val="16"/>
                <w:szCs w:val="16"/>
              </w:rPr>
              <w:t xml:space="preserve">ILUSTRASI KASUS LAPANGAN</w:t>
            </w:r>
          </w:p>
          <w:p>
            <w:pPr>
              <w:spacing w:after="80"/>
            </w:pPr>
            <w:r>
              <w:rPr>
                <w:rFonts w:ascii="Source Serif 4" w:cs="Source Serif 4" w:eastAsia="Source Serif 4" w:hAnsi="Source Serif 4"/>
                <w:b/>
                <w:bCs/>
                <w:color w:val="334155"/>
                <w:sz w:val="21"/>
                <w:szCs w:val="21"/>
              </w:rPr>
              <w:t xml:space="preserve">Ilustrasi Kasus Lapangan — Penyampaian Diagnosis Kelainan Kongenital Berat</w:t>
            </w:r>
          </w:p>
          <w:p>
            <w:pPr>
              <w:spacing w:after="140"/>
            </w:pPr>
            <w:r>
              <w:rPr>
                <w:rFonts w:ascii="IBM Plex Sans" w:cs="IBM Plex Sans" w:eastAsia="IBM Plex Sans" w:hAnsi="IBM Plex Sans"/>
                <w:color w:val="334155"/>
                <w:sz w:val="21"/>
                <w:szCs w:val="21"/>
              </w:rPr>
              <w:t xml:space="preserve">Seorang perempuan G2P1A0 usia kehamilan 22 minggu datang untuk USG morfologi rutin. Pemeriksaan menunjukkan anensefali janin — kelainan yang tidak sesuai dengan kehidupan pascalahir. Dokter residen tahun ke-4 yang melakukan pemeriksaan awalnya menyampaikan temuan secara tergesa dalam bahasa teknis ("acrania dengan eksensefali") sambil terus mengetik laporan, tanpa menghentikan pemeriksaan atau mengajak Pasien duduk di ruang konsultasi terpisah.</w:t>
            </w:r>
          </w:p>
          <w:p>
            <w:pPr>
              <w:spacing w:after="140"/>
            </w:pPr>
            <w:r>
              <w:rPr>
                <w:rFonts w:ascii="IBM Plex Sans" w:cs="IBM Plex Sans" w:eastAsia="IBM Plex Sans" w:hAnsi="IBM Plex Sans"/>
                <w:color w:val="334155"/>
                <w:sz w:val="21"/>
                <w:szCs w:val="21"/>
              </w:rPr>
              <w:t xml:space="preserve">Pasien dan suami tampak bingung dan tidak memahami keseriusan temuan tersebut hingga tiga hari kemudian, saat konsultasi dengan konsultan fetomaternal. Supervisor kemudian melakukan evaluasi kasus dan mengidentifikasi pelanggaran terhadap komponen "Setting" dan "Knowledge" pada protokol SPIKES, serta kegagalan memenuhi Kriteria Kinerja Minimal Tabel 39 mengenai penggunaan bahasa sederhana dan pemastian pemahaman Pasien melalui teach-back.</w:t>
            </w:r>
          </w:p>
          <w:p>
            <w:pPr>
              <w:spacing w:after="0"/>
            </w:pPr>
            <w:r>
              <w:rPr>
                <w:rFonts w:ascii="IBM Plex Sans" w:cs="IBM Plex Sans" w:eastAsia="IBM Plex Sans" w:hAnsi="IBM Plex Sans"/>
                <w:color w:val="334155"/>
                <w:sz w:val="21"/>
                <w:szCs w:val="21"/>
              </w:rPr>
              <w:t xml:space="preserve">Sebagai tindak lanjut, konsultan fetomaternal mengulang konsultasi di ruang privat, menggunakan bahasa non-teknis, memberi ruang bagi reaksi emosional pasangan, serta mendokumentasikan pemahaman Pasien secara eksplisit di rekam medis sebelum membahas pilihan penatalaksanaan lebih lanjut. Kasus ini menjadi bahan diskusi morbidity and communication conference program studi, dengan rekomendasi agar seluruh peserta didik menjalani pelatihan simulasi breaking bad news terstruktur sebelum diberi kewenangan menyampaikan hasil USG morfologi secara mandiri.</w:t>
            </w:r>
          </w:p>
        </w:tc>
      </w:tr>
    </w:tbl>
    <w:p>
      <w:pPr>
        <w:spacing w:after="200"/>
      </w:pPr>
    </w:p>
    <w:p>
      <w:pPr>
        <w:pStyle w:val="Heading2"/>
        <w:spacing w:after="160" w:before="300"/>
      </w:pPr>
      <w:r>
        <w:rPr>
          <w:color w:val="4F46E5"/>
        </w:rPr>
        <w:t xml:space="preserve">2.3 Tantangan Implementasi dan Strategi Pembelajaran</w:t>
      </w:r>
    </w:p>
    <w:p>
      <w:pPr>
        <w:spacing w:after="160"/>
        <w:jc w:val="both"/>
      </w:pPr>
      <w:r>
        <w:rPr>
          <w:rFonts w:ascii="IBM Plex Sans" w:cs="IBM Plex Sans" w:eastAsia="IBM Plex Sans" w:hAnsi="IBM Plex Sans"/>
          <w:color w:val="334155"/>
          <w:sz w:val="21"/>
          <w:szCs w:val="21"/>
        </w:rPr>
        <w:t xml:space="preserve">Penerapan kompetensi komunikasi interpersonal di lingkungan pendidikan PPDS Indonesia menghadapi sejumlah tantangan struktural yang perlu disadari secara jujur. Beban kasus yang tinggi di rumah sakit pendidikan tipe A dan B sering kali menekan waktu konsultasi per Pasien menjadi sangat singkat, sehingga penerapan protokol SPIKES secara lengkap terasa tidak praktis di tengah antrean poliklinik yang panjang. Keterbatasan ruang konsultasi privat di beberapa fasilitas turut menyulitkan pemenuhan komponen "Setting" pada penyampaian berita buruk. Tantangan lain adalah variasi bahasa daerah dan tingkat literasi kesehatan Pasien yang sangat beragam di Indonesia, menuntut fleksibilitas komunikasi yang tidak selalu diajarkan secara eksplisit dalam kurikulum.</w:t>
      </w:r>
    </w:p>
    <w:p>
      <w:pPr>
        <w:spacing w:after="160"/>
        <w:jc w:val="both"/>
      </w:pPr>
      <w:r>
        <w:rPr>
          <w:rFonts w:ascii="IBM Plex Sans" w:cs="IBM Plex Sans" w:eastAsia="IBM Plex Sans" w:hAnsi="IBM Plex Sans"/>
          <w:color w:val="334155"/>
          <w:sz w:val="21"/>
          <w:szCs w:val="21"/>
        </w:rPr>
        <w:t xml:space="preserve">Strategi pembelajaran yang direkomendasikan mencakup: pelatihan simulasi terstruktur menggunakan Pasien standar (standardized patient) sebelum peserta didik berhadapan dengan situasi nyata yang emosional; supervisi langsung (direct observation) oleh konsultan pada konsultasi berisiko tinggi disertai umpan balik segera; serta pengembangan panduan komunikasi ringkas dalam bahasa Indonesia dan bahasa daerah utama untuk topik-topik yang sering dijumpai, seperti penjelasan diagnosis preeklampsia atau konseling pascakeguguran. Refleksi terstruktur pascakonsultasi sulit, baik secara individual maupun dalam forum kelompok kecil, juga terbukti efektif membangun kepekaan komunikasi dari waktu ke waktu.</w:t>
      </w:r>
    </w:p>
    <w:p>
      <w:pPr>
        <w:pStyle w:val="Heading1"/>
        <w:spacing w:after="200" w:before="400"/>
      </w:pPr>
      <w:r>
        <w:rPr>
          <w:color w:val="3730A3"/>
        </w:rPr>
        <w:t xml:space="preserve">Bab III. Profesionalisme dan Etika Kedokteran</w:t>
      </w:r>
    </w:p>
    <w:p>
      <w:pPr>
        <w:pStyle w:val="Heading2"/>
        <w:spacing w:after="160" w:before="300"/>
      </w:pPr>
      <w:r>
        <w:rPr>
          <w:color w:val="4F46E5"/>
        </w:rPr>
        <w:t xml:space="preserve">3.1 A. Deskripsi Kompetensi</w:t>
      </w:r>
    </w:p>
    <w:p>
      <w:pPr>
        <w:spacing w:after="160"/>
        <w:jc w:val="both"/>
      </w:pPr>
      <w:r>
        <w:rPr>
          <w:rFonts w:ascii="IBM Plex Sans" w:cs="IBM Plex Sans" w:eastAsia="IBM Plex Sans" w:hAnsi="IBM Plex Sans"/>
          <w:color w:val="334155"/>
          <w:sz w:val="21"/>
          <w:szCs w:val="21"/>
        </w:rPr>
        <w:t xml:space="preserve">Area Kompetensi 5 mencakup kompetensi untuk menjalankan praktik medis berdasarkan nilai-nilai etika, integritas, dan tanggung jawab terhadap Pasien, profesi, dan masyarakat. Tabel 40 Lampiran Kepkonsil menjabarkan lima komponen: (1) menunjukkan integritas pribadi, kejujuran, dan rasa hormat dalam setiap interaksi profesional; (2) mematuhi prinsip dan nilai-nilai keprofesian secara konsisten, termasuk kepatuhan pada Kode Etik Kedokteran Indonesia (KODEKI); (3) menjaga kerahasiaan informasi medis Pasien secara ketat; (4) menerima tanggung jawab atas tindakan dan keputusan profesional yang diambil; dan (5) menunjukkan kepedulian terhadap keadilan sosial dan kesetaraan akses layanan kesehatan.</w:t>
      </w:r>
    </w:p>
    <w:p>
      <w:pPr>
        <w:spacing w:after="160"/>
        <w:jc w:val="both"/>
      </w:pPr>
      <w:r>
        <w:rPr>
          <w:rFonts w:ascii="IBM Plex Sans" w:cs="IBM Plex Sans" w:eastAsia="IBM Plex Sans" w:hAnsi="IBM Plex Sans"/>
          <w:color w:val="334155"/>
          <w:sz w:val="21"/>
          <w:szCs w:val="21"/>
        </w:rPr>
        <w:t xml:space="preserve">Obstetri dan ginekologi menghadirkan tantangan etika yang bercorak khas: kerahasiaan pada kasus kehamilan remaja atau di luar nikah, konflik kepentingan pada rujukan ke fasilitas atau layanan berbayar tertentu, batas profesional dalam pemeriksaan fisik pada area intim, serta pengambilan keputusan pada situasi yang menyentuh nilai personal dan keyakinan Pasien seperti terminasi kehamilan atas indikasi medis atau kontrasepsi permanen.</w:t>
      </w:r>
    </w:p>
    <w:p>
      <w:pPr>
        <w:pStyle w:val="Heading2"/>
        <w:spacing w:after="160" w:before="300"/>
      </w:pPr>
      <w:r>
        <w:rPr>
          <w:color w:val="4F46E5"/>
        </w:rPr>
        <w:t xml:space="preserve">3.2 B. Kerangka Etika Profesional dalam Praktik Obstetri dan Ginekologi</w:t>
      </w:r>
    </w:p>
    <w:p>
      <w:pPr>
        <w:spacing w:after="160"/>
        <w:jc w:val="both"/>
      </w:pPr>
      <w:r>
        <w:rPr>
          <w:rFonts w:ascii="IBM Plex Sans" w:cs="IBM Plex Sans" w:eastAsia="IBM Plex Sans" w:hAnsi="IBM Plex Sans"/>
          <w:color w:val="334155"/>
          <w:sz w:val="21"/>
          <w:szCs w:val="21"/>
        </w:rPr>
        <w:t xml:space="preserve">Kepatuhan terhadap KODEKI, sebagaimana dituntut Kriteria Kinerja Minimal Tabel 40 ("100% tindakan medis sesuai KODEKI dan regulasi profesi"), diterapkan secara operasional melalui empat prinsip etika kedokteran klasik: autonomy (menghormati hak Pasien menentukan pilihan atas tubuhnya sendiri, termasuk dalam kontrasepsi dan terminasi kehamilan sesuai indikasi legal), beneficence (bertindak demi kepentingan terbaik Pasien), non-maleficence (menghindari tindakan yang merugikan), dan justice (keadilan akses layanan). Keempat prinsip ini menjadi kerangka analisis dilema etika yang kerap muncul di ruang praktik SpOG, mulai dari permintaan terminasi kehamilan di luar indikasi medis-legal, penolakan transfusi darah atas dasar keyakinan, hingga konflik antara otonomi ibu dan kepentingan janin pada kasus penolakan tindakan seksio sesarea yang terindikasi mutlak.</w:t>
      </w:r>
    </w:p>
    <w:p>
      <w:pPr>
        <w:spacing w:after="160"/>
        <w:jc w:val="both"/>
      </w:pPr>
      <w:r>
        <w:rPr>
          <w:rFonts w:ascii="IBM Plex Sans" w:cs="IBM Plex Sans" w:eastAsia="IBM Plex Sans" w:hAnsi="IBM Plex Sans"/>
          <w:color w:val="334155"/>
          <w:sz w:val="21"/>
          <w:szCs w:val="21"/>
        </w:rPr>
        <w:t xml:space="preserve">Kerahasiaan informasi medis (komponen ketiga Tabel 40) memerlukan perhatian khusus dalam konteks Indonesia, di mana kasus obstetri-ginekologi sering melibatkan keluarga besar yang turut hadir dan menuntut informasi. Kriteria Kinerja Minimal menuntut penggunaan data anonim saat diskusi kasus atau publikasi ilmiah serta keamanan akses rekam medis — prinsip yang harus secara sadar diterapkan pada forum bedside teaching dan diskusi kasus PPDS, mengingat mahasiswa dan Pasien lain kerap turut mendengarkan diskusi klinis di bangsal terbuka.</w:t>
      </w:r>
    </w:p>
    <w:p>
      <w:pPr>
        <w:spacing w:after="160"/>
        <w:jc w:val="both"/>
      </w:pPr>
      <w:r>
        <w:rPr>
          <w:rFonts w:ascii="IBM Plex Sans" w:cs="IBM Plex Sans" w:eastAsia="IBM Plex Sans" w:hAnsi="IBM Plex Sans"/>
          <w:color w:val="334155"/>
          <w:sz w:val="21"/>
          <w:szCs w:val="21"/>
        </w:rPr>
        <w:t xml:space="preserve">Konflik kepentingan (component kedua) relevan khususnya pada rujukan ke praktik pribadi, penggunaan alat kesehatan atau obat dari sponsor tertentu, dan hubungan dengan industri farmasi/alat kesehatan reproduksi berteknologi tinggi (misalnya alat USG atau sistem IVF). Kriteria Kinerja Minimal Tabel 40 menuntut pelaporan konflik kepentingan melalui mekanisme resmi institusi, sejalan dengan praktik disclosure yang lazim pada jurnal dan konferensi ilmiah internasional.</w:t>
      </w:r>
    </w:p>
    <w:p>
      <w:pPr>
        <w:spacing w:after="160"/>
        <w:jc w:val="both"/>
      </w:pPr>
      <w:r>
        <w:rPr>
          <w:rFonts w:ascii="IBM Plex Sans" w:cs="IBM Plex Sans" w:eastAsia="IBM Plex Sans" w:hAnsi="IBM Plex Sans"/>
          <w:color w:val="334155"/>
          <w:sz w:val="21"/>
          <w:szCs w:val="21"/>
        </w:rPr>
        <w:t xml:space="preserve">Akuntabilitas profesional (komponen keempat) diwujudkan melalui budaya keselamatan Pasien yang tidak menghukum (just culture) — keterlibatan aktif dalam audit klinis dan Morbidity and Mortality (M&amp;M) conference tanpa budaya saling menyalahkan (blame shifting), sebagaimana secara eksplisit disebutkan dalam Kriteria Kinerja Minimal Tabel 40 poin ketiga.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FEF3E2" w:sz="2"/>
              <w:left w:val="single" w:color="B45309" w:sz="24"/>
              <w:bottom w:val="single" w:color="FEF3E2" w:sz="2"/>
              <w:right w:val="single" w:color="FEF3E2" w:sz="2"/>
            </w:tcBorders>
            <w:shd w:fill="FEF3E2" w:val="clear"/>
            <w:tcMar>
              <w:top w:type="dxa" w:w="160"/>
              <w:left w:type="dxa" w:w="220"/>
              <w:bottom w:type="dxa" w:w="160"/>
              <w:right w:type="dxa" w:w="220"/>
            </w:tcMar>
          </w:tcPr>
          <w:p>
            <w:pPr>
              <w:spacing w:after="120"/>
            </w:pPr>
            <w:r>
              <w:rPr>
                <w:rFonts w:ascii="IBM Plex Mono" w:cs="IBM Plex Mono" w:eastAsia="IBM Plex Mono" w:hAnsi="IBM Plex Mono"/>
                <w:b/>
                <w:bCs/>
                <w:color w:val="B45309"/>
                <w:sz w:val="16"/>
                <w:szCs w:val="16"/>
              </w:rPr>
              <w:t xml:space="preserve">DASAR REGULASI</w:t>
            </w:r>
          </w:p>
          <w:p>
            <w:pPr>
              <w:spacing w:after="80"/>
            </w:pPr>
            <w:r>
              <w:rPr>
                <w:rFonts w:ascii="Source Serif 4" w:cs="Source Serif 4" w:eastAsia="Source Serif 4" w:hAnsi="Source Serif 4"/>
                <w:b/>
                <w:bCs/>
                <w:color w:val="334155"/>
                <w:sz w:val="21"/>
                <w:szCs w:val="21"/>
              </w:rPr>
              <w:t xml:space="preserve">Dasar Regulasi — Bab III</w:t>
            </w:r>
          </w:p>
          <w:p>
            <w:pPr>
              <w:spacing w:after="0"/>
            </w:pPr>
            <w:r>
              <w:rPr>
                <w:rFonts w:ascii="IBM Plex Sans" w:cs="IBM Plex Sans" w:eastAsia="IBM Plex Sans" w:hAnsi="IBM Plex Sans"/>
                <w:color w:val="334155"/>
                <w:sz w:val="21"/>
                <w:szCs w:val="21"/>
              </w:rPr>
              <w:t xml:space="preserve">Tabel 40 Lampiran Kepkonsil No. HK.01.02/KKI/1318/2026, Area Kompetensi 5: Profesionalisme. Lima komponen kompetensi: integritas dan kejujuran; kepatuhan KODEKI dan regulasi profesi; kerahasiaan informasi medis; akuntabilitas dan budaya keselamatan Pasien; serta kepedulian terhadap keadilan sosial dan kesetaraan akses. Kriteria Kinerja Minimal menuntut, antara lain, nihil pelanggaran etik dalam 12 bulan terakhir, ≥90% penilaian positif integritas dari evaluasi 360 derajat, dan 100% data klinis bebas manipulasi.</w:t>
            </w:r>
          </w:p>
        </w:tc>
      </w:tr>
    </w:tbl>
    <w:p>
      <w:pPr>
        <w:spacing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EF2FF" w:sz="2"/>
              <w:left w:val="single" w:color="4F46E5" w:sz="24"/>
              <w:bottom w:val="single" w:color="EEF2FF" w:sz="2"/>
              <w:right w:val="single" w:color="EEF2FF" w:sz="2"/>
            </w:tcBorders>
            <w:shd w:fill="EEF2FF" w:val="clear"/>
            <w:tcMar>
              <w:top w:type="dxa" w:w="160"/>
              <w:left w:type="dxa" w:w="220"/>
              <w:bottom w:type="dxa" w:w="160"/>
              <w:right w:type="dxa" w:w="220"/>
            </w:tcMar>
          </w:tcPr>
          <w:p>
            <w:pPr>
              <w:spacing w:after="120"/>
            </w:pPr>
            <w:r>
              <w:rPr>
                <w:rFonts w:ascii="IBM Plex Mono" w:cs="IBM Plex Mono" w:eastAsia="IBM Plex Mono" w:hAnsi="IBM Plex Mono"/>
                <w:b/>
                <w:bCs/>
                <w:color w:val="4F46E5"/>
                <w:sz w:val="16"/>
                <w:szCs w:val="16"/>
              </w:rPr>
              <w:t xml:space="preserve">PERBANDINGAN &amp; PENGAYAAN STANDAR INTERNASIONAL</w:t>
            </w:r>
          </w:p>
          <w:p>
            <w:pPr>
              <w:spacing w:after="80"/>
            </w:pPr>
            <w:r>
              <w:rPr>
                <w:rFonts w:ascii="Source Serif 4" w:cs="Source Serif 4" w:eastAsia="Source Serif 4" w:hAnsi="Source Serif 4"/>
                <w:b/>
                <w:bCs/>
                <w:color w:val="334155"/>
                <w:sz w:val="21"/>
                <w:szCs w:val="21"/>
              </w:rPr>
              <w:t xml:space="preserve">Perbandingan dan Pengayaan Standar Internasional</w:t>
            </w:r>
          </w:p>
          <w:p>
            <w:pPr>
              <w:spacing w:after="140"/>
            </w:pPr>
            <w:r>
              <w:rPr>
                <w:rFonts w:ascii="IBM Plex Sans" w:cs="IBM Plex Sans" w:eastAsia="IBM Plex Sans" w:hAnsi="IBM Plex Sans"/>
                <w:color w:val="334155"/>
                <w:sz w:val="21"/>
                <w:szCs w:val="21"/>
              </w:rPr>
              <w:t xml:space="preserve">ACOG Code of Professional Ethics menetapkan kewajiban etis dokter obstetri-ginekologi mencakup penghormatan otonomi Pasien, kejujuran dalam komunikasi risiko, serta pengelolaan konflik kepentingan finansial — sejalan penuh dengan komponen kedua dan ketiga Tabel 40.</w:t>
            </w:r>
          </w:p>
          <w:p>
            <w:pPr>
              <w:spacing w:after="140"/>
            </w:pPr>
            <w:r>
              <w:rPr>
                <w:rFonts w:ascii="IBM Plex Sans" w:cs="IBM Plex Sans" w:eastAsia="IBM Plex Sans" w:hAnsi="IBM Plex Sans"/>
                <w:color w:val="334155"/>
                <w:sz w:val="21"/>
                <w:szCs w:val="21"/>
              </w:rPr>
              <w:t xml:space="preserve">FIGO Ethical Guidelines memberikan perhatian khusus pada etika reproduksi (reproductive ethics), termasuk isu terminasi kehamilan, teknologi reproduksi berbantu, dan konseling genetik, yang menjadi rujukan pengayaan penting mengingat Tabel 40 tidak merinci dilema etika spesifik bidang obstetri-ginekologi secara eksplisit.</w:t>
            </w:r>
          </w:p>
          <w:p>
            <w:pPr>
              <w:spacing w:after="0"/>
            </w:pPr>
            <w:r>
              <w:rPr>
                <w:rFonts w:ascii="IBM Plex Sans" w:cs="IBM Plex Sans" w:eastAsia="IBM Plex Sans" w:hAnsi="IBM Plex Sans"/>
                <w:color w:val="334155"/>
                <w:sz w:val="21"/>
                <w:szCs w:val="21"/>
              </w:rPr>
              <w:t xml:space="preserve">General Medical Council (GMC) Britania Raya, melalui panduan Good Medical Practice dan panduan pelengkap mengenai duty of candour, menetapkan kewajiban profesional untuk terbuka dan jujur kepada Pasien ketika terjadi kesalahan medis atau insiden keselamatan — empat langkahnya (memberitahu, meminta maaf, menjelaskan, dan memperbaiki) memperkuat komponen keempat Tabel 40 mengenai akuntabilitas. Standar nasional (Kepkonsil) menetapkan bahwa insiden signifikan wajib memiliki dokumentasi rencana perbaikan; standar internasional GMC merekomendasikan keterbukaan proaktif kepada Pasien segera setelah insiden diketahui, termasuk permintaan maaf yang tidak serta-merta berarti pengakuan tanggung jawab hukum; praktik di Indonesia mengikuti standar nasional dengan pengayaan prinsip keterbukaan tersebut pada forum komunikasi Pasien pascainsiden.</w:t>
            </w:r>
          </w:p>
        </w:tc>
      </w:tr>
    </w:tbl>
    <w:p>
      <w:pPr>
        <w:spacing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F1F5F9" w:sz="2"/>
              <w:left w:val="single" w:color="334155" w:sz="24"/>
              <w:bottom w:val="single" w:color="F1F5F9" w:sz="2"/>
              <w:right w:val="single" w:color="F1F5F9" w:sz="2"/>
            </w:tcBorders>
            <w:shd w:fill="F1F5F9" w:val="clear"/>
            <w:tcMar>
              <w:top w:type="dxa" w:w="160"/>
              <w:left w:type="dxa" w:w="220"/>
              <w:bottom w:type="dxa" w:w="160"/>
              <w:right w:type="dxa" w:w="220"/>
            </w:tcMar>
          </w:tcPr>
          <w:p>
            <w:pPr>
              <w:spacing w:after="120"/>
            </w:pPr>
            <w:r>
              <w:rPr>
                <w:rFonts w:ascii="IBM Plex Mono" w:cs="IBM Plex Mono" w:eastAsia="IBM Plex Mono" w:hAnsi="IBM Plex Mono"/>
                <w:b/>
                <w:bCs/>
                <w:color w:val="334155"/>
                <w:sz w:val="16"/>
                <w:szCs w:val="16"/>
              </w:rPr>
              <w:t xml:space="preserve">ILUSTRASI KASUS LAPANGAN</w:t>
            </w:r>
          </w:p>
          <w:p>
            <w:pPr>
              <w:spacing w:after="80"/>
            </w:pPr>
            <w:r>
              <w:rPr>
                <w:rFonts w:ascii="Source Serif 4" w:cs="Source Serif 4" w:eastAsia="Source Serif 4" w:hAnsi="Source Serif 4"/>
                <w:b/>
                <w:bCs/>
                <w:color w:val="334155"/>
                <w:sz w:val="21"/>
                <w:szCs w:val="21"/>
              </w:rPr>
              <w:t xml:space="preserve">Ilustrasi Kasus Lapangan — Konflik Kepentingan dalam Rujukan Fertilitas</w:t>
            </w:r>
          </w:p>
          <w:p>
            <w:pPr>
              <w:spacing w:after="140"/>
            </w:pPr>
            <w:r>
              <w:rPr>
                <w:rFonts w:ascii="IBM Plex Sans" w:cs="IBM Plex Sans" w:eastAsia="IBM Plex Sans" w:hAnsi="IBM Plex Sans"/>
                <w:color w:val="334155"/>
                <w:sz w:val="21"/>
                <w:szCs w:val="21"/>
              </w:rPr>
              <w:t xml:space="preserve">Seorang konsultan fertilitas dan endokrinologi reproduksi di rumah sakit pendidikan menerima insentif tidak resmi dari sebuah klinik fertilitas swasta setiap kali merujuk Pasien untuk prosedur IVF (in-vitro fertilization) di klinik tersebut. Seorang peserta didik PPDS tahun ke-3 yang mengetahui praktik ini melaporkannya kepada Ketua Program Studi melalui mekanisme pelaporan resmi institusi, sesuai dengan komponen kedua Tabel 40 mengenai pelaporan konflik kepentingan.</w:t>
            </w:r>
          </w:p>
          <w:p>
            <w:pPr>
              <w:spacing w:after="140"/>
            </w:pPr>
            <w:r>
              <w:rPr>
                <w:rFonts w:ascii="IBM Plex Sans" w:cs="IBM Plex Sans" w:eastAsia="IBM Plex Sans" w:hAnsi="IBM Plex Sans"/>
                <w:color w:val="334155"/>
                <w:sz w:val="21"/>
                <w:szCs w:val="21"/>
              </w:rPr>
              <w:t xml:space="preserve">Komite etik institusi menindaklanjuti laporan dengan investigasi formal. Hasil investigasi menunjukkan pelanggaran terhadap KODEKI pasal mengenai kemandirian profesional dan larangan menerima imbalan atas rujukan Pasien. Konsultan yang bersangkutan dikenai sanksi teguran tertulis dan kewajiban mengikuti pelatihan etika kedokteran ulang, sementara identitas peserta didik pelapor dilindungi sesuai mekanisme whistleblowing institusi.</w:t>
            </w:r>
          </w:p>
          <w:p>
            <w:pPr>
              <w:spacing w:after="0"/>
            </w:pPr>
            <w:r>
              <w:rPr>
                <w:rFonts w:ascii="IBM Plex Sans" w:cs="IBM Plex Sans" w:eastAsia="IBM Plex Sans" w:hAnsi="IBM Plex Sans"/>
                <w:color w:val="334155"/>
                <w:sz w:val="21"/>
                <w:szCs w:val="21"/>
              </w:rPr>
              <w:t xml:space="preserve">Kasus ini kemudian dijadikan studi kasus wajib pada modul etika kedokteran program studi, dengan penekanan bahwa keberanian melaporkan pelanggaran etik sejawat senior — meski secara hierarki sulit — merupakan bagian tidak terpisahkan dari kompetensi profesionalisme yang dituntut Tabel 40, bukan tindakan yang bertentangan dengan budaya kolegial.</w:t>
            </w:r>
          </w:p>
        </w:tc>
      </w:tr>
    </w:tbl>
    <w:p>
      <w:pPr>
        <w:spacing w:after="200"/>
      </w:pPr>
    </w:p>
    <w:p>
      <w:pPr>
        <w:pStyle w:val="Heading2"/>
        <w:spacing w:after="160" w:before="300"/>
      </w:pPr>
      <w:r>
        <w:rPr>
          <w:color w:val="4F46E5"/>
        </w:rPr>
        <w:t xml:space="preserve">3.3 Tantangan Implementasi dan Strategi Pembelajaran</w:t>
      </w:r>
    </w:p>
    <w:p>
      <w:pPr>
        <w:spacing w:after="160"/>
        <w:jc w:val="both"/>
      </w:pPr>
      <w:r>
        <w:rPr>
          <w:rFonts w:ascii="IBM Plex Sans" w:cs="IBM Plex Sans" w:eastAsia="IBM Plex Sans" w:hAnsi="IBM Plex Sans"/>
          <w:color w:val="334155"/>
          <w:sz w:val="21"/>
          <w:szCs w:val="21"/>
        </w:rPr>
        <w:t xml:space="preserve">Budaya hierarkis yang masih kuat pada sebagian institusi pendidikan kedokteran spesialis di Indonesia dapat menjadi hambatan tersendiri bagi penerapan komponen akuntabilitas dan pelaporan konflik kepentingan pada Tabel 40, mengingat peserta didik sering berada pada posisi yang rentan secara struktural terhadap konsultan atau supervisor. Tantangan lain adalah belum meratanya keberadaan komite etik yang aktif dan mekanisme pelaporan yang aman (whistleblowing) di seluruh rumah sakit jejaring pendidikan, serta minimnya paparan sistematis terhadap studi kasus dilema etika reproduksi yang spesifik bagi bidang obstetri-ginekologi selama pendidikan strata sebelumnya.</w:t>
      </w:r>
    </w:p>
    <w:p>
      <w:pPr>
        <w:spacing w:after="160"/>
        <w:jc w:val="both"/>
      </w:pPr>
      <w:r>
        <w:rPr>
          <w:rFonts w:ascii="IBM Plex Sans" w:cs="IBM Plex Sans" w:eastAsia="IBM Plex Sans" w:hAnsi="IBM Plex Sans"/>
          <w:color w:val="334155"/>
          <w:sz w:val="21"/>
          <w:szCs w:val="21"/>
        </w:rPr>
        <w:t xml:space="preserve">Program studi perlu secara aktif membangun budaya "just culture" sejak tahun pertama pendidikan, dengan menegaskan bahwa pelaporan insiden maupun pelanggaran etik dipandang sebagai kontribusi terhadap mutu, bukan pengkhianatan terhadap kolega. Modul etika kedokteran berbasis kasus (case-based ethics teaching) yang diselenggarakan secara rutin, disertai keterlibatan komite etik institusi dalam pembahasan kasus riil (dengan identitas Pasien dan pihak terkait yang telah dianonimkan), terbukti lebih efektif membangun kepekaan etis dibandingkan pembelajaran teori KODEKI secara hafalan semata.</w:t>
      </w:r>
    </w:p>
    <w:p>
      <w:pPr>
        <w:pStyle w:val="Heading1"/>
        <w:spacing w:after="200" w:before="400"/>
      </w:pPr>
      <w:r>
        <w:rPr>
          <w:color w:val="3730A3"/>
        </w:rPr>
        <w:t xml:space="preserve">Bab IV. Praktik Berbasis Sistem dan Kerja Tim</w:t>
      </w:r>
    </w:p>
    <w:p>
      <w:pPr>
        <w:pStyle w:val="Heading2"/>
        <w:spacing w:after="160" w:before="300"/>
      </w:pPr>
      <w:r>
        <w:rPr>
          <w:color w:val="4F46E5"/>
        </w:rPr>
        <w:t xml:space="preserve">4.1 A. Deskripsi Kompetensi</w:t>
      </w:r>
    </w:p>
    <w:p>
      <w:pPr>
        <w:spacing w:after="160"/>
        <w:jc w:val="both"/>
      </w:pPr>
      <w:r>
        <w:rPr>
          <w:rFonts w:ascii="IBM Plex Sans" w:cs="IBM Plex Sans" w:eastAsia="IBM Plex Sans" w:hAnsi="IBM Plex Sans"/>
          <w:color w:val="334155"/>
          <w:sz w:val="21"/>
          <w:szCs w:val="21"/>
        </w:rPr>
        <w:t xml:space="preserve">Area Kompetensi 6 mencakup kompetensi menguasai informasi, memanfaatkan, dan berkontribusi terhadap sistem pelayanan kesehatan untuk meningkatkan mutu dan efisiensi layanan. Tabel 41 Lampiran Kepkonsil menjabarkan empat komponen: (1) mengenali struktur dan fungsi sistem pelayanan kesehatan tempat ia bekerja; (2) mengoordinasikan pelayanan antarprofesi dan antarlevel fasilitas kesehatan; (3) menggunakan sumber daya layanan kesehatan secara efisien dan bertanggung jawab; dan (4) menganalisis hambatan sistemik dalam pelayanan Pasien serta mengusulkan perbaikannya, ditambah komponen kelima mengenai partisipasi dalam kegiatan peningkatan mutu dan keselamatan Pasien pada level sistem.</w:t>
      </w:r>
    </w:p>
    <w:p>
      <w:pPr>
        <w:spacing w:after="160"/>
        <w:jc w:val="both"/>
      </w:pPr>
      <w:r>
        <w:rPr>
          <w:rFonts w:ascii="IBM Plex Sans" w:cs="IBM Plex Sans" w:eastAsia="IBM Plex Sans" w:hAnsi="IBM Plex Sans"/>
          <w:color w:val="334155"/>
          <w:sz w:val="21"/>
          <w:szCs w:val="21"/>
        </w:rPr>
        <w:t xml:space="preserve">Obstetri dan ginekologi bergantung besar pada sistem rujukan berjenjang — terutama pada kegawatdaruratan maternal dan neonatal, di mana keterlambatan pada setiap simpul rujukan (referral delay) berkontribusi langsung pada morbiditas dan mortalitas ibu. Kompetensi praktik berbasis sistem karenanya bukan sekadar pengetahuan administratif, melainkan keterampilan klinis yang menentukan hidup dan mati.</w:t>
      </w:r>
    </w:p>
    <w:p>
      <w:pPr>
        <w:pStyle w:val="Heading2"/>
        <w:spacing w:after="160" w:before="300"/>
      </w:pPr>
      <w:r>
        <w:rPr>
          <w:color w:val="4F46E5"/>
        </w:rPr>
        <w:t xml:space="preserve">4.2 B. Kerangka Analisis Sistem Pelayanan Obstetri dan Ginekologi</w:t>
      </w:r>
    </w:p>
    <w:p>
      <w:pPr>
        <w:spacing w:after="160"/>
        <w:jc w:val="both"/>
      </w:pPr>
      <w:r>
        <w:rPr>
          <w:rFonts w:ascii="IBM Plex Sans" w:cs="IBM Plex Sans" w:eastAsia="IBM Plex Sans" w:hAnsi="IBM Plex Sans"/>
          <w:color w:val="334155"/>
          <w:sz w:val="21"/>
          <w:szCs w:val="21"/>
        </w:rPr>
        <w:t xml:space="preserve">Sistem rujukan maternal-neonatal berjenjang di Indonesia, yang mengikuti struktur fasilitas kesehatan tingkat pertama (FKTP), fasilitas kesehatan rujukan tingkat lanjutan (FKRTL) sekunder, dan tersier, menjadi konteks operasional bagi komponen pertama dan kedua Tabel 41. Kerangka "Three Delays Model" (keterlambatan mengambil keputusan mencari pertolongan, keterlambatan mencapai fasilitas kesehatan, dan keterlambatan menerima pertolongan yang adekuat di fasilitas kesehatan) yang banyak digunakan dalam literatur kesehatan ibu global memberikan kerangka analisis yang relevan untuk mengidentifikasi "hambatan sistemik" sebagaimana dimaksud komponen keempat Tabel 41 — misalnya keterlambatan proses rujukan pada kasus perdarahan pascasalin (postpartum hemorrhage) akibat atonia uteri (ICD-10 O72; kode spesifik atonia uteri dijelaskan pada Tabel 43 Lampiran Kepkonsil sebagai kegagalan uterus berkontraksi adekuat setelah persalinan).</w:t>
      </w:r>
    </w:p>
    <w:p>
      <w:pPr>
        <w:spacing w:after="160"/>
        <w:jc w:val="both"/>
      </w:pPr>
      <w:r>
        <w:rPr>
          <w:rFonts w:ascii="IBM Plex Sans" w:cs="IBM Plex Sans" w:eastAsia="IBM Plex Sans" w:hAnsi="IBM Plex Sans"/>
          <w:color w:val="334155"/>
          <w:sz w:val="21"/>
          <w:szCs w:val="21"/>
        </w:rPr>
        <w:t xml:space="preserve">Kerja tim multidisiplin (multidisciplinary team/MDT) menjadi wujud operasional komponen kedua Tabel 41 pada level klinis harian, khususnya pada kasus kompleks seperti kehamilan risiko tinggi yang memerlukan kolaborasi SpOG-fetomaternal, anestesiologi, dan neonatologi, atau tumor board onkologi ginekologi yang mempertemukan SpOG-onkologi ginekologi, radioterapi, dan patologi anatomi. Model komunikasi terstruktur seperti SBAR dan checklist serah terima (handover checklist) menjadi alat praktis untuk memenuhi Kriteria Kinerja Minimal mengenai dokumentasi transisi pelayanan yang lengkap.</w:t>
      </w:r>
    </w:p>
    <w:p>
      <w:pPr>
        <w:spacing w:after="160"/>
        <w:jc w:val="both"/>
      </w:pPr>
      <w:r>
        <w:rPr>
          <w:rFonts w:ascii="IBM Plex Sans" w:cs="IBM Plex Sans" w:eastAsia="IBM Plex Sans" w:hAnsi="IBM Plex Sans"/>
          <w:color w:val="334155"/>
          <w:sz w:val="21"/>
          <w:szCs w:val="21"/>
        </w:rPr>
        <w:t xml:space="preserve">Penggunaan sumber daya secara efisien (komponen ketiga) memerlukan familiaritas dengan konsep clinical pathway dan audit rasionalitas medis. Peserta didik dituntut mampu membedakan pemeriksaan penunjang yang benar-benar mengubah tata laksana (clinically actionable) dari pemeriksaan yang bersifat rutinitas tanpa indikasi jelas — kompetensi yang kelak beririsan erat dengan kesadaran biaya pada Bab V. Partisipasi dalam kegiatan peningkatan mutu (komponen kelima) diwujudkan melalui keterlibatan aktif dalam komite mutu dan keselamatan Pasien rumah sakit pendidikan, penyusunan atau revisi Standard Operating Procedure (SOP), serta evaluasi berkala efektivitas kebijakan.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FEF3E2" w:sz="2"/>
              <w:left w:val="single" w:color="B45309" w:sz="24"/>
              <w:bottom w:val="single" w:color="FEF3E2" w:sz="2"/>
              <w:right w:val="single" w:color="FEF3E2" w:sz="2"/>
            </w:tcBorders>
            <w:shd w:fill="FEF3E2" w:val="clear"/>
            <w:tcMar>
              <w:top w:type="dxa" w:w="160"/>
              <w:left w:type="dxa" w:w="220"/>
              <w:bottom w:type="dxa" w:w="160"/>
              <w:right w:type="dxa" w:w="220"/>
            </w:tcMar>
          </w:tcPr>
          <w:p>
            <w:pPr>
              <w:spacing w:after="120"/>
            </w:pPr>
            <w:r>
              <w:rPr>
                <w:rFonts w:ascii="IBM Plex Mono" w:cs="IBM Plex Mono" w:eastAsia="IBM Plex Mono" w:hAnsi="IBM Plex Mono"/>
                <w:b/>
                <w:bCs/>
                <w:color w:val="B45309"/>
                <w:sz w:val="16"/>
                <w:szCs w:val="16"/>
              </w:rPr>
              <w:t xml:space="preserve">DASAR REGULASI</w:t>
            </w:r>
          </w:p>
          <w:p>
            <w:pPr>
              <w:spacing w:after="80"/>
            </w:pPr>
            <w:r>
              <w:rPr>
                <w:rFonts w:ascii="Source Serif 4" w:cs="Source Serif 4" w:eastAsia="Source Serif 4" w:hAnsi="Source Serif 4"/>
                <w:b/>
                <w:bCs/>
                <w:color w:val="334155"/>
                <w:sz w:val="21"/>
                <w:szCs w:val="21"/>
              </w:rPr>
              <w:t xml:space="preserve">Dasar Regulasi — Bab IV</w:t>
            </w:r>
          </w:p>
          <w:p>
            <w:pPr>
              <w:spacing w:after="0"/>
            </w:pPr>
            <w:r>
              <w:rPr>
                <w:rFonts w:ascii="IBM Plex Sans" w:cs="IBM Plex Sans" w:eastAsia="IBM Plex Sans" w:hAnsi="IBM Plex Sans"/>
                <w:color w:val="334155"/>
                <w:sz w:val="21"/>
                <w:szCs w:val="21"/>
              </w:rPr>
              <w:t xml:space="preserve">Tabel 41 Lampiran Kepkonsil No. HK.01.02/KKI/1318/2026, Area Kompetensi 6: Praktik Berbasis Sistem. Komponen kompetensi mencakup: pemahaman struktur sistem pelayanan; koordinasi pelayanan antarprofesi dan antarlevel fasilitas (primer, sekunder, tersier); efisiensi penggunaan sumber daya; analisis hambatan sistemik; dan partisipasi dalam peningkatan mutu serta keselamatan Pasien. Kriteria Kinerja Minimal mensyaratkan, antara lain, ≥85% dokumentasi transisi pelayanan lengkap dan ≥1 kontribusi nyata per tahun dalam forum mutu/manajemen.</w:t>
            </w:r>
          </w:p>
        </w:tc>
      </w:tr>
    </w:tbl>
    <w:p>
      <w:pPr>
        <w:spacing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EF2FF" w:sz="2"/>
              <w:left w:val="single" w:color="4F46E5" w:sz="24"/>
              <w:bottom w:val="single" w:color="EEF2FF" w:sz="2"/>
              <w:right w:val="single" w:color="EEF2FF" w:sz="2"/>
            </w:tcBorders>
            <w:shd w:fill="EEF2FF" w:val="clear"/>
            <w:tcMar>
              <w:top w:type="dxa" w:w="160"/>
              <w:left w:type="dxa" w:w="220"/>
              <w:bottom w:type="dxa" w:w="160"/>
              <w:right w:type="dxa" w:w="220"/>
            </w:tcMar>
          </w:tcPr>
          <w:p>
            <w:pPr>
              <w:spacing w:after="120"/>
            </w:pPr>
            <w:r>
              <w:rPr>
                <w:rFonts w:ascii="IBM Plex Mono" w:cs="IBM Plex Mono" w:eastAsia="IBM Plex Mono" w:hAnsi="IBM Plex Mono"/>
                <w:b/>
                <w:bCs/>
                <w:color w:val="4F46E5"/>
                <w:sz w:val="16"/>
                <w:szCs w:val="16"/>
              </w:rPr>
              <w:t xml:space="preserve">PERBANDINGAN &amp; PENGAYAAN STANDAR INTERNASIONAL</w:t>
            </w:r>
          </w:p>
          <w:p>
            <w:pPr>
              <w:spacing w:after="80"/>
            </w:pPr>
            <w:r>
              <w:rPr>
                <w:rFonts w:ascii="Source Serif 4" w:cs="Source Serif 4" w:eastAsia="Source Serif 4" w:hAnsi="Source Serif 4"/>
                <w:b/>
                <w:bCs/>
                <w:color w:val="334155"/>
                <w:sz w:val="21"/>
                <w:szCs w:val="21"/>
              </w:rPr>
              <w:t xml:space="preserve">Perbandingan dan Pengayaan Standar Internasional</w:t>
            </w:r>
          </w:p>
          <w:p>
            <w:pPr>
              <w:spacing w:after="140"/>
            </w:pPr>
            <w:r>
              <w:rPr>
                <w:rFonts w:ascii="IBM Plex Sans" w:cs="IBM Plex Sans" w:eastAsia="IBM Plex Sans" w:hAnsi="IBM Plex Sans"/>
                <w:color w:val="334155"/>
                <w:sz w:val="21"/>
                <w:szCs w:val="21"/>
              </w:rPr>
              <w:t xml:space="preserve">Kerangka WHO Health Systems Building Blocks — yang meliputi service delivery, health workforce, health information systems, access to essential medicines, financing, dan leadership/governance — memberikan struktur konseptual yang lebih luas untuk memahami "struktur dan fungsi sistem pelayanan kesehatan" sebagaimana dituntut komponen pertama Tabel 41.</w:t>
            </w:r>
          </w:p>
          <w:p>
            <w:pPr>
              <w:spacing w:after="140"/>
            </w:pPr>
            <w:r>
              <w:rPr>
                <w:rFonts w:ascii="IBM Plex Sans" w:cs="IBM Plex Sans" w:eastAsia="IBM Plex Sans" w:hAnsi="IBM Plex Sans"/>
                <w:color w:val="334155"/>
                <w:sz w:val="21"/>
                <w:szCs w:val="21"/>
              </w:rPr>
              <w:t xml:space="preserve">Model "Three Delays" yang dikembangkan Thaddeus dan Maine (1994) — keterlambatan mengambil keputusan mencari pertolongan, keterlambatan mencapai fasilitas kesehatan, dan keterlambatan menerima pertolongan adekuat di fasilitas kesehatan — tetap menjadi kerangka analisis hambatan sistemik rujukan maternal yang paling banyak dirujuk secara global, dan selaras langsung dengan komponen keempat Tabel 41 mengenai analisis hambatan sistemik.</w:t>
            </w:r>
          </w:p>
          <w:p>
            <w:pPr>
              <w:spacing w:after="0"/>
            </w:pPr>
            <w:r>
              <w:rPr>
                <w:rFonts w:ascii="IBM Plex Sans" w:cs="IBM Plex Sans" w:eastAsia="IBM Plex Sans" w:hAnsi="IBM Plex Sans"/>
                <w:color w:val="334155"/>
                <w:sz w:val="21"/>
                <w:szCs w:val="21"/>
              </w:rPr>
              <w:t xml:space="preserve">Tinjauan sistematis oleh Hussein dkk. (2012) di jurnal PLOS Medicine mengenai efektivitas intervensi rujukan kegawatdaruratan obstetri di negara berkembang menunjukkan bahwa intervensi yang memperbaiki komunikasi dan koordinasi antarfasilitas — termasuk protokol komunikasi terstandar — berasosiasi dengan perbaikan pemanfaatan layanan dan penurunan mortalitas maternal-neonatal. Tidak terdapat perbedaan prinsip antara temuan ini dengan Kriteria Kinerja Minimal Tabel 41 mengenai dokumentasi transisi pelayanan; keduanya saling memperkuat.</w:t>
            </w:r>
          </w:p>
        </w:tc>
      </w:tr>
    </w:tbl>
    <w:p>
      <w:pPr>
        <w:spacing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F1F5F9" w:sz="2"/>
              <w:left w:val="single" w:color="334155" w:sz="24"/>
              <w:bottom w:val="single" w:color="F1F5F9" w:sz="2"/>
              <w:right w:val="single" w:color="F1F5F9" w:sz="2"/>
            </w:tcBorders>
            <w:shd w:fill="F1F5F9" w:val="clear"/>
            <w:tcMar>
              <w:top w:type="dxa" w:w="160"/>
              <w:left w:type="dxa" w:w="220"/>
              <w:bottom w:type="dxa" w:w="160"/>
              <w:right w:type="dxa" w:w="220"/>
            </w:tcMar>
          </w:tcPr>
          <w:p>
            <w:pPr>
              <w:spacing w:after="120"/>
            </w:pPr>
            <w:r>
              <w:rPr>
                <w:rFonts w:ascii="IBM Plex Mono" w:cs="IBM Plex Mono" w:eastAsia="IBM Plex Mono" w:hAnsi="IBM Plex Mono"/>
                <w:b/>
                <w:bCs/>
                <w:color w:val="334155"/>
                <w:sz w:val="16"/>
                <w:szCs w:val="16"/>
              </w:rPr>
              <w:t xml:space="preserve">ILUSTRASI KASUS LAPANGAN</w:t>
            </w:r>
          </w:p>
          <w:p>
            <w:pPr>
              <w:spacing w:after="80"/>
            </w:pPr>
            <w:r>
              <w:rPr>
                <w:rFonts w:ascii="Source Serif 4" w:cs="Source Serif 4" w:eastAsia="Source Serif 4" w:hAnsi="Source Serif 4"/>
                <w:b/>
                <w:bCs/>
                <w:color w:val="334155"/>
                <w:sz w:val="21"/>
                <w:szCs w:val="21"/>
              </w:rPr>
              <w:t xml:space="preserve">Ilustrasi Kasus Lapangan — Kegagalan Koordinasi Rujukan Perdarahan Pascasalin</w:t>
            </w:r>
          </w:p>
          <w:p>
            <w:pPr>
              <w:spacing w:after="140"/>
            </w:pPr>
            <w:r>
              <w:rPr>
                <w:rFonts w:ascii="IBM Plex Sans" w:cs="IBM Plex Sans" w:eastAsia="IBM Plex Sans" w:hAnsi="IBM Plex Sans"/>
                <w:color w:val="334155"/>
                <w:sz w:val="21"/>
                <w:szCs w:val="21"/>
              </w:rPr>
              <w:t xml:space="preserve">Seorang Pasien G3P2A0 mengalami perdarahan pascasalin masif akibat atonia uteri di sebuah Puskesmas PONED pada malam hari. Bidan jaga menghubungi rumah sakit rujukan tersier melalui telepon, namun tidak menggunakan format komunikasi terstruktur (SBAR), sehingga informasi mengenai kondisi hemodinamik Pasien tidak tersampaikan secara lengkap kepada dokter jaga IGD rumah sakit rujukan. Ambulans dikirim tanpa persiapan darah transfusi karena golongan darah Pasien tidak disampaikan saat komunikasi awal, mengakibatkan keterlambatan tambahan sekitar 40 menit setibanya Pasien di rumah sakit rujukan.</w:t>
            </w:r>
          </w:p>
          <w:p>
            <w:pPr>
              <w:spacing w:after="140"/>
            </w:pPr>
            <w:r>
              <w:rPr>
                <w:rFonts w:ascii="IBM Plex Sans" w:cs="IBM Plex Sans" w:eastAsia="IBM Plex Sans" w:hAnsi="IBM Plex Sans"/>
                <w:color w:val="334155"/>
                <w:sz w:val="21"/>
                <w:szCs w:val="21"/>
              </w:rPr>
              <w:t xml:space="preserve">Pasien akhirnya dapat diselamatkan setelah tindakan histerektomi subtotal darurat, namun kasus ini memicu audit sistem oleh komite maternal perinatal rumah sakit. Analisis akar masalah (root cause analysis) mengidentifikasi ketiadaan protokol komunikasi rujukan terstandar sebagai hambatan sistemik utama — persis komponen keempat Tabel 41.</w:t>
            </w:r>
          </w:p>
          <w:p>
            <w:pPr>
              <w:spacing w:after="0"/>
            </w:pPr>
            <w:r>
              <w:rPr>
                <w:rFonts w:ascii="IBM Plex Sans" w:cs="IBM Plex Sans" w:eastAsia="IBM Plex Sans" w:hAnsi="IBM Plex Sans"/>
                <w:color w:val="334155"/>
                <w:sz w:val="21"/>
                <w:szCs w:val="21"/>
              </w:rPr>
              <w:t xml:space="preserve">Sebagai tindak lanjut, program studi bersama jejaring Puskesmas PONED di wilayah cakupan menyusun protokol komunikasi rujukan berbasis SBAR yang diwajibkan pada setiap kasus kegawatdaruratan obstetri, disertai pelatihan simulasi berkala bagi bidan dan dokter jaga di fasilitas primer maupun sekunder. Peserta didik PPDS dilibatkan langsung dalam penyusunan protokol tersebut sebagai bagian dari pemenuhan Kriteria Kinerja Minimal partisipasi dalam kegiatan peningkatan mutu sistem.</w:t>
            </w:r>
          </w:p>
        </w:tc>
      </w:tr>
    </w:tbl>
    <w:p>
      <w:pPr>
        <w:spacing w:after="200"/>
      </w:pPr>
    </w:p>
    <w:p>
      <w:pPr>
        <w:pStyle w:val="Heading2"/>
        <w:spacing w:after="160" w:before="300"/>
      </w:pPr>
      <w:r>
        <w:rPr>
          <w:color w:val="4F46E5"/>
        </w:rPr>
        <w:t xml:space="preserve">4.3 Tantangan Implementasi dan Strategi Pembelajaran</w:t>
      </w:r>
    </w:p>
    <w:p>
      <w:pPr>
        <w:spacing w:after="160"/>
        <w:jc w:val="both"/>
      </w:pPr>
      <w:r>
        <w:rPr>
          <w:rFonts w:ascii="IBM Plex Sans" w:cs="IBM Plex Sans" w:eastAsia="IBM Plex Sans" w:hAnsi="IBM Plex Sans"/>
          <w:color w:val="334155"/>
          <w:sz w:val="21"/>
          <w:szCs w:val="21"/>
        </w:rPr>
        <w:t xml:space="preserve">Kompetensi praktik berbasis sistem sering kali menjadi area yang paling kurang mendapat perhatian eksplisit dalam kurikulum pendidikan spesialis dibandingkan kompetensi klinis teknis, karena sifatnya yang lintas rotasi dan tidak selalu memiliki "pemilik" modul yang jelas. Rotasi peserta didik PPDS yang berpindah antar rumah sakit jejaring dengan sistem informasi kesehatan dan alur rujukan yang berbeda-beda turut menyulitkan pembentukan pemahaman sistem yang konsisten. Keterbatasan akses data agregat rumah sakit (misalnya data waktu tunggu rujukan atau angka kematian ibu tingkat jejaring) juga membatasi kemampuan peserta didik melakukan analisis hambatan sistemik berbasis bukti sebagaimana dituntut komponen keempat Tabel 41.</w:t>
      </w:r>
    </w:p>
    <w:p>
      <w:pPr>
        <w:spacing w:after="160"/>
        <w:jc w:val="both"/>
      </w:pPr>
      <w:r>
        <w:rPr>
          <w:rFonts w:ascii="IBM Plex Sans" w:cs="IBM Plex Sans" w:eastAsia="IBM Plex Sans" w:hAnsi="IBM Plex Sans"/>
          <w:color w:val="334155"/>
          <w:sz w:val="21"/>
          <w:szCs w:val="21"/>
        </w:rPr>
        <w:t xml:space="preserve">Strategi yang direkomendasikan mencakup pengembangan modul orientasi sistem pelayanan yang wajib diikuti pada awal setiap rotasi baru, keterlibatan terstruktur peserta didik dalam kegiatan komite mutu dan keselamatan Pasien rumah sakit pendidikan (bukan sekadar kehadiran pasif), serta pemberian akses terbatas terhadap dasbor data mutu institusi untuk kepentingan pembelajaran. Pengalaman menyusun atau merevisi satu SOP layanan selama masa pendidikan, sebagaimana diisyaratkan Kriteria Kinerja Minimal Tabel 41, sebaiknya dijadikan syarat portofolio wajib pada setiap tahapan pendidikan PPDS.</w:t>
      </w:r>
    </w:p>
    <w:p>
      <w:pPr>
        <w:pStyle w:val="Heading1"/>
        <w:spacing w:after="200" w:before="400"/>
      </w:pPr>
      <w:r>
        <w:rPr>
          <w:color w:val="3730A3"/>
        </w:rPr>
        <w:t xml:space="preserve">Bab V. Kesadaran Biaya dan Efisiensi Layanan</w:t>
      </w:r>
    </w:p>
    <w:p>
      <w:pPr>
        <w:pStyle w:val="Heading2"/>
        <w:spacing w:after="160" w:before="300"/>
      </w:pPr>
      <w:r>
        <w:rPr>
          <w:color w:val="4F46E5"/>
        </w:rPr>
        <w:t xml:space="preserve">5.1 A. Deskripsi Kompetensi</w:t>
      </w:r>
    </w:p>
    <w:p>
      <w:pPr>
        <w:spacing w:after="160"/>
        <w:jc w:val="both"/>
      </w:pPr>
      <w:r>
        <w:rPr>
          <w:rFonts w:ascii="IBM Plex Sans" w:cs="IBM Plex Sans" w:eastAsia="IBM Plex Sans" w:hAnsi="IBM Plex Sans"/>
          <w:color w:val="334155"/>
          <w:sz w:val="21"/>
          <w:szCs w:val="21"/>
        </w:rPr>
        <w:t xml:space="preserve">Area Kompetensi 7 mencakup kompetensi mempertimbangkan aspek biaya dalam pengambilan keputusan klinis untuk menjamin pelayanan yang bermutu, efisien, dan berkeadilan. Tabel 42 Lampiran Kepkonsil menjabarkan lima komponen: (1) mempertimbangkan nilai klinis dan efisiensi biaya dalam memilih pemeriksaan dan terapi; (2) menghindari intervensi yang tidak perlu dan tidak memberikan manfaat klinis yang memadai; (3) menguasai sistem pembiayaan kesehatan dan dampaknya terhadap Pasien dan layanan; (4) menjelaskan pilihan perawatan secara transparan, termasuk implikasi biaya bagi Pasien; dan (5) mendukung prinsip keadilan dan efisiensi dalam pengelolaan sumber daya layanan kesehatan.</w:t>
      </w:r>
    </w:p>
    <w:p>
      <w:pPr>
        <w:spacing w:after="160"/>
        <w:jc w:val="both"/>
      </w:pPr>
      <w:r>
        <w:rPr>
          <w:rFonts w:ascii="IBM Plex Sans" w:cs="IBM Plex Sans" w:eastAsia="IBM Plex Sans" w:hAnsi="IBM Plex Sans"/>
          <w:color w:val="334155"/>
          <w:sz w:val="21"/>
          <w:szCs w:val="21"/>
        </w:rPr>
        <w:t xml:space="preserve">Kesadaran biaya bukan berarti membatasi akses layanan Pasien demi penghematan, melainkan memastikan bahwa setiap rupiah yang dikeluarkan Pasien maupun sistem pembiayaan (BPJS Kesehatan, asuransi swasta, atau biaya mandiri) menghasilkan nilai klinis yang sepadan (high-value care). Dalam konteks Indonesia, di mana mayoritas Pasien obstetri-ginekologi bergantung pada skema Jaminan Kesehatan Nasional melalui BPJS Kesehatan, kompetensi ini menjadi penentu keberlangsungan akses layanan itu sendiri.</w:t>
      </w:r>
    </w:p>
    <w:p>
      <w:pPr>
        <w:pStyle w:val="Heading2"/>
        <w:spacing w:after="160" w:before="300"/>
      </w:pPr>
      <w:r>
        <w:rPr>
          <w:color w:val="4F46E5"/>
        </w:rPr>
        <w:t xml:space="preserve">5.2 B. Kerangka Analisis Kesadaran Biaya dalam Praktik Klinis SpOG</w:t>
      </w:r>
    </w:p>
    <w:p>
      <w:pPr>
        <w:spacing w:after="160"/>
        <w:jc w:val="both"/>
      </w:pPr>
      <w:r>
        <w:rPr>
          <w:rFonts w:ascii="IBM Plex Sans" w:cs="IBM Plex Sans" w:eastAsia="IBM Plex Sans" w:hAnsi="IBM Plex Sans"/>
          <w:color w:val="334155"/>
          <w:sz w:val="21"/>
          <w:szCs w:val="21"/>
        </w:rPr>
        <w:t xml:space="preserve">Kriteria Kinerja Minimal Tabel 42 komponen pertama menuntut sekurang-kurangnya 90% keputusan klinis sesuai prinsip rasionalitas medis dan cost-effectiveness, dibuktikan melalui audit rekam medis atau clinical pathway. Penerapannya memerlukan familiaritas dasar dengan prinsip analisis efektivitas biaya (cost-effectiveness analysis) — membandingkan manfaat klinis relatif terhadap biaya dari pilihan diagnostik atau terapeutik yang setara secara klinis, misalnya pemilihan modalitas skrining kanker serviks (IVA test dibandingkan Pap smear atau tes HPV DNA) yang mempertimbangkan baik akurasi diagnostik maupun keterjangkauan pada layanan primer.</w:t>
      </w:r>
    </w:p>
    <w:p>
      <w:pPr>
        <w:spacing w:after="160"/>
        <w:jc w:val="both"/>
      </w:pPr>
      <w:r>
        <w:rPr>
          <w:rFonts w:ascii="IBM Plex Sans" w:cs="IBM Plex Sans" w:eastAsia="IBM Plex Sans" w:hAnsi="IBM Plex Sans"/>
          <w:color w:val="334155"/>
          <w:sz w:val="21"/>
          <w:szCs w:val="21"/>
        </w:rPr>
        <w:t xml:space="preserve">Komponen kedua — menghindari overuse — beririsan langsung dengan konsep de-implementasi dan deprescribing yang berkembang pesat dalam literatur kedokteran berbasis bukti global. Contoh konkret dalam obstetri-ginekologi mencakup penghindaran pemeriksaan USG rutin berulang tanpa indikasi klinis baru pada kehamilan tanpa penyulit, atau penghentian terapi hormonal jangka panjang yang tidak lagi memiliki indikasi setelah evaluasi ulang.</w:t>
      </w:r>
    </w:p>
    <w:p>
      <w:pPr>
        <w:spacing w:after="160"/>
        <w:jc w:val="both"/>
      </w:pPr>
      <w:r>
        <w:rPr>
          <w:rFonts w:ascii="IBM Plex Sans" w:cs="IBM Plex Sans" w:eastAsia="IBM Plex Sans" w:hAnsi="IBM Plex Sans"/>
          <w:color w:val="334155"/>
          <w:sz w:val="21"/>
          <w:szCs w:val="21"/>
        </w:rPr>
        <w:t xml:space="preserve">Penguasaan sistem pembiayaan kesehatan (komponen ketiga) menuntut pemahaman praktis atas skema INA-CBG (Indonesia Case Base Groups) dalam BPJS Kesehatan, yang tarifnya diatur melalui Peraturan Menteri Kesehatan Nomor 3 Tahun 2023 tentang Standar Tarif Pelayanan Kesehatan dalam Penyelenggaraan Program Jaminan Kesehatan. Skema ini membayar fasilitas kesehatan rujukan tingkat lanjutan berdasarkan paket kelompok diagnosis, bukan tagihan per item layanan, dengan implikasi langsung terhadap pemilihan tata laksana pada kasus seperti persalinan seksio sesarea elektif dibandingkan pervaginam, atau paket pembiayaan kemoterapi kanker ginekologi. Kesenjangan antara tarif INA-CBG dan biaya riil suatu tindakan menjadi pertimbangan sistemik yang harus dipahami peserta didik, bukan untuk mengurangi mutu layanan, melainkan untuk merancang tata laksana yang efisien tanpa mengorbankan keselamatan Pasien.</w:t>
      </w:r>
    </w:p>
    <w:p>
      <w:pPr>
        <w:spacing w:after="160"/>
        <w:jc w:val="both"/>
      </w:pPr>
      <w:r>
        <w:rPr>
          <w:rFonts w:ascii="IBM Plex Sans" w:cs="IBM Plex Sans" w:eastAsia="IBM Plex Sans" w:hAnsi="IBM Plex Sans"/>
          <w:color w:val="334155"/>
          <w:sz w:val="21"/>
          <w:szCs w:val="21"/>
        </w:rPr>
        <w:t xml:space="preserve">Transparansi biaya kepada Pasien (komponen keempat) menjadi elemen wajib proses informed consent, sebagaimana ditegaskan Kriteria Kinerja Minimal Tabel 42 ("≥85% informed consent terdokumentasi mencantumkan aspek biaya"). Hal ini relevan khususnya pada tindakan yang tidak sepenuhnya ditanggung skema jaminan kesehatan nasional, seperti sebagian prosedur teknologi reproduksi berbantu (assisted reproductive technology/ART) atau kelas perawatan di atas standar. Kompetensi kelima — mendukung keadilan dan efisiensi pengelolaan sumber daya pada level institusi — menghubungkan tanggung jawab individu dokter dengan tanggung jawab sistemik, melalui partisipasi dalam forum cost-containment dan komite farmasi-terapi.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FEF3E2" w:sz="2"/>
              <w:left w:val="single" w:color="B45309" w:sz="24"/>
              <w:bottom w:val="single" w:color="FEF3E2" w:sz="2"/>
              <w:right w:val="single" w:color="FEF3E2" w:sz="2"/>
            </w:tcBorders>
            <w:shd w:fill="FEF3E2" w:val="clear"/>
            <w:tcMar>
              <w:top w:type="dxa" w:w="160"/>
              <w:left w:type="dxa" w:w="220"/>
              <w:bottom w:type="dxa" w:w="160"/>
              <w:right w:type="dxa" w:w="220"/>
            </w:tcMar>
          </w:tcPr>
          <w:p>
            <w:pPr>
              <w:spacing w:after="120"/>
            </w:pPr>
            <w:r>
              <w:rPr>
                <w:rFonts w:ascii="IBM Plex Mono" w:cs="IBM Plex Mono" w:eastAsia="IBM Plex Mono" w:hAnsi="IBM Plex Mono"/>
                <w:b/>
                <w:bCs/>
                <w:color w:val="B45309"/>
                <w:sz w:val="16"/>
                <w:szCs w:val="16"/>
              </w:rPr>
              <w:t xml:space="preserve">DASAR REGULASI</w:t>
            </w:r>
          </w:p>
          <w:p>
            <w:pPr>
              <w:spacing w:after="80"/>
            </w:pPr>
            <w:r>
              <w:rPr>
                <w:rFonts w:ascii="Source Serif 4" w:cs="Source Serif 4" w:eastAsia="Source Serif 4" w:hAnsi="Source Serif 4"/>
                <w:b/>
                <w:bCs/>
                <w:color w:val="334155"/>
                <w:sz w:val="21"/>
                <w:szCs w:val="21"/>
              </w:rPr>
              <w:t xml:space="preserve">Dasar Regulasi — Bab V</w:t>
            </w:r>
          </w:p>
          <w:p>
            <w:pPr>
              <w:spacing w:after="0"/>
            </w:pPr>
            <w:r>
              <w:rPr>
                <w:rFonts w:ascii="IBM Plex Sans" w:cs="IBM Plex Sans" w:eastAsia="IBM Plex Sans" w:hAnsi="IBM Plex Sans"/>
                <w:color w:val="334155"/>
                <w:sz w:val="21"/>
                <w:szCs w:val="21"/>
              </w:rPr>
              <w:t xml:space="preserve">Tabel 42 Lampiran Kepkonsil No. HK.01.02/KKI/1318/2026, Area Kompetensi 7: Kesadaran Biaya dalam Pelayanan Medis. Lima komponen kompetensi: efisiensi biaya dalam pemilihan pemeriksaan/terapi; penghindaran overuse; penguasaan sistem pembiayaan kesehatan (BPJS, asuransi swasta, biaya mandiri); transparansi biaya dalam informed consent; dan dukungan terhadap keadilan-efisiensi pengelolaan sumber daya. Kriteria Kinerja Minimal mencakup ambang kuantitatif seperti ≥90% keputusan klinis sesuai cost-effectiveness dan ≥95% pemeriksaan/tindakan/resep sesuai indikasi berbasis bukti.</w:t>
            </w:r>
          </w:p>
        </w:tc>
      </w:tr>
    </w:tbl>
    <w:p>
      <w:pPr>
        <w:spacing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EF2FF" w:sz="2"/>
              <w:left w:val="single" w:color="4F46E5" w:sz="24"/>
              <w:bottom w:val="single" w:color="EEF2FF" w:sz="2"/>
              <w:right w:val="single" w:color="EEF2FF" w:sz="2"/>
            </w:tcBorders>
            <w:shd w:fill="EEF2FF" w:val="clear"/>
            <w:tcMar>
              <w:top w:type="dxa" w:w="160"/>
              <w:left w:type="dxa" w:w="220"/>
              <w:bottom w:type="dxa" w:w="160"/>
              <w:right w:type="dxa" w:w="220"/>
            </w:tcMar>
          </w:tcPr>
          <w:p>
            <w:pPr>
              <w:spacing w:after="120"/>
            </w:pPr>
            <w:r>
              <w:rPr>
                <w:rFonts w:ascii="IBM Plex Mono" w:cs="IBM Plex Mono" w:eastAsia="IBM Plex Mono" w:hAnsi="IBM Plex Mono"/>
                <w:b/>
                <w:bCs/>
                <w:color w:val="4F46E5"/>
                <w:sz w:val="16"/>
                <w:szCs w:val="16"/>
              </w:rPr>
              <w:t xml:space="preserve">PERBANDINGAN &amp; PENGAYAAN STANDAR INTERNASIONAL</w:t>
            </w:r>
          </w:p>
          <w:p>
            <w:pPr>
              <w:spacing w:after="80"/>
            </w:pPr>
            <w:r>
              <w:rPr>
                <w:rFonts w:ascii="Source Serif 4" w:cs="Source Serif 4" w:eastAsia="Source Serif 4" w:hAnsi="Source Serif 4"/>
                <w:b/>
                <w:bCs/>
                <w:color w:val="334155"/>
                <w:sz w:val="21"/>
                <w:szCs w:val="21"/>
              </w:rPr>
              <w:t xml:space="preserve">Perbandingan dan Pengayaan Standar Internasional</w:t>
            </w:r>
          </w:p>
          <w:p>
            <w:pPr>
              <w:spacing w:after="140"/>
            </w:pPr>
            <w:r>
              <w:rPr>
                <w:rFonts w:ascii="IBM Plex Sans" w:cs="IBM Plex Sans" w:eastAsia="IBM Plex Sans" w:hAnsi="IBM Plex Sans"/>
                <w:color w:val="334155"/>
                <w:sz w:val="21"/>
                <w:szCs w:val="21"/>
              </w:rPr>
              <w:t xml:space="preserve">WHO mengangkat Universal Health Coverage (UHC) sebagai kerangka pembiayaan kesehatan global, dengan prinsip bahwa akses terhadap layanan esensial harus tersedia tanpa menimbulkan kesulitan finansial (financial hardship) bagi Pasien — prinsip yang secara langsung memperkuat komponen keempat dan kelima Tabel 42 mengenai transparansi biaya dan keadilan akses.</w:t>
            </w:r>
          </w:p>
          <w:p>
            <w:pPr>
              <w:spacing w:after="140"/>
            </w:pPr>
            <w:r>
              <w:rPr>
                <w:rFonts w:ascii="IBM Plex Sans" w:cs="IBM Plex Sans" w:eastAsia="IBM Plex Sans" w:hAnsi="IBM Plex Sans"/>
                <w:color w:val="334155"/>
                <w:sz w:val="21"/>
                <w:szCs w:val="21"/>
              </w:rPr>
              <w:t xml:space="preserve">ACOG melalui inisiatif Choosing Wisely (kemitraan dengan ABIM Foundation) mempublikasikan daftar praktik obstetri-ginekologi yang sebaiknya dipertanyakan karena berisiko overuse tanpa manfaat klinis tambahan — di antaranya menghindari USG prenatal untuk tujuan non-medis semata (misalnya video kenangan) dan menghindari bedah laparoskopi berbantuan robot untuk kondisi ginekologi jinak bila laparoskopi konvensional atau pendekatan vaginal masih memungkinkan, karena biaya dan waktu operasi yang lebih tinggi tanpa perbaikan luaran klinis yang bermakna. Daftar ini dapat memperkaya penerapan komponen kedua Tabel 42 di lingkungan pendidikan PPDS, dengan tetap mempertimbangkan relevansinya terhadap ketersediaan teknologi di fasilitas kesehatan Indonesia.</w:t>
            </w:r>
          </w:p>
          <w:p>
            <w:pPr>
              <w:spacing w:after="0"/>
            </w:pPr>
            <w:r>
              <w:rPr>
                <w:rFonts w:ascii="IBM Plex Sans" w:cs="IBM Plex Sans" w:eastAsia="IBM Plex Sans" w:hAnsi="IBM Plex Sans"/>
                <w:color w:val="334155"/>
                <w:sz w:val="21"/>
                <w:szCs w:val="21"/>
              </w:rPr>
              <w:t xml:space="preserve">Tinjauan sistematis Cochrane oleh Koliopoulos dkk. (2017) yang membandingkan uji human papillomavirus (HPV) DNA dengan sitologi konvensional untuk skrining kanker serviks pada populasi umum menyediakan bukti akurasi diagnostik yang dapat menjadi rujukan langsung bagi komponen pertama Tabel 42 dalam memilih modalitas skrining yang paling bernilai secara klinis dan biaya. Standar nasional menekankan pertimbangan biaya sebagai bagian dari keputusan klinis individual yang terdokumentasi; sebagian rekomendasi internasional (seperti Choosing Wisely) bersifat daftar praktik spesifik berbasis konteks sistem kesehatan negara asal — praktik di Indonesia mengikuti standar nasional dengan mengadaptasi daftar tersebut sesuai konteks epidemiologi dan sistem BPJS Kesehatan, bukan mengadopsinya secara langsung tanpa penyesuaian.</w:t>
            </w:r>
          </w:p>
        </w:tc>
      </w:tr>
    </w:tbl>
    <w:p>
      <w:pPr>
        <w:spacing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F1F5F9" w:sz="2"/>
              <w:left w:val="single" w:color="334155" w:sz="24"/>
              <w:bottom w:val="single" w:color="F1F5F9" w:sz="2"/>
              <w:right w:val="single" w:color="F1F5F9" w:sz="2"/>
            </w:tcBorders>
            <w:shd w:fill="F1F5F9" w:val="clear"/>
            <w:tcMar>
              <w:top w:type="dxa" w:w="160"/>
              <w:left w:type="dxa" w:w="220"/>
              <w:bottom w:type="dxa" w:w="160"/>
              <w:right w:type="dxa" w:w="220"/>
            </w:tcMar>
          </w:tcPr>
          <w:p>
            <w:pPr>
              <w:spacing w:after="120"/>
            </w:pPr>
            <w:r>
              <w:rPr>
                <w:rFonts w:ascii="IBM Plex Mono" w:cs="IBM Plex Mono" w:eastAsia="IBM Plex Mono" w:hAnsi="IBM Plex Mono"/>
                <w:b/>
                <w:bCs/>
                <w:color w:val="334155"/>
                <w:sz w:val="16"/>
                <w:szCs w:val="16"/>
              </w:rPr>
              <w:t xml:space="preserve">ILUSTRASI KASUS LAPANGAN</w:t>
            </w:r>
          </w:p>
          <w:p>
            <w:pPr>
              <w:spacing w:after="80"/>
            </w:pPr>
            <w:r>
              <w:rPr>
                <w:rFonts w:ascii="Source Serif 4" w:cs="Source Serif 4" w:eastAsia="Source Serif 4" w:hAnsi="Source Serif 4"/>
                <w:b/>
                <w:bCs/>
                <w:color w:val="334155"/>
                <w:sz w:val="21"/>
                <w:szCs w:val="21"/>
              </w:rPr>
              <w:t xml:space="preserve">Ilustrasi Kasus Lapangan — Transparansi Biaya pada Tata Laksana Kanker Serviks</w:t>
            </w:r>
          </w:p>
          <w:p>
            <w:pPr>
              <w:spacing w:after="140"/>
            </w:pPr>
            <w:r>
              <w:rPr>
                <w:rFonts w:ascii="IBM Plex Sans" w:cs="IBM Plex Sans" w:eastAsia="IBM Plex Sans" w:hAnsi="IBM Plex Sans"/>
                <w:color w:val="334155"/>
                <w:sz w:val="21"/>
                <w:szCs w:val="21"/>
              </w:rPr>
              <w:t xml:space="preserve">Seorang Pasien perempuan usia 52 tahun didiagnosis kanker serviks uteri stadium IIB (ICD-10 C53.*; ICD-11 2C77.*) berdasarkan hasil biopsi dan pencitraan staging. Tumor board onkologi ginekologi merekomendasikan kemoradiasi konkuren sebagai tata laksana standar, yang seluruhnya tercakup skema BPJS Kesehatan di rumah sakit rujukan tersier. Namun, Pasien menyampaikan keinginan untuk menjalani histerektomi radikal di sebuah rumah sakit swasta atas saran kerabat, tanpa memahami bahwa pilihan tersebut tidak sesuai indikasi stadium dan akan menimbulkan biaya mandiri signifikan.</w:t>
            </w:r>
          </w:p>
          <w:p>
            <w:pPr>
              <w:spacing w:after="140"/>
            </w:pPr>
            <w:r>
              <w:rPr>
                <w:rFonts w:ascii="IBM Plex Sans" w:cs="IBM Plex Sans" w:eastAsia="IBM Plex Sans" w:hAnsi="IBM Plex Sans"/>
                <w:color w:val="334155"/>
                <w:sz w:val="21"/>
                <w:szCs w:val="21"/>
              </w:rPr>
              <w:t xml:space="preserve">Konsultan onkologi ginekologi bersama peserta didik PPDS melakukan konseling terstruktur yang menjelaskan secara transparan: dasar klinis rekomendasi kemoradiasi (nilai klinis dan cost-effectiveness sesuai komponen pertama Tabel 42), risiko tindakan yang tidak sesuai indikasi (komponen kedua), skema pembiayaan BPJS yang berlaku serta konsekuensi finansial bila memilih jalur di luar sistem rujukan berjenjang (komponen ketiga), dan seluruh implikasi biaya didokumentasikan eksplisit dalam formulir informed consent (komponen keempat).</w:t>
            </w:r>
          </w:p>
          <w:p>
            <w:pPr>
              <w:spacing w:after="0"/>
            </w:pPr>
            <w:r>
              <w:rPr>
                <w:rFonts w:ascii="IBM Plex Sans" w:cs="IBM Plex Sans" w:eastAsia="IBM Plex Sans" w:hAnsi="IBM Plex Sans"/>
                <w:color w:val="334155"/>
                <w:sz w:val="21"/>
                <w:szCs w:val="21"/>
              </w:rPr>
              <w:t xml:space="preserve">Setelah konseling, Pasien memilih melanjutkan kemoradiasi sesuai rekomendasi tumor board di rumah sakit rujukan tersier. Kasus ini didokumentasikan sebagai materi pembelajaran modul kesadaran biaya program studi, menegaskan bahwa transparansi biaya yang jujur dan berbasis bukti — bukan penyembunyian informasi finansial — adalah wujud nyata perlindungan terhadap kepentingan Pasien sekaligus kepatuhan terhadap Kriteria Kinerja Minimal Tabel 42.</w:t>
            </w:r>
          </w:p>
        </w:tc>
      </w:tr>
    </w:tbl>
    <w:p>
      <w:pPr>
        <w:spacing w:after="200"/>
      </w:pPr>
    </w:p>
    <w:p>
      <w:pPr>
        <w:pStyle w:val="Heading2"/>
        <w:spacing w:after="160" w:before="300"/>
      </w:pPr>
      <w:r>
        <w:rPr>
          <w:color w:val="4F46E5"/>
        </w:rPr>
        <w:t xml:space="preserve">5.3 Tantangan Implementasi dan Strategi Pembelajaran</w:t>
      </w:r>
    </w:p>
    <w:p>
      <w:pPr>
        <w:spacing w:after="160"/>
        <w:jc w:val="both"/>
      </w:pPr>
      <w:r>
        <w:rPr>
          <w:rFonts w:ascii="IBM Plex Sans" w:cs="IBM Plex Sans" w:eastAsia="IBM Plex Sans" w:hAnsi="IBM Plex Sans"/>
          <w:color w:val="334155"/>
          <w:sz w:val="21"/>
          <w:szCs w:val="21"/>
        </w:rPr>
        <w:t xml:space="preserve">Pendidikan kedokteran spesialis di Indonesia secara historis menempatkan pertimbangan biaya sebagai ranah manajemen rumah sakit atau bagian keuangan, bukan sebagai kompetensi klinis yang melekat pada dokter. Pergeseran paradigma ini — menjadikan kesadaran biaya sebagai bagian eksplisit kompetensi individual dokter sebagaimana ditetapkan Tabel 42 — memerlukan waktu adaptasi kurikulum dan budaya klinis. Tantangan konkret meliputi keterbatasan paparan peserta didik terhadap rincian tarif INA-CBG dan skema pembiayaan BPJS Kesehatan selama pendidikan, kekhawatiran bahwa membahas biaya dengan Pasien akan dianggap tidak etis atau mengurangi kepercayaan Pasien, serta minimnya pelatihan formal mengenai analisis efektivitas biaya dalam kurikulum kedokteran spesialis pada umumnya.</w:t>
      </w:r>
    </w:p>
    <w:p>
      <w:pPr>
        <w:spacing w:after="160"/>
        <w:jc w:val="both"/>
      </w:pPr>
      <w:r>
        <w:rPr>
          <w:rFonts w:ascii="IBM Plex Sans" w:cs="IBM Plex Sans" w:eastAsia="IBM Plex Sans" w:hAnsi="IBM Plex Sans"/>
          <w:color w:val="334155"/>
          <w:sz w:val="21"/>
          <w:szCs w:val="21"/>
        </w:rPr>
        <w:t xml:space="preserve">Strategi pembelajaran yang direkomendasikan mencakup modul dasar farmakoekonomi dan sistem pembiayaan kesehatan nasional yang diajarkan sejak tahun pertama PPDS, keterlibatan peserta didik dalam forum komite farmasi-terapi atau cost-containment rumah sakit pendidikan, serta simulasi konseling biaya menggunakan skenario kasus nyata seperti perbandingan tata laksana konservatif dan bedah pada kondisi ginekologi jinak. Pendekatan ini perlu ditegaskan secara konsisten bukan sebagai upaya membatasi hak Pasien atas perawatan terbaik, melainkan sebagai wujud tanggung jawab profesional terhadap keberlanjutan sistem kesehatan yang pada akhirnya juga melindungi akses Pasien lain.</w:t>
      </w:r>
    </w:p>
    <w:p>
      <w:pPr>
        <w:pStyle w:val="Heading1"/>
        <w:spacing w:after="200" w:before="400"/>
      </w:pPr>
      <w:r>
        <w:rPr>
          <w:color w:val="3730A3"/>
        </w:rPr>
        <w:t xml:space="preserve">Bab VI. Kontribusi Lintas 5 Divisi</w:t>
      </w:r>
    </w:p>
    <w:p>
      <w:pPr>
        <w:spacing w:after="160"/>
        <w:jc w:val="both"/>
      </w:pPr>
      <w:r>
        <w:rPr>
          <w:rFonts w:ascii="IBM Plex Sans" w:cs="IBM Plex Sans" w:eastAsia="IBM Plex Sans" w:hAnsi="IBM Plex Sans"/>
          <w:color w:val="334155"/>
          <w:sz w:val="21"/>
          <w:szCs w:val="21"/>
        </w:rPr>
        <w:t xml:space="preserve">Bab ini menguraikan bagaimana keempat area kompetensi non-teknis (Area Kompetensi 4-7) termanifestasi secara spesifik pada masing-masing dari lima divisi subspesialis obstetri dan ginekologi sebagaimana ditetapkan Diktum KEDUA Kepkonsil No. HK.01.02/KKI/1318/2026: Fetomaternal; Fertilitas dan Endokrinologi Reproduksi; Onkologi Ginekologi; Obstetri Ginekologi Sosial; dan Uroginekologi Rekonstruksi. Setiap subbagian mengikuti pola tiga komponen: Deskripsi relevansi perspektif divisi, uraian substansi mendalam berbasis kerangka analisis, dan ilustrasi kasus lapangan dengan resolusi konkret.</w:t>
      </w:r>
    </w:p>
    <w:p>
      <w:pPr>
        <w:pStyle w:val="Heading2"/>
        <w:spacing w:after="160" w:before="300"/>
      </w:pPr>
      <w:r>
        <w:rPr>
          <w:color w:val="4F46E5"/>
        </w:rPr>
        <w:t xml:space="preserve">6.1 Divisi Kedokteran Fetomaternal</w:t>
      </w:r>
    </w:p>
    <w:p>
      <w:pPr>
        <w:pStyle w:val="Heading3"/>
        <w:spacing w:after="120" w:before="220"/>
      </w:pPr>
      <w:r>
        <w:rPr>
          <w:color w:val="B45309"/>
        </w:rPr>
        <w:t xml:space="preserve">A. Deskripsi</w:t>
      </w:r>
    </w:p>
    <w:p>
      <w:pPr>
        <w:spacing w:after="160"/>
        <w:jc w:val="both"/>
      </w:pPr>
      <w:r>
        <w:rPr>
          <w:rFonts w:ascii="IBM Plex Sans" w:cs="IBM Plex Sans" w:eastAsia="IBM Plex Sans" w:hAnsi="IBM Plex Sans"/>
          <w:color w:val="334155"/>
          <w:sz w:val="21"/>
          <w:szCs w:val="21"/>
        </w:rPr>
        <w:t xml:space="preserve">Divisi Kedokteran Fetomaternal menangani kehamilan risiko tinggi, kelainan kongenital janin, dan kegawatdaruratan maternal-fetal yang menuntut pengambilan keputusan cepat dalam kondisi ketidakpastian klinis tinggi dan beban emosional yang berat bagi Pasien. Keempat area kompetensi non-teknis memiliki relevansi yang sangat langsung di divisi ini: komunikasi krisis, integritas dalam pengambilan keputusan pada batas viabilitas janin, koordinasi sistem rujukan darurat maternal, dan kesadaran biaya pada perawatan intensif neonatal yang mahal.</w:t>
      </w:r>
    </w:p>
    <w:p>
      <w:pPr>
        <w:pStyle w:val="Heading3"/>
        <w:spacing w:after="120" w:before="220"/>
      </w:pPr>
      <w:r>
        <w:rPr>
          <w:color w:val="B45309"/>
        </w:rPr>
        <w:t xml:space="preserve">B. Komunikasi Risiko Tinggi dan Konseling Prognosis Janin</w:t>
      </w:r>
    </w:p>
    <w:p>
      <w:pPr>
        <w:spacing w:after="160"/>
        <w:jc w:val="both"/>
      </w:pPr>
      <w:r>
        <w:rPr>
          <w:rFonts w:ascii="IBM Plex Sans" w:cs="IBM Plex Sans" w:eastAsia="IBM Plex Sans" w:hAnsi="IBM Plex Sans"/>
          <w:color w:val="334155"/>
          <w:sz w:val="21"/>
          <w:szCs w:val="21"/>
        </w:rPr>
        <w:t xml:space="preserve">Konseling pada kehamilan dengan kelainan kongenital berat atau prognosis janin yang tidak pasti (misalnya restriksi pertumbuhan janin berat pada usia kehamilan sangat prematur) menuntut penerapan protokol SPIKES yang telah diadaptasi untuk konteks konseling prenatal (Bab II), dipadukan dengan kemampuan menjelaskan probabilitas dan ketidakpastian klinis secara jujur tanpa memberikan harapan palsu maupun keputusasaan berlebihan. Konsultan fetomaternal juga harus mahir mengoordinasikan sistem rujukan maternal darurat (Bab IV) — memastikan Pasien dengan kondisi seperti solusio plasenta atau preeklampsia berat dapat diakses fasilitas dengan kapasitas neonatal intensive care unit (NICU) yang memadai secara tepat waktu — sekaligus mempertimbangkan beban biaya perawatan NICU jangka panjang dalam konseling keluarga (Bab V), tanpa mengurangi hak Pasien atas informasi yang lengkap dan jujur.</w:t>
      </w:r>
    </w:p>
    <w:p>
      <w:pPr>
        <w:pStyle w:val="Heading3"/>
        <w:spacing w:after="120" w:before="220"/>
      </w:pPr>
      <w:r>
        <w:rPr>
          <w:color w:val="B45309"/>
        </w:rPr>
        <w:t xml:space="preserve">C. Ilustrasi Kasus Lapangan</w:t>
      </w:r>
    </w:p>
    <w:p>
      <w:pPr>
        <w:spacing w:after="160"/>
        <w:jc w:val="both"/>
      </w:pPr>
      <w:r>
        <w:rPr>
          <w:rFonts w:ascii="IBM Plex Sans" w:cs="IBM Plex Sans" w:eastAsia="IBM Plex Sans" w:hAnsi="IBM Plex Sans"/>
          <w:color w:val="334155"/>
          <w:sz w:val="21"/>
          <w:szCs w:val="21"/>
        </w:rPr>
        <w:t xml:space="preserve">Seorang Pasien usia kehamilan 24 minggu didiagnosis ketuban pecah dini dengan oligohidramnion berat, membawa prognosis neonatal yang sangat tidak pasti pada batas viabilitas. Tim fetomaternal, neonatologi, dan etika klinis melakukan konseling bersama yang menjelaskan secara transparan probabilitas keberhasilan, potensi morbiditas jangka panjang bila bayi lahir hidup, serta estimasi lama dan biaya perawatan NICU dalam skema BPJS Kesehatan. Keluarga diberi ruang penuh untuk mengambil keputusan berdasarkan nilai mereka sendiri, dengan dukungan psikologis berkelanjutan, mencontohkan integrasi keempat area kompetensi non-teknis dalam satu momen klinis kritis.</w:t>
      </w:r>
    </w:p>
    <w:p>
      <w:pPr>
        <w:pStyle w:val="Heading2"/>
        <w:spacing w:after="160" w:before="300"/>
      </w:pPr>
      <w:r>
        <w:rPr>
          <w:color w:val="4F46E5"/>
        </w:rPr>
        <w:t xml:space="preserve">6.2 Divisi Fertilitas dan Endokrinologi Reproduksi</w:t>
      </w:r>
    </w:p>
    <w:p>
      <w:pPr>
        <w:pStyle w:val="Heading3"/>
        <w:spacing w:after="120" w:before="220"/>
      </w:pPr>
      <w:r>
        <w:rPr>
          <w:color w:val="B45309"/>
        </w:rPr>
        <w:t xml:space="preserve">A. Deskripsi</w:t>
      </w:r>
    </w:p>
    <w:p>
      <w:pPr>
        <w:spacing w:after="160"/>
        <w:jc w:val="both"/>
      </w:pPr>
      <w:r>
        <w:rPr>
          <w:rFonts w:ascii="IBM Plex Sans" w:cs="IBM Plex Sans" w:eastAsia="IBM Plex Sans" w:hAnsi="IBM Plex Sans"/>
          <w:color w:val="334155"/>
          <w:sz w:val="21"/>
          <w:szCs w:val="21"/>
        </w:rPr>
        <w:t xml:space="preserve">Divisi Fertilitas dan Endokrinologi Reproduksi menangani Pasien dengan infertilitas, gangguan endokrin reproduksi, dan kebutuhan teknologi reproduksi berbantu (ART) — area praktik yang sarat dengan pertimbangan etika reproduksi, biaya yang sebagian besar ditanggung mandiri oleh Pasien, dan kebutuhan komunikasi yang sangat sensitif terhadap harapan dan kekecewaan emosional Pasien.</w:t>
      </w:r>
    </w:p>
    <w:p>
      <w:pPr>
        <w:pStyle w:val="Heading3"/>
        <w:spacing w:after="120" w:before="220"/>
      </w:pPr>
      <w:r>
        <w:rPr>
          <w:color w:val="B45309"/>
        </w:rPr>
        <w:t xml:space="preserve">B. Informed Consent dan Kesadaran Biaya pada Teknologi Reproduksi Berbantu</w:t>
      </w:r>
    </w:p>
    <w:p>
      <w:pPr>
        <w:spacing w:after="160"/>
        <w:jc w:val="both"/>
      </w:pPr>
      <w:r>
        <w:rPr>
          <w:rFonts w:ascii="IBM Plex Sans" w:cs="IBM Plex Sans" w:eastAsia="IBM Plex Sans" w:hAnsi="IBM Plex Sans"/>
          <w:color w:val="334155"/>
          <w:sz w:val="21"/>
          <w:szCs w:val="21"/>
        </w:rPr>
        <w:t xml:space="preserve">Prosedur ART seperti fertilisasi in vitro (IVF) sebagian besar tidak tercakup skema BPJS Kesehatan di Indonesia, sehingga transparansi biaya (komponen keempat Tabel 42) menjadi elemen krusial proses informed consent — mencakup estimasi biaya per siklus, probabilitas keberhasilan berdasarkan usia dan kondisi klinis Pasien secara jujur (tanpa optimisme berlebihan yang melanggar prinsip kejujuran profesional pada Tabel 40), serta opsi alternatif yang lebih terjangkau bila relevan secara klinis. Aspek etika reproduksi — termasuk status embrio yang tidak digunakan, donor gamet, dan surrogacy yang secara hukum terbatas di Indonesia — menuntut kerangka analisis etika yang diperkaya dari FIGO Ethical Guidelines sebagaimana dibahas pada Bab III.</w:t>
      </w:r>
    </w:p>
    <w:p>
      <w:pPr>
        <w:pStyle w:val="Heading3"/>
        <w:spacing w:after="120" w:before="220"/>
      </w:pPr>
      <w:r>
        <w:rPr>
          <w:color w:val="B45309"/>
        </w:rPr>
        <w:t xml:space="preserve">C. Ilustrasi Kasus Lapangan</w:t>
      </w:r>
    </w:p>
    <w:p>
      <w:pPr>
        <w:spacing w:after="160"/>
        <w:jc w:val="both"/>
      </w:pPr>
      <w:r>
        <w:rPr>
          <w:rFonts w:ascii="IBM Plex Sans" w:cs="IBM Plex Sans" w:eastAsia="IBM Plex Sans" w:hAnsi="IBM Plex Sans"/>
          <w:color w:val="334155"/>
          <w:sz w:val="21"/>
          <w:szCs w:val="21"/>
        </w:rPr>
        <w:t xml:space="preserve">Sepasang suami-istri dengan infertilitas sekunder selama 5 tahun berkonsultasi mengenai program IVF. Konsultan fertilitas menjelaskan secara rinci dan jujur estimasi tingkat keberhasilan berdasarkan usia istri (38 tahun) dan cadangan ovarium yang sudah menurun, beserta estimasi biaya total tiga siklus IVF yang harus ditanggung mandiri. Pasangan diberi waktu untuk mempertimbangkan keputusan tanpa tekanan, dan seluruh diskusi probabilitas serta biaya didokumentasikan dalam formulir informed consent — mencegah ekspektasi keliru yang dapat menimbulkan kekecewaan dan beban finansial tidak terduga di kemudian hari.</w:t>
      </w:r>
    </w:p>
    <w:p>
      <w:pPr>
        <w:pStyle w:val="Heading2"/>
        <w:spacing w:after="160" w:before="300"/>
      </w:pPr>
      <w:r>
        <w:rPr>
          <w:color w:val="4F46E5"/>
        </w:rPr>
        <w:t xml:space="preserve">6.3 Divisi Onkologi Ginekologi</w:t>
      </w:r>
    </w:p>
    <w:p>
      <w:pPr>
        <w:pStyle w:val="Heading3"/>
        <w:spacing w:after="120" w:before="220"/>
      </w:pPr>
      <w:r>
        <w:rPr>
          <w:color w:val="B45309"/>
        </w:rPr>
        <w:t xml:space="preserve">A. Deskripsi</w:t>
      </w:r>
    </w:p>
    <w:p>
      <w:pPr>
        <w:spacing w:after="160"/>
        <w:jc w:val="both"/>
      </w:pPr>
      <w:r>
        <w:rPr>
          <w:rFonts w:ascii="IBM Plex Sans" w:cs="IBM Plex Sans" w:eastAsia="IBM Plex Sans" w:hAnsi="IBM Plex Sans"/>
          <w:color w:val="334155"/>
          <w:sz w:val="21"/>
          <w:szCs w:val="21"/>
        </w:rPr>
        <w:t xml:space="preserve">Divisi Onkologi Ginekologi menangani keganasan pada organ reproduksi perempuan, konteks klinis yang menggabungkan kebutuhan penyampaian diagnosis yang mengancam nyawa, kerja tim multidisiplin yang kompleks (tumor board), dan beban biaya pengobatan kanker yang besar bagi sistem maupun Pasien.</w:t>
      </w:r>
    </w:p>
    <w:p>
      <w:pPr>
        <w:pStyle w:val="Heading3"/>
        <w:spacing w:after="120" w:before="220"/>
      </w:pPr>
      <w:r>
        <w:rPr>
          <w:color w:val="B45309"/>
        </w:rPr>
        <w:t xml:space="preserve">B. Tumor Board sebagai Wujud Praktik Berbasis Sistem dan Konseling Onkologi</w:t>
      </w:r>
    </w:p>
    <w:p>
      <w:pPr>
        <w:spacing w:after="160"/>
        <w:jc w:val="both"/>
      </w:pPr>
      <w:r>
        <w:rPr>
          <w:rFonts w:ascii="IBM Plex Sans" w:cs="IBM Plex Sans" w:eastAsia="IBM Plex Sans" w:hAnsi="IBM Plex Sans"/>
          <w:color w:val="334155"/>
          <w:sz w:val="21"/>
          <w:szCs w:val="21"/>
        </w:rPr>
        <w:t xml:space="preserve">Tumor board multidisiplin — mempertemukan SpOG-onkologi ginekologi, radioterapi, onkologi medik, patologi anatomi, dan radiologi — merupakan wujud paling matang dari komponen kedua Tabel 41 (koordinasi pelayanan antarprofesi). Setiap kasus kanker ginekologi baru, seperti kanker ovarium (ICD-10 C56; ICD-11 2C73.*), idealnya dibahas dalam forum ini sebelum tata laksana definitif ditetapkan, dengan dokumentasi keputusan multidisiplin dalam rekam medis. Penyampaian diagnosis kanker menuntut penerapan protokol SPIKES yang lebih intensif dibandingkan area lain, mengingat beban psikologis diagnosis keganasan, dipadukan dengan transparansi biaya pengobatan (kemoterapi, radioterapi, atau pembedahan radikal) yang dapat berlangsung dalam jangka panjang dan melibatkan skema pembiayaan kompleks.</w:t>
      </w:r>
    </w:p>
    <w:p>
      <w:pPr>
        <w:pStyle w:val="Heading3"/>
        <w:spacing w:after="120" w:before="220"/>
      </w:pPr>
      <w:r>
        <w:rPr>
          <w:color w:val="B45309"/>
        </w:rPr>
        <w:t xml:space="preserve">C. Ilustrasi Kasus Lapangan</w:t>
      </w:r>
    </w:p>
    <w:p>
      <w:pPr>
        <w:spacing w:after="160"/>
        <w:jc w:val="both"/>
      </w:pPr>
      <w:r>
        <w:rPr>
          <w:rFonts w:ascii="IBM Plex Sans" w:cs="IBM Plex Sans" w:eastAsia="IBM Plex Sans" w:hAnsi="IBM Plex Sans"/>
          <w:color w:val="334155"/>
          <w:sz w:val="21"/>
          <w:szCs w:val="21"/>
        </w:rPr>
        <w:t xml:space="preserve">Kasus tumor board bulanan membahas seorang Pasien dengan kanker ovarium stadium IIIC. Tim multidisiplin menyepakati tata laksana sitoreduksi optimal diikuti kemoterapi adjuvan berbasis platinum. Konsultan onkologi ginekologi menyampaikan hasil kesepakatan tumor board kepada Pasien menggunakan protokol SPIKES, menjelaskan prognosis secara jujur namun tetap suportif, serta menguraikan skema pembiayaan BPJS Kesehatan untuk seluruh rangkaian tata laksana termasuk enam siklus kemoterapi, sehingga Pasien dapat merencanakan aspek finansial dan logistik keluarganya sejak awal pengobatan.</w:t>
      </w:r>
    </w:p>
    <w:p>
      <w:pPr>
        <w:pStyle w:val="Heading2"/>
        <w:spacing w:after="160" w:before="300"/>
      </w:pPr>
      <w:r>
        <w:rPr>
          <w:color w:val="4F46E5"/>
        </w:rPr>
        <w:t xml:space="preserve">6.4 Divisi Obstetri Ginekologi Sosial</w:t>
      </w:r>
    </w:p>
    <w:p>
      <w:pPr>
        <w:pStyle w:val="Heading3"/>
        <w:spacing w:after="120" w:before="220"/>
      </w:pPr>
      <w:r>
        <w:rPr>
          <w:color w:val="B45309"/>
        </w:rPr>
        <w:t xml:space="preserve">A. Deskripsi</w:t>
      </w:r>
    </w:p>
    <w:p>
      <w:pPr>
        <w:spacing w:after="160"/>
        <w:jc w:val="both"/>
      </w:pPr>
      <w:r>
        <w:rPr>
          <w:rFonts w:ascii="IBM Plex Sans" w:cs="IBM Plex Sans" w:eastAsia="IBM Plex Sans" w:hAnsi="IBM Plex Sans"/>
          <w:color w:val="334155"/>
          <w:sz w:val="21"/>
          <w:szCs w:val="21"/>
        </w:rPr>
        <w:t xml:space="preserve">Divisi Obstetri Ginekologi Sosial berfokus pada determinan sosial kesehatan reproduksi, kesenjangan akses layanan, dan program kesehatan masyarakat — menjadikan divisi ini secara alamiah paling terkait langsung dengan komponen keadilan sosial (Tabel 40) dan keadilan-efisiensi sumber daya (Tabel 42).</w:t>
      </w:r>
    </w:p>
    <w:p>
      <w:pPr>
        <w:pStyle w:val="Heading3"/>
        <w:spacing w:after="120" w:before="220"/>
      </w:pPr>
      <w:r>
        <w:rPr>
          <w:color w:val="B45309"/>
        </w:rPr>
        <w:t xml:space="preserve">B. Keadilan Akses dan Efisiensi Layanan pada Populasi Rentan</w:t>
      </w:r>
    </w:p>
    <w:p>
      <w:pPr>
        <w:spacing w:after="160"/>
        <w:jc w:val="both"/>
      </w:pPr>
      <w:r>
        <w:rPr>
          <w:rFonts w:ascii="IBM Plex Sans" w:cs="IBM Plex Sans" w:eastAsia="IBM Plex Sans" w:hAnsi="IBM Plex Sans"/>
          <w:color w:val="334155"/>
          <w:sz w:val="21"/>
          <w:szCs w:val="21"/>
        </w:rPr>
        <w:t xml:space="preserve">Peserta didik pada rotasi obstetri ginekologi sosial dituntut menerapkan komponen kelima Tabel 40 (kepedulian terhadap keadilan sosial) secara aktif melalui kegiatan outreach komunitas, advokasi akses layanan bagi kelompok rentan (Pasien di wilayah terpencil, populasi dengan hambatan ekonomi, atau kelompok dengan stigma sosial seperti Pasien HIV dalam kehamilan), serta kontribusi pada program kesehatan nasional. Kesadaran biaya pada divisi ini bergeser dari level Pasien individual menuju level populasi — mempertimbangkan bagaimana alokasi sumber daya layanan primer dapat memaksimalkan cakupan dan pemerataan, sejalan dengan prinsip cost-containment dan keadilan pengelolaan sumber daya (komponen kelima Tabel 42).</w:t>
      </w:r>
    </w:p>
    <w:p>
      <w:pPr>
        <w:pStyle w:val="Heading3"/>
        <w:spacing w:after="120" w:before="220"/>
      </w:pPr>
      <w:r>
        <w:rPr>
          <w:color w:val="B45309"/>
        </w:rPr>
        <w:t xml:space="preserve">C. Ilustrasi Kasus Lapangan</w:t>
      </w:r>
    </w:p>
    <w:p>
      <w:pPr>
        <w:spacing w:after="160"/>
        <w:jc w:val="both"/>
      </w:pPr>
      <w:r>
        <w:rPr>
          <w:rFonts w:ascii="IBM Plex Sans" w:cs="IBM Plex Sans" w:eastAsia="IBM Plex Sans" w:hAnsi="IBM Plex Sans"/>
          <w:color w:val="334155"/>
          <w:sz w:val="21"/>
          <w:szCs w:val="21"/>
        </w:rPr>
        <w:t xml:space="preserve">Sebuah program studi mengidentifikasi tingginya angka keterlambatan pemeriksaan antenatal pertama (K1) pada populasi nelayan di wilayah pesisir cakupan rumah sakit jejaring. Peserta didik rotasi obstetri ginekologi sosial bersama tim puskesmas menyusun program kunjungan antenatal bergerak (mobile antenatal care) yang disesuaikan dengan jadwal melaut, serta advokasi penambahan bidan desa di wilayah tersebut. Program ini menunjukkan penerapan konkret komponen keadilan sosial (Tabel 40) sekaligus efisiensi sumber daya sistem (Tabel 41 dan 42) dalam satu inisiatif kesehatan masyarakat berbasis bukti lapangan.</w:t>
      </w:r>
    </w:p>
    <w:p>
      <w:pPr>
        <w:pStyle w:val="Heading2"/>
        <w:spacing w:after="160" w:before="300"/>
      </w:pPr>
      <w:r>
        <w:rPr>
          <w:color w:val="4F46E5"/>
        </w:rPr>
        <w:t xml:space="preserve">6.5 Divisi Uroginekologi Rekonstruksi</w:t>
      </w:r>
    </w:p>
    <w:p>
      <w:pPr>
        <w:pStyle w:val="Heading3"/>
        <w:spacing w:after="120" w:before="220"/>
      </w:pPr>
      <w:r>
        <w:rPr>
          <w:color w:val="B45309"/>
        </w:rPr>
        <w:t xml:space="preserve">A. Deskripsi</w:t>
      </w:r>
    </w:p>
    <w:p>
      <w:pPr>
        <w:spacing w:after="160"/>
        <w:jc w:val="both"/>
      </w:pPr>
      <w:r>
        <w:rPr>
          <w:rFonts w:ascii="IBM Plex Sans" w:cs="IBM Plex Sans" w:eastAsia="IBM Plex Sans" w:hAnsi="IBM Plex Sans"/>
          <w:color w:val="334155"/>
          <w:sz w:val="21"/>
          <w:szCs w:val="21"/>
        </w:rPr>
        <w:t xml:space="preserve">Divisi Uroginekologi Rekonstruksi menangani gangguan dasar panggul seperti inkontinensia urin dan prolaps organ panggul — kondisi yang, meski jarang mengancam nyawa, membawa beban stigma sosial dan penurunan kualitas hidup yang signifikan, menuntut kepekaan komunikasi khusus serta pertimbangan biaya pembedahan rekonstruktif yang tidak selalu dianggap prioritas oleh sistem pembiayaan.</w:t>
      </w:r>
    </w:p>
    <w:p>
      <w:pPr>
        <w:pStyle w:val="Heading3"/>
        <w:spacing w:after="120" w:before="220"/>
      </w:pPr>
      <w:r>
        <w:rPr>
          <w:color w:val="B45309"/>
        </w:rPr>
        <w:t xml:space="preserve">B. Komunikasi Sensitif dan Kesadaran Biaya pada Gangguan Dasar Panggul</w:t>
      </w:r>
    </w:p>
    <w:p>
      <w:pPr>
        <w:spacing w:after="160"/>
        <w:jc w:val="both"/>
      </w:pPr>
      <w:r>
        <w:rPr>
          <w:rFonts w:ascii="IBM Plex Sans" w:cs="IBM Plex Sans" w:eastAsia="IBM Plex Sans" w:hAnsi="IBM Plex Sans"/>
          <w:color w:val="334155"/>
          <w:sz w:val="21"/>
          <w:szCs w:val="21"/>
        </w:rPr>
        <w:t xml:space="preserve">Banyak Pasien dengan inkontinensia urin atau prolaps organ panggul menunda konsultasi bertahun-tahun karena rasa malu, menjadikan komponen membangun hubungan terapeutik dan mendengarkan aktif (Tabel 39) sebagai prasyarat mutlak sebelum pemeriksaan fisik area intim dapat dilakukan secara efektif. Pilihan tata laksana berkisar dari terapi konservatif (latihan otot dasar panggul, pesarium) hingga pembedahan rekonstruktif dengan atau tanpa mesh sintetik — pilihan yang menuntut penjelasan transparan mengenai efektivitas, risiko komplikasi, dan biaya masing-masing opsi (komponen keempat Tabel 42), termasuk perbedaan cakupan pembiayaan BPJS Kesehatan antara terapi konservatif dan prosedur bedah lanjutan.</w:t>
      </w:r>
    </w:p>
    <w:p>
      <w:pPr>
        <w:pStyle w:val="Heading3"/>
        <w:spacing w:after="120" w:before="220"/>
      </w:pPr>
      <w:r>
        <w:rPr>
          <w:color w:val="B45309"/>
        </w:rPr>
        <w:t xml:space="preserve">C. Ilustrasi Kasus Lapangan</w:t>
      </w:r>
    </w:p>
    <w:p>
      <w:pPr>
        <w:spacing w:after="160"/>
        <w:jc w:val="both"/>
      </w:pPr>
      <w:r>
        <w:rPr>
          <w:rFonts w:ascii="IBM Plex Sans" w:cs="IBM Plex Sans" w:eastAsia="IBM Plex Sans" w:hAnsi="IBM Plex Sans"/>
          <w:color w:val="334155"/>
          <w:sz w:val="21"/>
          <w:szCs w:val="21"/>
        </w:rPr>
        <w:t xml:space="preserve">Seorang Pasien usia 61 tahun datang dengan prolaps organ panggul derajat III yang telah dialami selama lebih dari tiga tahun namun baru berkonsultasi karena rasa malu. Konsultan uroginekologi rekonstruksi memulai konsultasi dengan pendekatan yang tidak menghakimi, memberi ruang bagi Pasien menceritakan dampak kondisi terhadap kehidupan sehari-hari sebelum masuk ke pemeriksaan fisik. Setelah diagnosis ditegakkan, Pasien diberikan pilihan tata laksana konservatif (pesarium) dan pembedahan rekonstruktif secara berimbang, lengkap dengan penjelasan biaya masing-masing opsi dalam skema BPJS Kesehatan, sehingga Pasien dapat mengambil keputusan sesuai kondisi fisik dan finansialnya tanpa tekanan.</w:t>
      </w:r>
    </w:p>
    <w:p>
      <w:pPr>
        <w:pStyle w:val="Heading1"/>
        <w:spacing w:after="200" w:before="400"/>
      </w:pPr>
      <w:r>
        <w:rPr>
          <w:color w:val="3730A3"/>
        </w:rPr>
        <w:t xml:space="preserve">Bab VII. Ringkasan</w:t>
      </w:r>
    </w:p>
    <w:p>
      <w:pPr>
        <w:spacing w:after="160"/>
        <w:jc w:val="both"/>
      </w:pPr>
      <w:r>
        <w:rPr>
          <w:rFonts w:ascii="IBM Plex Sans" w:cs="IBM Plex Sans" w:eastAsia="IBM Plex Sans" w:hAnsi="IBM Plex Sans"/>
          <w:color w:val="334155"/>
          <w:sz w:val="21"/>
          <w:szCs w:val="21"/>
        </w:rPr>
        <w:t xml:space="preserve">Buku tematik ini menguraikan empat area kompetensi non-teknis dalam Standar Kompetensi Dokter Spesialis dan Subspesialis Bidang Obstetri dan Ginekologi (Kepkonsil No. HK.01.02/KKI/1318/2026): komunikasi interpersonal (Tabel 39), profesionalisme (Tabel 40), praktik berbasis sistem (Tabel 41), dan kesadaran biaya (Tabel 42). Keempat area ini, meski secara administratif terpisah dari kompetensi medis teknis, pada praktiknya selalu hadir bersamaan dalam setiap interaksi klinis obstetri-ginekologi — sebagaimana ditunjukkan konsisten pada seluruh ilustrasi kasus lapangan di Bab II hingga Bab VI, di mana satu momen klinis kerap menuntut integrasi komunikasi, etika, koordinasi sistem, dan kesadaran biaya secara simultan.</w:t>
      </w:r>
    </w:p>
    <w:p>
      <w:pPr>
        <w:spacing w:after="160"/>
        <w:jc w:val="both"/>
      </w:pPr>
      <w:r>
        <w:rPr>
          <w:rFonts w:ascii="IBM Plex Sans" w:cs="IBM Plex Sans" w:eastAsia="IBM Plex Sans" w:hAnsi="IBM Plex Sans"/>
          <w:color w:val="334155"/>
          <w:sz w:val="21"/>
          <w:szCs w:val="21"/>
        </w:rPr>
        <w:t xml:space="preserve">Tabel 44 di bawah ini merangkum komponen kompetensi utama dari keempat area beserta indikator kinerja minimal representatifnya, sebagai rujukan cepat bagi peserta didik dan pembimbing klinik dalam proses evaluasi dan asesmen portofolio.</w:t>
      </w:r>
    </w:p>
    <w:p>
      <w:pPr>
        <w:spacing w:after="120" w:before="200"/>
      </w:pPr>
      <w:r>
        <w:rPr>
          <w:rFonts w:ascii="Source Serif 4" w:cs="Source Serif 4" w:eastAsia="Source Serif 4" w:hAnsi="Source Serif 4"/>
          <w:b/>
          <w:bCs/>
          <w:color w:val="3730A3"/>
          <w:sz w:val="21"/>
          <w:szCs w:val="21"/>
        </w:rPr>
        <w:t xml:space="preserve">Tabel 44 — Ringkasan Kompetensi Area 4-7 (Kepkonsil No. HK.01.02/KKI/1318/2026)</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337"/>
        <w:gridCol w:w="2337"/>
        <w:gridCol w:w="2337"/>
        <w:gridCol w:w="2337"/>
      </w:tblGrid>
      <w:tr>
        <w:trPr>
          <w:tblHeader/>
        </w:trPr>
        <w:tc>
          <w:tcPr>
            <w:tcW w:type="dxa" w:w="233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Area Kompetensi</w:t>
            </w:r>
          </w:p>
        </w:tc>
        <w:tc>
          <w:tcPr>
            <w:tcW w:type="dxa" w:w="233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Dasar Tabel Kepkonsil</w:t>
            </w:r>
          </w:p>
        </w:tc>
        <w:tc>
          <w:tcPr>
            <w:tcW w:type="dxa" w:w="233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Komponen Utama</w:t>
            </w:r>
          </w:p>
        </w:tc>
        <w:tc>
          <w:tcPr>
            <w:tcW w:type="dxa" w:w="233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Indikator Kinerja Representatif</w:t>
            </w:r>
          </w:p>
        </w:tc>
      </w:tr>
      <w:tr>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4. Interpersonal dan Komunikasi</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Tabel 39</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Hubungan terapeutik; penyampaian informasi; mendengarkan aktif; komunikasi antarprofesi; sensitivitas budaya</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≥90% kepuasan Pasien/keluarga terhadap komunikasi (audit mutu)</w:t>
            </w:r>
          </w:p>
        </w:tc>
      </w:tr>
      <w:tr>
        <w:tc>
          <w:tcPr>
            <w:tcW w:type="dxa" w:w="233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5. Profesionalisme</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Tabel 40</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Integritas &amp; kejujuran; kepatuhan KODEKI; kerahasiaan medis; akuntabilitas; keadilan sosial</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Nihil pelanggaran etik dalam 12 bulan terakhir</w:t>
            </w:r>
          </w:p>
        </w:tc>
      </w:tr>
      <w:tr>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6. Praktik Berbasis Sistem</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Tabel 41</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Pemahaman struktur sistem; koordinasi antarlevel fasilitas; efisiensi sumber daya; analisis hambatan sistemik; peningkatan mutu</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≥85% dokumentasi transisi pelayanan lengkap dalam rekam medis</w:t>
            </w:r>
          </w:p>
        </w:tc>
      </w:tr>
      <w:tr>
        <w:tc>
          <w:tcPr>
            <w:tcW w:type="dxa" w:w="233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7. Kesadaran Biaya</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Tabel 42</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Efisiensi biaya pemeriksaan/terapi; penghindaran overuse; penguasaan sistem pembiayaan; transparansi biaya; keadilan sumber daya</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≥90% keputusan klinis sesuai prinsip cost-effectiveness (audit rekam medis)</w:t>
            </w:r>
          </w:p>
        </w:tc>
      </w:tr>
    </w:tbl>
    <w:p>
      <w:pPr>
        <w:spacing w:after="200"/>
      </w:pPr>
    </w:p>
    <w:p>
      <w:pPr>
        <w:spacing w:after="160"/>
        <w:jc w:val="both"/>
      </w:pPr>
      <w:r>
        <w:rPr>
          <w:rFonts w:ascii="IBM Plex Sans" w:cs="IBM Plex Sans" w:eastAsia="IBM Plex Sans" w:hAnsi="IBM Plex Sans"/>
          <w:color w:val="334155"/>
          <w:sz w:val="21"/>
          <w:szCs w:val="21"/>
        </w:rPr>
        <w:t xml:space="preserve">Penerapan konsisten keempat area kompetensi ini — didukung kerangka kerja terstruktur seperti protokol SPIKES untuk komunikasi krisis, prinsip empat pilar etika kedokteran untuk pengambilan keputusan etis, model Three Delays untuk analisis sistem rujukan, dan analisis efektivitas biaya untuk pengambilan keputusan klinis rasional — diharapkan menjadikan lulusan program pendidikan dokter spesialis obstetri dan ginekologi Indonesia bukan hanya kompeten secara teknis, melainkan juga menjadi praktisi yang komunikatif, berintegritas, adaptif terhadap sistem, dan bertanggung jawab secara finansial terhadap Pasien maupun sistem kesehatan nasional secara keseluruhan.</w:t>
      </w:r>
    </w:p>
    <w:p>
      <w:pPr>
        <w:pStyle w:val="Heading1"/>
        <w:spacing w:after="200" w:before="400"/>
      </w:pPr>
      <w:r>
        <w:rPr>
          <w:color w:val="3730A3"/>
        </w:rPr>
        <w:t xml:space="preserve">Kepustakaan</w:t>
      </w:r>
    </w:p>
    <w:p>
      <w:pPr>
        <w:spacing w:after="160"/>
        <w:jc w:val="both"/>
      </w:pPr>
      <w:r>
        <w:rPr>
          <w:rFonts w:ascii="IBM Plex Sans" w:cs="IBM Plex Sans" w:eastAsia="IBM Plex Sans" w:hAnsi="IBM Plex Sans"/>
          <w:color w:val="334155"/>
          <w:sz w:val="21"/>
          <w:szCs w:val="21"/>
        </w:rPr>
        <w:t xml:space="preserve">Rujukan berikut mendasari uraian regulasi nasional, kerangka kerja klinis, dan pembanding standar internasional yang digunakan di seluruh buku ini. Rujukan disusun menurut abjad nama penulis atau lembaga penerbit.</w:t>
      </w:r>
    </w:p>
    <w:p>
      <w:pPr>
        <w:pStyle w:val="ListParagraph"/>
        <w:numPr>
          <w:ilvl w:val="0"/>
          <w:numId w:val="2"/>
        </w:numPr>
        <w:spacing w:after="80"/>
      </w:pPr>
      <w:r>
        <w:rPr>
          <w:rFonts w:ascii="IBM Plex Sans" w:cs="IBM Plex Sans" w:eastAsia="IBM Plex Sans" w:hAnsi="IBM Plex Sans"/>
          <w:color w:val="334155"/>
          <w:sz w:val="21"/>
          <w:szCs w:val="21"/>
        </w:rPr>
        <w:t xml:space="preserve">Accreditation Council for Graduate Medical Education (ACGME). The Milestones Guidebook. Chicago: ACGME; 2020. Tersedia pada: https://www.acgme.org/globalassets/milestonesguidebook.pdf</w:t>
      </w:r>
    </w:p>
    <w:p>
      <w:pPr>
        <w:pStyle w:val="ListParagraph"/>
        <w:numPr>
          <w:ilvl w:val="0"/>
          <w:numId w:val="2"/>
        </w:numPr>
        <w:spacing w:after="80"/>
      </w:pPr>
      <w:r>
        <w:rPr>
          <w:rFonts w:ascii="IBM Plex Sans" w:cs="IBM Plex Sans" w:eastAsia="IBM Plex Sans" w:hAnsi="IBM Plex Sans"/>
          <w:color w:val="334155"/>
          <w:sz w:val="21"/>
          <w:szCs w:val="21"/>
        </w:rPr>
        <w:t xml:space="preserve">American College of Obstetricians and Gynecologists (ACOG). Informed Consent and Shared Decision Making in Obstetrics and Gynecology. ACOG Committee Opinion No. 819. Obstet Gynecol. 2021;137(2):e34-e41. Tersedia pada: https://www.acog.org/clinical/clinical-guidance/committee-opinion/articles/2021/02/informed-consent-and-shared-decision-making-in-obstetrics-and-gynecology</w:t>
      </w:r>
    </w:p>
    <w:p>
      <w:pPr>
        <w:pStyle w:val="ListParagraph"/>
        <w:numPr>
          <w:ilvl w:val="0"/>
          <w:numId w:val="2"/>
        </w:numPr>
        <w:spacing w:after="80"/>
      </w:pPr>
      <w:r>
        <w:rPr>
          <w:rFonts w:ascii="IBM Plex Sans" w:cs="IBM Plex Sans" w:eastAsia="IBM Plex Sans" w:hAnsi="IBM Plex Sans"/>
          <w:color w:val="334155"/>
          <w:sz w:val="21"/>
          <w:szCs w:val="21"/>
        </w:rPr>
        <w:t xml:space="preserve">American College of Obstetricians and Gynecologists (ACOG). Choosing Wisely: Ten Things Physicians and Patients Should Question. Washington, DC: ACOG; pembaruan berkelanjutan. Tersedia pada: https://www.acog.org/practice-management/patient-safety-and-quality/partnerships/choosing-wisely</w:t>
      </w:r>
    </w:p>
    <w:p>
      <w:pPr>
        <w:pStyle w:val="ListParagraph"/>
        <w:numPr>
          <w:ilvl w:val="0"/>
          <w:numId w:val="2"/>
        </w:numPr>
        <w:spacing w:after="80"/>
      </w:pPr>
      <w:r>
        <w:rPr>
          <w:rFonts w:ascii="IBM Plex Sans" w:cs="IBM Plex Sans" w:eastAsia="IBM Plex Sans" w:hAnsi="IBM Plex Sans"/>
          <w:color w:val="334155"/>
          <w:sz w:val="21"/>
          <w:szCs w:val="21"/>
        </w:rPr>
        <w:t xml:space="preserve">Baile WF, Buckman R, Lenzi R, Glober G, Beale EA, Kudelka AP. SPIKES—A Six-Step Protocol for Delivering Bad News: Application to the Patient with Cancer. The Oncologist. 2000;5(4):302-311. Tersedia pada: https://academic.oup.com/oncolo/article/5/4/302/6386019</w:t>
      </w:r>
    </w:p>
    <w:p>
      <w:pPr>
        <w:pStyle w:val="ListParagraph"/>
        <w:numPr>
          <w:ilvl w:val="0"/>
          <w:numId w:val="2"/>
        </w:numPr>
        <w:spacing w:after="80"/>
      </w:pPr>
      <w:r>
        <w:rPr>
          <w:rFonts w:ascii="IBM Plex Sans" w:cs="IBM Plex Sans" w:eastAsia="IBM Plex Sans" w:hAnsi="IBM Plex Sans"/>
          <w:color w:val="334155"/>
          <w:sz w:val="21"/>
          <w:szCs w:val="21"/>
        </w:rPr>
        <w:t xml:space="preserve">FIGO Committee for the Ethical Aspects of Human Reproduction and Women's Health. Ethical Issues in Obstetrics and Gynecology. London: International Federation of Gynecology and Obstetrics; 2015 (pembaruan berkelanjutan). Tersedia pada: https://www.figo.org/sites/default/files/2020-08/FIGO%20ETHICAL%20ISSUES%20-%20OCTOBER%202015%20(003).pdf</w:t>
      </w:r>
    </w:p>
    <w:p>
      <w:pPr>
        <w:pStyle w:val="ListParagraph"/>
        <w:numPr>
          <w:ilvl w:val="0"/>
          <w:numId w:val="2"/>
        </w:numPr>
        <w:spacing w:after="80"/>
      </w:pPr>
      <w:r>
        <w:rPr>
          <w:rFonts w:ascii="IBM Plex Sans" w:cs="IBM Plex Sans" w:eastAsia="IBM Plex Sans" w:hAnsi="IBM Plex Sans"/>
          <w:color w:val="334155"/>
          <w:sz w:val="21"/>
          <w:szCs w:val="21"/>
        </w:rPr>
        <w:t xml:space="preserve">General Medical Council (GMC). Openness and Honesty When Things Go Wrong: The Professional Duty of Candour. London: GMC; pembaruan terakhir 2024. Tersedia pada: https://www.gmc-uk.org/professional-standards/the-professional-standards/candour---openness-and-honesty-when-things-go-wrong</w:t>
      </w:r>
    </w:p>
    <w:p>
      <w:pPr>
        <w:pStyle w:val="ListParagraph"/>
        <w:numPr>
          <w:ilvl w:val="0"/>
          <w:numId w:val="2"/>
        </w:numPr>
        <w:spacing w:after="80"/>
      </w:pPr>
      <w:r>
        <w:rPr>
          <w:rFonts w:ascii="IBM Plex Sans" w:cs="IBM Plex Sans" w:eastAsia="IBM Plex Sans" w:hAnsi="IBM Plex Sans"/>
          <w:color w:val="334155"/>
          <w:sz w:val="21"/>
          <w:szCs w:val="21"/>
        </w:rPr>
        <w:t xml:space="preserve">Hussein J, Kanguru L, Astin M, Munjanja S. The Effectiveness of Emergency Obstetric Referral Interventions in Developing Country Settings: A Systematic Review. PLoS Medicine. 2012;9(7):e1001264.</w:t>
      </w:r>
    </w:p>
    <w:p>
      <w:pPr>
        <w:pStyle w:val="ListParagraph"/>
        <w:numPr>
          <w:ilvl w:val="0"/>
          <w:numId w:val="2"/>
        </w:numPr>
        <w:spacing w:after="80"/>
      </w:pPr>
      <w:r>
        <w:rPr>
          <w:rFonts w:ascii="IBM Plex Sans" w:cs="IBM Plex Sans" w:eastAsia="IBM Plex Sans" w:hAnsi="IBM Plex Sans"/>
          <w:color w:val="334155"/>
          <w:sz w:val="21"/>
          <w:szCs w:val="21"/>
        </w:rPr>
        <w:t xml:space="preserve">Institute for Healthcare Improvement (IHI). SBAR Tool: Situation-Background-Assessment-Recommendation, dalam Patient Safety Essentials Toolkit. Boston: IHI; 2019. Tersedia pada: https://www.ihi.org/library/tools/patient-safety-essentials-toolkit</w:t>
      </w:r>
    </w:p>
    <w:p>
      <w:pPr>
        <w:pStyle w:val="ListParagraph"/>
        <w:numPr>
          <w:ilvl w:val="0"/>
          <w:numId w:val="2"/>
        </w:numPr>
        <w:spacing w:after="80"/>
      </w:pPr>
      <w:r>
        <w:rPr>
          <w:rFonts w:ascii="IBM Plex Sans" w:cs="IBM Plex Sans" w:eastAsia="IBM Plex Sans" w:hAnsi="IBM Plex Sans"/>
          <w:color w:val="334155"/>
          <w:sz w:val="21"/>
          <w:szCs w:val="21"/>
        </w:rPr>
        <w:t xml:space="preserve">International Confederation of Midwives (ICM). Essential Competencies for Midwifery Practice (pembaruan 2024). The Hague: ICM; 2024. Tersedia pada: https://internationalmidwives.org/resources/essential-competencies-for-midwifery-practice/</w:t>
      </w:r>
    </w:p>
    <w:p>
      <w:pPr>
        <w:pStyle w:val="ListParagraph"/>
        <w:numPr>
          <w:ilvl w:val="0"/>
          <w:numId w:val="2"/>
        </w:numPr>
        <w:spacing w:after="80"/>
      </w:pPr>
      <w:r>
        <w:rPr>
          <w:rFonts w:ascii="IBM Plex Sans" w:cs="IBM Plex Sans" w:eastAsia="IBM Plex Sans" w:hAnsi="IBM Plex Sans"/>
          <w:color w:val="334155"/>
          <w:sz w:val="21"/>
          <w:szCs w:val="21"/>
        </w:rPr>
        <w:t xml:space="preserve">Kementerian Kesehatan Republik Indonesia. Peraturan Menteri Kesehatan Nomor 3 Tahun 2023 tentang Standar Tarif Pelayanan Kesehatan dalam Penyelenggaraan Program Jaminan Kesehatan. Jakarta: Kemenkes RI; 2023.</w:t>
      </w:r>
    </w:p>
    <w:p>
      <w:pPr>
        <w:pStyle w:val="ListParagraph"/>
        <w:numPr>
          <w:ilvl w:val="0"/>
          <w:numId w:val="2"/>
        </w:numPr>
        <w:spacing w:after="80"/>
      </w:pP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Jakarta: Konsil Kesehatan Indonesia; 2026.</w:t>
      </w:r>
    </w:p>
    <w:p>
      <w:pPr>
        <w:pStyle w:val="ListParagraph"/>
        <w:numPr>
          <w:ilvl w:val="0"/>
          <w:numId w:val="2"/>
        </w:numPr>
        <w:spacing w:after="80"/>
      </w:pPr>
      <w:r>
        <w:rPr>
          <w:rFonts w:ascii="IBM Plex Sans" w:cs="IBM Plex Sans" w:eastAsia="IBM Plex Sans" w:hAnsi="IBM Plex Sans"/>
          <w:color w:val="334155"/>
          <w:sz w:val="21"/>
          <w:szCs w:val="21"/>
        </w:rPr>
        <w:t xml:space="preserve">Koliopoulos G, Nyaga VN, Santesso N, Bryant A, Martin-Hirsch PPL, Mustafa RA, Schünemann H, Paraskevaidis E, Arbyn M. Cytology versus HPV Testing for Cervical Cancer Screening in the General Population. Cochrane Database of Systematic Reviews. 2017;(8):CD008587.</w:t>
      </w:r>
    </w:p>
    <w:p>
      <w:pPr>
        <w:pStyle w:val="ListParagraph"/>
        <w:numPr>
          <w:ilvl w:val="0"/>
          <w:numId w:val="2"/>
        </w:numPr>
        <w:spacing w:after="80"/>
      </w:pPr>
      <w:r>
        <w:rPr>
          <w:rFonts w:ascii="IBM Plex Sans" w:cs="IBM Plex Sans" w:eastAsia="IBM Plex Sans" w:hAnsi="IBM Plex Sans"/>
          <w:color w:val="334155"/>
          <w:sz w:val="21"/>
          <w:szCs w:val="21"/>
        </w:rPr>
        <w:t xml:space="preserve">Royal College of Obstetricians and Gynaecologists (RCOG). Core Curriculum for Obstetrics &amp; Gynaecology: Definitive Document 2019. London: RCOG; pembaruan Mei 2021. Tersedia pada: https://www.rcog.org.uk/media/j3do0i1i/core-curriculum-2019-definitive-document-may-2021.pdf</w:t>
      </w:r>
    </w:p>
    <w:p>
      <w:pPr>
        <w:pStyle w:val="ListParagraph"/>
        <w:numPr>
          <w:ilvl w:val="0"/>
          <w:numId w:val="2"/>
        </w:numPr>
        <w:spacing w:after="80"/>
      </w:pPr>
      <w:r>
        <w:rPr>
          <w:rFonts w:ascii="IBM Plex Sans" w:cs="IBM Plex Sans" w:eastAsia="IBM Plex Sans" w:hAnsi="IBM Plex Sans"/>
          <w:color w:val="334155"/>
          <w:sz w:val="21"/>
          <w:szCs w:val="21"/>
        </w:rPr>
        <w:t xml:space="preserve">Thaddeus S, Maine D. Too Far to Walk: Maternal Mortality in Context. Social Science &amp; Medicine. 1994;38(8):1091-1110.</w:t>
      </w:r>
    </w:p>
    <w:p>
      <w:pPr>
        <w:pStyle w:val="ListParagraph"/>
        <w:numPr>
          <w:ilvl w:val="0"/>
          <w:numId w:val="2"/>
        </w:numPr>
        <w:spacing w:after="80"/>
      </w:pPr>
      <w:r>
        <w:rPr>
          <w:rFonts w:ascii="IBM Plex Sans" w:cs="IBM Plex Sans" w:eastAsia="IBM Plex Sans" w:hAnsi="IBM Plex Sans"/>
          <w:color w:val="334155"/>
          <w:sz w:val="21"/>
          <w:szCs w:val="21"/>
        </w:rPr>
        <w:t xml:space="preserve">World Health Organization. WHO Recommendations on Antenatal Care for a Positive Pregnancy Experience. Geneva: WHO; 2016. Tersedia pada: https://www.who.int/publications/i/item/9789241549912</w:t>
      </w:r>
    </w:p>
    <w:p>
      <w:pPr>
        <w:pStyle w:val="ListParagraph"/>
        <w:numPr>
          <w:ilvl w:val="0"/>
          <w:numId w:val="2"/>
        </w:numPr>
        <w:spacing w:after="80"/>
      </w:pPr>
      <w:r>
        <w:rPr>
          <w:rFonts w:ascii="IBM Plex Sans" w:cs="IBM Plex Sans" w:eastAsia="IBM Plex Sans" w:hAnsi="IBM Plex Sans"/>
          <w:color w:val="334155"/>
          <w:sz w:val="21"/>
          <w:szCs w:val="21"/>
        </w:rPr>
        <w:t xml:space="preserve">World Health Organization. Everybody's Business: Strengthening Health Systems to Improve Health Outcomes — WHO's Framework for Action. Geneva: WHO; 2007. Tersedia pada: https://iris.who.int/handle/10665/43918</w:t>
      </w:r>
    </w:p>
    <w:p>
      <w:pPr>
        <w:spacing w:after="160"/>
        <w:jc w:val="both"/>
      </w:pPr>
      <w:r>
        <w:rPr>
          <w:rFonts w:ascii="IBM Plex Sans" w:cs="IBM Plex Sans" w:eastAsia="IBM Plex Sans" w:hAnsi="IBM Plex Sans"/>
          <w:color w:val="334155"/>
          <w:sz w:val="21"/>
          <w:szCs w:val="21"/>
        </w:rPr>
        <w:t xml:space="preserve">Kode Etik Kedokteran Indonesia (KODEKI) yang menjadi rujukan komponen kepatuhan etik pada Tabel 40 diterbitkan dan dikelola oleh Majelis Kehormatan Etik Kedokteran (MKEK), Ikatan Dokter Indonesia (IDI). Pembaca disarankan merujuk pada naskah KODEKI edisi berlaku yang diterbitkan resmi oleh PB IDI/MKEK pada saat buku ini digunakan, mengingat kode etik ini bersifat hidup dan dapat direvisi melalui forum Muktamar IDI.</w:t>
      </w:r>
    </w:p>
    <w:p>
      <w:pPr>
        <w:pStyle w:val="Heading1"/>
        <w:spacing w:after="200" w:before="400"/>
      </w:pPr>
      <w:r>
        <w:rPr>
          <w:color w:val="3730A3"/>
        </w:rPr>
        <w:t xml:space="preserve">Glosarium</w:t>
      </w:r>
    </w:p>
    <w:p>
      <w:pPr>
        <w:spacing w:after="120" w:before="200"/>
      </w:pPr>
      <w:r>
        <w:rPr>
          <w:rFonts w:ascii="Source Serif 4" w:cs="Source Serif 4" w:eastAsia="Source Serif 4" w:hAnsi="Source Serif 4"/>
          <w:b/>
          <w:bCs/>
          <w:color w:val="3730A3"/>
          <w:sz w:val="21"/>
          <w:szCs w:val="21"/>
        </w:rPr>
        <w:t xml:space="preserve">Daftar Istilah</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rPr>
          <w:tblHeader/>
        </w:trPr>
        <w:tc>
          <w:tcPr>
            <w:tcW w:type="dxa" w:w="4675"/>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Istilah</w:t>
            </w:r>
          </w:p>
        </w:tc>
        <w:tc>
          <w:tcPr>
            <w:tcW w:type="dxa" w:w="4675"/>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Penjelasan</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Cost-effectiveness (efektivitas biaya)</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Prinsip menilai manfaat klinis suatu intervensi secara relatif terhadap biaya yang dikeluarkan, digunakan untuk memilih pilihan diagnostik/terapeutik yang memberi nilai klinis terbaik per satuan biaya.</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Duty of candour</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Kewajiban profesional untuk terbuka dan jujur kepada Pasien ketika terjadi kesalahan medis atau insiden keselamatan, mencakup pemberitahuan, permintaan maaf, penjelasan, dan upaya perbaikan.</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FKTP / FKRTL</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Fasilitas Kesehatan Tingkat Pertama (layanan primer, non-spesialistik) dan Fasilitas Kesehatan Rujukan Tingkat Lanjutan (layanan spesialistik/subspesialistik) dalam sistem rujukan berjenjang BPJS Kesehatan.</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INA-CBG</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Indonesia Case Base Groups — skema pembayaran BPJS Kesehatan kepada fasilitas kesehatan rujukan tingkat lanjutan berdasarkan paket kelompok diagnosis, bukan tagihan per item layanan.</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Informed consent</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Proses persetujuan tindakan medis oleh Pasien setelah menerima penjelasan yang memadai mengenai diagnosis, tata laksana, risiko, manfaat, alternatif, dan implikasi biaya.</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Just culture</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Budaya keselamatan Pasien yang mendorong pelaporan insiden dan kesalahan secara terbuka tanpa menghukum individu, dengan fokus perbaikan pada sistem, bukan pencarian pihak yang disalahkan.</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KODEKI</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Kode Etik Kedokteran Indonesia, pedoman perilaku etik bagi dokter anggota Ikatan Dokter Indonesia (IDI), diterbitkan dan direvisi melalui forum Muktamar IDI.</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Kepkonsil</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Keputusan Ketua Konsil Kesehatan Indonesia — regulasi yang menetapkan standar kompetensi dokter spesialis dan subspesialis di Indonesia.</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Multidisciplinary team (MDT) / tumor board</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Forum pertemuan lintas profesi dan lintas disiplin (misalnya SpOG-onkologi ginekologi, radioterapi, onkologi medik, patologi anatomi) untuk menyepakati tata laksana kasus kompleks, terutama kanker.</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Shared decision-making</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Proses pengambilan keputusan klinis bersama antara dokter dan Pasien, memadukan bukti klinis dengan nilai dan preferensi Pasien.</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SBAR</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Situation-Background-Assessment-Recommendation — teknik komunikasi terstruktur untuk serah terima Pasien dan pelaporan kondisi klinis antarprofesi kesehatan.</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SPIKES</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Setting-Perception-Invitation-Knowledge-Emotion-Strategy/Summary — protokol enam langkah untuk menyampaikan berita buruk kepada Pasien secara terstruktur dan empatik.</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Systems-based practice (praktik berbasis sistem)</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Kompetensi memahami dan berfungsi secara efektif dalam sistem pelayanan kesehatan yang lebih luas, termasuk koordinasi rujukan dan penggunaan sumber daya secara bertanggung jawab.</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Teach-back</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Metode verifikasi pemahaman Pasien dengan meminta Pasien mengulang kembali informasi medis yang telah disampaikan menggunakan kata-katanya sendiri.</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Three Delays Model</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Kerangka analisis keterlambatan penanganan kegawatdaruratan maternal: keterlambatan mengambil keputusan mencari pertolongan, keterlambatan mencapai fasilitas kesehatan, dan keterlambatan menerima pertolongan adekuat di fasilitas kesehatan.</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Woman-centred care</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Pendekatan asuhan kebidanan dan kandungan yang berpusat pada kebutuhan, preferensi, dan nilai perempuan sebagai Pasien, sebagaimana ditekankan ICM dan WHO.</w:t>
            </w:r>
          </w:p>
        </w:tc>
      </w:tr>
    </w:tbl>
    <w:p>
      <w:pPr>
        <w:spacing w:after="200"/>
      </w:pPr>
    </w:p>
    <w:sectPr>
      <w:headerReference w:type="default" r:id="rId9"/>
      <w:footerReference w:type="default" r:id="rId10"/>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64748B"/>
        <w:sz w:val="16"/>
        <w:szCs w:val="16"/>
      </w:rPr>
      <w:t xml:space="preserve">Halaman </w:t>
    </w:r>
    <w:r>
      <w:rPr>
        <w:rFonts w:ascii="IBM Plex Sans" w:cs="IBM Plex Sans" w:eastAsia="IBM Plex Sans" w:hAnsi="IBM Plex Sans"/>
        <w:color w:val="64748B"/>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64748B"/>
        <w:sz w:val="16"/>
        <w:szCs w:val="16"/>
      </w:rPr>
      <w:t xml:space="preserve">Perpustakaan Digital ABBA · Dokumen 15 dari 96 · Halaman </w:t>
    </w:r>
    <w:r>
      <w:rPr>
        <w:rFonts w:ascii="IBM Plex Sans" w:cs="IBM Plex Sans" w:eastAsia="IBM Plex Sans" w:hAnsi="IBM Plex Sans"/>
        <w:color w:val="6474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4"/>
      </w:pBdr>
      <w:spacing w:after="100"/>
    </w:pPr>
    <w:r>
      <w:rPr>
        <w:rFonts w:ascii="IBM Plex Mono" w:cs="IBM Plex Mono" w:eastAsia="IBM Plex Mono" w:hAnsi="IBM Plex Mono"/>
        <w:b/>
        <w:bCs/>
        <w:color w:val="B45309"/>
        <w:sz w:val="16"/>
        <w:szCs w:val="16"/>
      </w:rPr>
      <w:t xml:space="preserve">B14 · </w:t>
    </w:r>
    <w:r>
      <w:rPr>
        <w:rFonts w:ascii="IBM Plex Sans" w:cs="IBM Plex Sans" w:eastAsia="IBM Plex Sans" w:hAnsi="IBM Plex Sans"/>
        <w:color w:val="64748B"/>
        <w:sz w:val="16"/>
        <w:szCs w:val="16"/>
      </w:rPr>
      <w:t xml:space="preserve">Komunikasi Interpersonal, Profesionalisme, Praktik Berbasis Sistem, dan Kesadaran Biaya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4"/>
      </w:pBdr>
      <w:spacing w:after="100"/>
    </w:pPr>
    <w:r>
      <w:rPr>
        <w:rFonts w:ascii="IBM Plex Mono" w:cs="IBM Plex Mono" w:eastAsia="IBM Plex Mono" w:hAnsi="IBM Plex Mono"/>
        <w:b/>
        <w:bCs/>
        <w:color w:val="B45309"/>
        <w:sz w:val="16"/>
        <w:szCs w:val="16"/>
      </w:rPr>
      <w:t xml:space="preserve">B14 · </w:t>
    </w:r>
    <w:r>
      <w:rPr>
        <w:rFonts w:ascii="IBM Plex Sans" w:cs="IBM Plex Sans" w:eastAsia="IBM Plex Sans" w:hAnsi="IBM Plex Sans"/>
        <w:color w:val="64748B"/>
        <w:sz w:val="16"/>
        <w:szCs w:val="16"/>
      </w:rPr>
      <w:t xml:space="preserve">Komunikasi Interpersonal, Profesionalisme, Praktik Berbasis Sistem, dan Kesadaran Biaya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60"/>
    </w:pPr>
    <w:rPr>
      <w:rFonts w:ascii="Source Serif 4" w:cs="Source Serif 4" w:eastAsia="Source Serif 4" w:hAnsi="Source Serif 4"/>
      <w:b/>
      <w:bCs/>
      <w:color w:val="3730A3"/>
      <w:sz w:val="32"/>
      <w:szCs w:val="32"/>
    </w:rPr>
  </w:style>
  <w:style w:type="paragraph" w:styleId="Heading2">
    <w:name w:val="Heading 2"/>
    <w:basedOn w:val="Normal"/>
    <w:next w:val="Normal"/>
    <w:qFormat/>
    <w:pPr>
      <w:spacing w:after="140" w:before="280"/>
    </w:pPr>
    <w:rPr>
      <w:rFonts w:ascii="Source Serif 4" w:cs="Source Serif 4" w:eastAsia="Source Serif 4" w:hAnsi="Source Serif 4"/>
      <w:b/>
      <w:bCs/>
      <w:color w:val="4F46E5"/>
      <w:sz w:val="26"/>
      <w:szCs w:val="26"/>
    </w:rPr>
  </w:style>
  <w:style w:type="paragraph" w:styleId="Heading3">
    <w:name w:val="Heading 3"/>
    <w:basedOn w:val="Normal"/>
    <w:next w:val="Normal"/>
    <w:qFormat/>
    <w:pPr>
      <w:spacing w:after="100" w:before="200"/>
    </w:pPr>
    <w:rPr>
      <w:rFonts w:ascii="Source Serif 4" w:cs="Source Serif 4" w:eastAsia="Source Serif 4" w:hAnsi="Source Serif 4"/>
      <w:b/>
      <w:bCs/>
      <w:color w:val="B45309"/>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Komunikasi Interpersonal, Profesionalisme, Praktik Berbasis Sistem, dan Kesadaran Biaya</dc:title>
  <dc:creator>Ekosistem Literatur Standar SpOG</dc:creator>
  <cp:lastModifiedBy>Un-named</cp:lastModifiedBy>
  <cp:revision>1</cp:revision>
  <dcterms:created xsi:type="dcterms:W3CDTF">2026-08-16T23:38:10.039Z</dcterms:created>
  <dcterms:modified xsi:type="dcterms:W3CDTF">2026-08-16T23:38:10.052Z</dcterms:modified>
</cp:coreProperties>
</file>

<file path=docProps/custom.xml><?xml version="1.0" encoding="utf-8"?>
<Properties xmlns="http://schemas.openxmlformats.org/officeDocument/2006/custom-properties" xmlns:vt="http://schemas.openxmlformats.org/officeDocument/2006/docPropsVTypes"/>
</file>