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400"/>
        <w:jc w:val="center"/>
      </w:pPr>
      <w:r>
        <w:rPr>
          <w:rFonts w:ascii="IBM Plex Sans" w:cs="IBM Plex Sans" w:eastAsia="IBM Plex Sans" w:hAnsi="IBM Plex Sans"/>
          <w:b/>
          <w:bCs/>
          <w:color w:val="B45309"/>
          <w:sz w:val="24"/>
          <w:szCs w:val="24"/>
        </w:rPr>
        <w:t xml:space="preserve">Perpustakaan Digital ABBA</w:t>
      </w:r>
    </w:p>
    <w:p>
      <w:pPr>
        <w:spacing w:after="600"/>
        <w:jc w:val="center"/>
      </w:pPr>
      <w:r>
        <w:rPr>
          <w:rFonts w:ascii="IBM Plex Sans" w:cs="IBM Plex Sans" w:eastAsia="IBM Plex Sans" w:hAnsi="IBM Plex Sans"/>
          <w:color w:val="334155"/>
          <w:sz w:val="20"/>
          <w:szCs w:val="20"/>
        </w:rPr>
        <w:t xml:space="preserve">Ekosistem Literatur Standar Sp.OG · Buku Tematik</w:t>
      </w:r>
    </w:p>
    <w:p>
      <w:pPr>
        <w:spacing w:after="100"/>
        <w:jc w:val="center"/>
      </w:pPr>
      <w:r>
        <w:rPr>
          <w:rFonts w:ascii="IBM Plex Mono" w:cs="IBM Plex Mono" w:eastAsia="IBM Plex Mono" w:hAnsi="IBM Plex Mono"/>
          <w:b/>
          <w:bCs/>
          <w:color w:val="B45309"/>
          <w:sz w:val="20"/>
          <w:szCs w:val="20"/>
        </w:rPr>
        <w:t xml:space="preserve">Dokumen B2</w:t>
      </w:r>
    </w:p>
    <w:p>
      <w:pPr>
        <w:spacing w:after="500"/>
        <w:jc w:val="center"/>
      </w:pPr>
      <w:r>
        <w:rPr>
          <w:rFonts w:ascii="Source Serif 4" w:cs="Source Serif 4" w:eastAsia="Source Serif 4" w:hAnsi="Source Serif 4"/>
          <w:b/>
          <w:bCs/>
          <w:color w:val="4F46E5"/>
          <w:sz w:val="44"/>
          <w:szCs w:val="44"/>
        </w:rPr>
        <w:t xml:space="preserve">Obstetri Fisiologis dan Asuhan Antenatal</w:t>
      </w:r>
    </w:p>
    <w:p>
      <w:pPr>
        <w:spacing w:after="100"/>
        <w:jc w:val="center"/>
      </w:pPr>
      <w:r>
        <w:rPr>
          <w:rFonts w:ascii="IBM Plex Sans" w:cs="IBM Plex Sans" w:eastAsia="IBM Plex Sans" w:hAnsi="IBM Plex Sans"/>
          <w:color w:val="334155"/>
          <w:sz w:val="20"/>
          <w:szCs w:val="20"/>
        </w:rPr>
        <w:t xml:space="preserve">Divisi Pengampu: Fetomaternal</w:t>
      </w:r>
    </w:p>
    <w:p>
      <w:pPr>
        <w:spacing w:after="800"/>
        <w:jc w:val="center"/>
      </w:pPr>
      <w:r>
        <w:rPr>
          <w:rFonts w:ascii="IBM Plex Sans" w:cs="IBM Plex Sans" w:eastAsia="IBM Plex Sans" w:hAnsi="IBM Plex Sans"/>
          <w:color w:val="334155"/>
          <w:sz w:val="20"/>
          <w:szCs w:val="20"/>
        </w:rPr>
        <w:t xml:space="preserve">Audiens: Peserta Didik Program Pendidikan Dokter Spesialis (PPDS) Tahun I–II</w:t>
      </w:r>
    </w:p>
    <w:p>
      <w:pPr>
        <w:spacing w:after="60"/>
        <w:jc w:val="center"/>
      </w:pPr>
      <w:r>
        <w:rPr>
          <w:rFonts w:ascii="IBM Plex Sans" w:cs="IBM Plex Sans" w:eastAsia="IBM Plex Sans" w:hAnsi="IBM Plex Sans"/>
          <w:b/>
          <w:bCs/>
          <w:color w:val="B45309"/>
          <w:sz w:val="18"/>
          <w:szCs w:val="18"/>
        </w:rPr>
        <w:t xml:space="preserve">Dasar Hukum</w:t>
      </w:r>
    </w:p>
    <w:p>
      <w:pPr>
        <w:spacing w:after="900"/>
        <w:jc w:val="center"/>
      </w:pPr>
      <w:r>
        <w:rPr>
          <w:rFonts w:ascii="IBM Plex Sans" w:cs="IBM Plex Sans" w:eastAsia="IBM Plex Sans" w:hAnsi="IBM Plex Sans"/>
          <w:i/>
          <w:iCs/>
          <w:color w:val="334155"/>
          <w:sz w:val="18"/>
          <w:szCs w:val="18"/>
        </w:rPr>
        <w:t xml:space="preserve">Keputusan Ketua Konsil Kesehatan Indonesia Nomor HK.01.02/KKI/1318/2026 tentang Standar Kompetensi Dokter Spesialis dan Subspesialis Bidang Obstetri dan Ginekologi</w:t>
      </w:r>
    </w:p>
    <w:p>
      <w:pPr>
        <w:spacing w:after="40"/>
        <w:jc w:val="center"/>
      </w:pPr>
      <w:r>
        <w:rPr>
          <w:rFonts w:ascii="IBM Plex Sans" w:cs="IBM Plex Sans" w:eastAsia="IBM Plex Sans" w:hAnsi="IBM Plex Sans"/>
          <w:b/>
          <w:bCs/>
          <w:color w:val="334155"/>
          <w:sz w:val="19"/>
          <w:szCs w:val="19"/>
        </w:rPr>
        <w:t xml:space="preserve">Dr.dr. Budi Siswanto, Sp.OG., Subsp.Obginsos., SH., S.Kom.</w:t>
      </w:r>
    </w:p>
    <w:p>
      <w:pPr>
        <w:spacing w:after="40"/>
        <w:jc w:val="center"/>
      </w:pPr>
      <w:r>
        <w:rPr>
          <w:rFonts w:ascii="IBM Plex Sans" w:cs="IBM Plex Sans" w:eastAsia="IBM Plex Sans" w:hAnsi="IBM Plex Sans"/>
          <w:color w:val="334155"/>
          <w:sz w:val="17"/>
          <w:szCs w:val="17"/>
        </w:rPr>
        <w:t xml:space="preserve">FK UIN Maulana Malik Ibrahim Malang</w:t>
      </w:r>
    </w:p>
    <w:p>
      <w:pPr>
        <w:jc w:val="center"/>
      </w:pPr>
      <w:r>
        <w:rPr>
          <w:rFonts w:ascii="IBM Plex Sans" w:cs="IBM Plex Sans" w:eastAsia="IBM Plex Sans" w:hAnsi="IBM Plex Sans"/>
          <w:color w:val="334155"/>
          <w:sz w:val="16"/>
          <w:szCs w:val="16"/>
        </w:rPr>
        <w:t xml:space="preserve">Jl. Kerinci Raya No. 9, Malang 65138</w:t>
      </w:r>
    </w:p>
    <w:p>
      <w:pPr>
        <w:spacing w:before="200"/>
        <w:jc w:val="center"/>
      </w:pPr>
      <w:r>
        <w:rPr>
          <w:rFonts w:ascii="IBM Plex Mono" w:cs="IBM Plex Mono" w:eastAsia="IBM Plex Mono" w:hAnsi="IBM Plex Mono"/>
          <w:color w:val="B45309"/>
          <w:sz w:val="15"/>
          <w:szCs w:val="15"/>
        </w:rPr>
        <w:t xml:space="preserve">Edisi 2, Agustus 2026</w:t>
      </w:r>
    </w:p>
    <w:p>
      <w:r>
        <w:br w:type="page"/>
      </w:r>
    </w:p>
    <w:p>
      <w:pPr>
        <w:sectPr>
          <w:pgSz w:w="11906" w:h="16838" w:orient="portrait"/>
          <w:pgMar w:top="1440" w:right="1440" w:bottom="1440" w:left="1440" w:header="708" w:footer="708" w:gutter="0"/>
          <w:pgNumType/>
          <w:docGrid w:linePitch="360"/>
        </w:sectPr>
      </w:pPr>
    </w:p>
    <w:p>
      <w:pPr>
        <w:pStyle w:val="Heading1"/>
      </w:pPr>
      <w: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sectPr>
          <w:headerReference w:type="default" r:id="rId7"/>
          <w:footerReference w:type="default" r:id="rId8"/>
          <w:pgSz w:w="11906" w:h="16838" w:orient="portrait"/>
          <w:pgMar w:top="1440" w:right="1440" w:bottom="1440" w:left="1440" w:header="708" w:footer="708" w:gutter="0"/>
          <w:pgNumType/>
          <w:docGrid w:linePitch="360"/>
        </w:sectPr>
      </w:pPr>
    </w:p>
    <w:p>
      <w:pPr>
        <w:pStyle w:val="Heading1"/>
        <w:spacing w:after="200" w:before="300"/>
      </w:pPr>
      <w:r>
        <w:t xml:space="preserve">Bab I  Pendahuluan</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40"/>
              <w:bottom w:type="dxa" w:w="160"/>
              <w:right w:type="dxa" w:w="240"/>
            </w:tcMar>
          </w:tcPr>
          <w:p>
            <w:pPr>
              <w:spacing w:after="60"/>
            </w:pPr>
            <w:r>
              <w:rPr>
                <w:rFonts w:ascii="IBM Plex Sans" w:cs="IBM Plex Sans" w:eastAsia="IBM Plex Sans" w:hAnsi="IBM Plex Sans"/>
                <w:b/>
                <w:bCs/>
                <w:color w:val="B45309"/>
                <w:sz w:val="18"/>
                <w:szCs w:val="18"/>
              </w:rPr>
              <w:t xml:space="preserve">DASAR REGULASI</w:t>
            </w:r>
          </w:p>
          <w:p>
            <w:pPr>
              <w:spacing w:after="80"/>
            </w:pPr>
            <w:r>
              <w:rPr>
                <w:rFonts w:ascii="IBM Plex Sans" w:cs="IBM Plex Sans" w:eastAsia="IBM Plex Sans" w:hAnsi="IBM Plex Sans"/>
                <w:i/>
                <w:iCs/>
                <w:color w:val="334155"/>
                <w:sz w:val="20"/>
                <w:szCs w:val="20"/>
              </w:rPr>
              <w:t xml:space="preserve">Bab ini dan keseluruhan buku tematik B2 disusun berdasarkan Tabel 7 Kepkonsil No. HK.01.02/KKI/1318/2026 (Lampiran Bab II Area Kompetensi 2 — Kompetensi Medis), entri No. 1–2, 38, dan 69–70.</w:t>
            </w:r>
          </w:p>
          <w:p>
            <w:pPr>
              <w:spacing w:after="40"/>
            </w:pPr>
            <w:r>
              <w:rPr>
                <w:rFonts w:ascii="IBM Plex Mono" w:cs="IBM Plex Mono" w:eastAsia="IBM Plex Mono" w:hAnsi="IBM Plex Mono"/>
                <w:b/>
                <w:bCs/>
                <w:color w:val="334155"/>
                <w:sz w:val="18"/>
                <w:szCs w:val="18"/>
              </w:rPr>
              <w:t xml:space="preserve">Tabel 7 No. 1 — Kehamilan tanpa penyulit (Pregnancy without complication) </w:t>
            </w:r>
            <w:r>
              <w:rPr>
                <w:rFonts w:ascii="IBM Plex Mono" w:cs="IBM Plex Mono" w:eastAsia="IBM Plex Mono" w:hAnsi="IBM Plex Mono"/>
                <w:color w:val="4F46E5"/>
                <w:sz w:val="18"/>
                <w:szCs w:val="18"/>
              </w:rPr>
              <w:t xml:space="preserve">ICD-10: Z34 · ICD-11: QA42</w:t>
            </w:r>
          </w:p>
          <w:p>
            <w:pPr>
              <w:spacing w:after="40"/>
            </w:pPr>
            <w:r>
              <w:rPr>
                <w:rFonts w:ascii="IBM Plex Mono" w:cs="IBM Plex Mono" w:eastAsia="IBM Plex Mono" w:hAnsi="IBM Plex Mono"/>
                <w:b/>
                <w:bCs/>
                <w:color w:val="334155"/>
                <w:sz w:val="18"/>
                <w:szCs w:val="18"/>
              </w:rPr>
              <w:t xml:space="preserve">Tabel 7 No. 2 — Masalah ringan pada kehamilan (nyeri punggung, striae gravidarum, epistaksis, dll.) (Mild problems in pregnancy) </w:t>
            </w:r>
            <w:r>
              <w:rPr>
                <w:rFonts w:ascii="IBM Plex Mono" w:cs="IBM Plex Mono" w:eastAsia="IBM Plex Mono" w:hAnsi="IBM Plex Mono"/>
                <w:color w:val="4F46E5"/>
                <w:sz w:val="18"/>
                <w:szCs w:val="18"/>
              </w:rPr>
              <w:t xml:space="preserve">ICD-10: O26.9 (M54.5; L90.9; R04.0) · ICD-11: QA4Y (ME84.2; EE40.10; MD20)</w:t>
            </w:r>
          </w:p>
          <w:p>
            <w:pPr>
              <w:spacing w:after="40"/>
            </w:pPr>
            <w:r>
              <w:rPr>
                <w:rFonts w:ascii="IBM Plex Mono" w:cs="IBM Plex Mono" w:eastAsia="IBM Plex Mono" w:hAnsi="IBM Plex Mono"/>
                <w:b/>
                <w:bCs/>
                <w:color w:val="334155"/>
                <w:sz w:val="18"/>
                <w:szCs w:val="18"/>
              </w:rPr>
              <w:t xml:space="preserve">Tabel 7 No. 38 — Nifas (Puerperal period) </w:t>
            </w:r>
            <w:r>
              <w:rPr>
                <w:rFonts w:ascii="IBM Plex Mono" w:cs="IBM Plex Mono" w:eastAsia="IBM Plex Mono" w:hAnsi="IBM Plex Mono"/>
                <w:color w:val="4F46E5"/>
                <w:sz w:val="18"/>
                <w:szCs w:val="18"/>
              </w:rPr>
              <w:t xml:space="preserve">ICD-10: Z39.2 · ICD-11: QA48</w:t>
            </w:r>
          </w:p>
          <w:p>
            <w:pPr>
              <w:spacing w:after="40"/>
            </w:pPr>
            <w:r>
              <w:rPr>
                <w:rFonts w:ascii="IBM Plex Mono" w:cs="IBM Plex Mono" w:eastAsia="IBM Plex Mono" w:hAnsi="IBM Plex Mono"/>
                <w:b/>
                <w:bCs/>
                <w:color w:val="334155"/>
                <w:sz w:val="18"/>
                <w:szCs w:val="18"/>
              </w:rPr>
              <w:t xml:space="preserve">Tabel 7 No. 69 — Kehamilan remaja (Teenage pregnancy) </w:t>
            </w:r>
            <w:r>
              <w:rPr>
                <w:rFonts w:ascii="IBM Plex Mono" w:cs="IBM Plex Mono" w:eastAsia="IBM Plex Mono" w:hAnsi="IBM Plex Mono"/>
                <w:color w:val="4F46E5"/>
                <w:sz w:val="18"/>
                <w:szCs w:val="18"/>
              </w:rPr>
              <w:t xml:space="preserve">ICD-10: Z35.6 · ICD-11: QA43.5</w:t>
            </w:r>
          </w:p>
          <w:p>
            <w:pPr>
              <w:spacing w:after="40"/>
            </w:pPr>
            <w:r>
              <w:rPr>
                <w:rFonts w:ascii="IBM Plex Mono" w:cs="IBM Plex Mono" w:eastAsia="IBM Plex Mono" w:hAnsi="IBM Plex Mono"/>
                <w:b/>
                <w:bCs/>
                <w:color w:val="334155"/>
                <w:sz w:val="18"/>
                <w:szCs w:val="18"/>
              </w:rPr>
              <w:t xml:space="preserve">Tabel 7 No. 70 — Kontrasepsi (Contraception) </w:t>
            </w:r>
            <w:r>
              <w:rPr>
                <w:rFonts w:ascii="IBM Plex Mono" w:cs="IBM Plex Mono" w:eastAsia="IBM Plex Mono" w:hAnsi="IBM Plex Mono"/>
                <w:color w:val="4F46E5"/>
                <w:sz w:val="18"/>
                <w:szCs w:val="18"/>
              </w:rPr>
              <w:t xml:space="preserve">ICD-10: Z30 · ICD-11: QA21.1</w:t>
            </w:r>
          </w:p>
        </w:tc>
      </w:tr>
    </w:tbl>
    <w:p>
      <w:pPr>
        <w:spacing w:after="160"/>
      </w:pPr>
    </w:p>
    <w:p>
      <w:pPr>
        <w:spacing w:after="160" w:line="300"/>
      </w:pPr>
      <w:r>
        <w:rPr>
          <w:color w:val="334155"/>
          <w:sz w:val="22"/>
          <w:szCs w:val="22"/>
        </w:rPr>
        <w:t xml:space="preserve">Obstetri fisiologis merupakan fondasi seluruh praktik obstetri dan ginekologi. Sebelum peserta didik mampu mengenali dan menatalaksana penyulit kehamilan, penguasaan menyeluruh terhadap perjalanan kehamilan normal — perubahan anatomi dan fisiologi maternal, keluhan ringan yang lazim menyertainya, serta struktur asuhan antenatal yang terstandar — menjadi prasyarat mutlak. Buku tematik ini disusun sebagai unit ke-3 dari 15 buku tematik dalam Ekosistem Literatur Standar Sp.OG, mengikuti Buku Utama (B1) yang memuat peta kompetensi menyeluruh.</w:t>
      </w:r>
    </w:p>
    <w:p>
      <w:pPr>
        <w:spacing w:after="160" w:line="300"/>
      </w:pPr>
      <w:r>
        <w:rPr>
          <w:color w:val="334155"/>
          <w:sz w:val="22"/>
          <w:szCs w:val="22"/>
        </w:rPr>
        <w:t xml:space="preserve">Kompetensi yang dibahas dalam buku ini merujuk pada empat entri Tabel 7 Kepkonsil No. HK.01.02/KKI/1318/2026: No. 1 (Kehamilan tanpa penyulit, kode ICD-10 Z34 / ICD-11 QA42), No. 2 (Masalah ringan pada kehamilan, kode ICD-10 O26.9 dengan padanan M54.5, L90.9, R04.0 / ICD-11 QA4Y dengan padanan ME84.2, EE40.10, MD20), No. 38 (Nifas, kode ICD-10 Z39.2 / ICD-11 QA48), serta No. 69–70 (Kehamilan remaja dan Kontrasepsi, kode ICD-10 Z35.6 dan Z30 / ICD-11 QA43.5 dan QA21.1). Entri No. 38 (Nifas) diposisikan sebagai jembatan konseptual menuju pembahasan kontrasepsi pascasalin pada Bab V, karena keputusan metode kontrasepsi pascasalin tidak dapat dipisahkan dari pemantauan masa nifas.</w:t>
      </w:r>
    </w:p>
    <w:p>
      <w:pPr>
        <w:spacing w:after="160" w:line="300"/>
      </w:pPr>
      <w:r>
        <w:rPr>
          <w:color w:val="334155"/>
          <w:sz w:val="22"/>
          <w:szCs w:val="22"/>
        </w:rPr>
        <w:t xml:space="preserve">Sasaran pembaca utama buku ini adalah peserta didik PPDS Obstetri dan Ginekologi tahun I dan II, pada fase pembentukan kompetensi dasar sebelum memasuki rotasi subspesialistik. Struktur buku disusun progresif: dimulai dari fisiologi kehamilan normal (Bab II), keluhan ringan yang menyertainya (Bab III), kerangka asuhan antenatal terstandar (Bab IV), populasi khusus berupa kehamilan remaja dan perencanaan kontrasepsi pascasalin (Bab V), pembanding standar internasional (Bab VI), kontribusi perspektif Divisi Fetomaternal (Bab VII), hingga ringkasan capaian (Bab VIII).</w:t>
      </w:r>
    </w:p>
    <w:p>
      <w:pPr>
        <w:spacing w:after="160" w:line="300"/>
      </w:pPr>
      <w:r>
        <w:rPr>
          <w:color w:val="334155"/>
          <w:sz w:val="22"/>
          <w:szCs w:val="22"/>
        </w:rPr>
        <w:t xml:space="preserve">Posisi buku ini dalam ekosistem literatur standar Sp.OG bersifat fondasional: seluruh buku tematik berikutnya yang membahas penyulit dan kegawatdaruratan obstetri (mis. hipertensi dalam kehamilan, perdarahan antepartum, persalinan preterm) mengasumsikan pembaca telah menguasai batas fisiologis normal yang diuraikan dalam buku ini. Dengan demikian, capaian pembelajaran buku B2 berfungsi sebagai baseline diagnostik: kemampuan menyatakan "ini fisiologis" dengan yakin adalah prasyarat kemampuan mengenali "ini penyulit" pada buku-buku berikutnya.</w:t>
      </w:r>
    </w:p>
    <w:p>
      <w:pPr>
        <w:spacing w:after="160" w:line="300"/>
      </w:pPr>
      <w:r>
        <w:rPr>
          <w:color w:val="334155"/>
          <w:sz w:val="22"/>
          <w:szCs w:val="22"/>
        </w:rPr>
        <w:t xml:space="preserve">Materi pada seluruh bab telah disusun mengacu pada pedoman internasional versi terkini yang berlaku per Agustus 2026, mencakup pembaruan WHO tahun 2022 dan 2025, ISUOG 2023, dan RCOG 2024, sebagaimana dirujuk pada bab-bab substantif dan didaftar lengkap pada Kepustakaan di bagian akhir buku.</w:t>
      </w:r>
    </w:p>
    <w:p>
      <w:pPr>
        <w:spacing w:after="100" w:before="120"/>
      </w:pPr>
      <w:r>
        <w:rPr>
          <w:rFonts w:ascii="IBM Plex Sans" w:cs="IBM Plex Sans" w:eastAsia="IBM Plex Sans" w:hAnsi="IBM Plex Sans"/>
          <w:b/>
          <w:bCs/>
          <w:i/>
          <w:iCs/>
          <w:color w:val="B45309"/>
          <w:sz w:val="19"/>
          <w:szCs w:val="19"/>
        </w:rPr>
        <w:t xml:space="preserve">Tabel I.1 — Struktur dan Keterkaitan Bab dalam Buku Tematik B2</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cantSplit/>
          <w:tblHeader/>
        </w:trPr>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Bab</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Fokus Substansi</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Keterkaitan Entri Tabel 7</w:t>
            </w:r>
          </w:p>
        </w:tc>
      </w:tr>
      <w:tr>
        <w:trPr>
          <w:cantSplit/>
        </w:trP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II</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Fisiologi kehamilan normal dan kriteria kehamilan tanpa penyulit</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No. 1</w:t>
            </w:r>
          </w:p>
        </w:tc>
      </w:tr>
      <w:tr>
        <w:trPr>
          <w:cantSplit/>
        </w:trP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III</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Klasifikasi dan tata laksana keluhan ringan kehamilan</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No. 2</w:t>
            </w:r>
          </w:p>
        </w:tc>
      </w:tr>
      <w:tr>
        <w:trPr>
          <w:cantSplit/>
        </w:trP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IV</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Kerangka kunjungan dan skrining antenatal terstandar</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No. 1–2 (kerangka umum)</w:t>
            </w:r>
          </w:p>
        </w:tc>
      </w:tr>
      <w:tr>
        <w:trPr>
          <w:cantSplit/>
        </w:trP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V</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Kehamilan remaja dan perencanaan kontrasepsi pascasalin</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No. 69, 70 (konteks No. 38)</w:t>
            </w:r>
          </w:p>
        </w:tc>
      </w:tr>
      <w:tr>
        <w:trPr>
          <w:cantSplit/>
        </w:trP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VI</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Perbandingan standar nasional dan internasional</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Lintas entri</w:t>
            </w:r>
          </w:p>
        </w:tc>
      </w:tr>
      <w:tr>
        <w:trPr>
          <w:cantSplit/>
        </w:trP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VII</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Kontribusi perspektif Divisi Fetomaternal</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Lintas entri</w:t>
            </w:r>
          </w:p>
        </w:tc>
      </w:tr>
    </w:tbl>
    <w:p>
      <w:pPr>
        <w:spacing w:after="160"/>
      </w:pPr>
    </w:p>
    <w:p>
      <w:pPr>
        <w:pStyle w:val="Heading1"/>
        <w:pageBreakBefore/>
        <w:spacing w:after="200" w:before="300"/>
      </w:pPr>
      <w:r>
        <w:t xml:space="preserve">Bab II  Fisiologi Kehamilan Normal</w:t>
      </w:r>
    </w:p>
    <w:p>
      <w:pPr>
        <w:pStyle w:val="Heading2"/>
        <w:spacing w:after="140" w:before="240"/>
      </w:pPr>
      <w:r>
        <w:t xml:space="preserve">2.1 Perubahan Anatomi-Fisiologi Maternal</w:t>
      </w:r>
    </w:p>
    <w:p>
      <w:pPr>
        <w:spacing w:after="160" w:line="300"/>
      </w:pPr>
      <w:r>
        <w:rPr>
          <w:color w:val="334155"/>
          <w:sz w:val="22"/>
          <w:szCs w:val="22"/>
        </w:rPr>
        <w:t xml:space="preserve">Kehamilan menginduksi adaptasi fisiologis menyeluruh pada hampir seluruh sistem organ maternal, didorong oleh perubahan hormonal (peningkatan human chorionic gonadotropin/hCG, estrogen, progesteron, relaxin) dan kebutuhan metabolik unit fetoplasenta yang terus meningkat. Pemahaman menyeluruh terhadap adaptasi ini penting agar peserta didik mampu membedakan perubahan fisiologis normal dari tanda dini penyulit.</w:t>
      </w:r>
    </w:p>
    <w:p>
      <w:pPr>
        <w:spacing w:after="160" w:line="300"/>
      </w:pPr>
      <w:r>
        <w:rPr>
          <w:color w:val="334155"/>
          <w:sz w:val="22"/>
          <w:szCs w:val="22"/>
        </w:rPr>
        <w:t xml:space="preserve">Sistem kardiovaskular mengalami perubahan paling nyata: curah jantung (cardiac output) meningkat sekitar 30–50% di atas nilai pra-hamil, mencapai puncak pada akhir trimester kedua, didorong oleh peningkatan volume sekuncup (stroke volume) dan denyut jantung. Resistensi vaskular sistemik menurun akibat efek vasodilatasi progesteron dan sirkulasi uteroplasenta bertekanan-rendah, sehingga tekanan darah diastolik cenderung menurun pada trimester kedua sebelum kembali ke nilai basal menjelang aterm. Volume plasma meningkat lebih besar (hingga 40–50%) dibandingkan peningkatan massa eritrosit (~20–30%), menghasilkan hemodilusi fisiologis atau "anemia fisiologis kehamilan" — kadar hemoglobin turun meski massa eritrosit total tetap bertambah.</w:t>
      </w:r>
    </w:p>
    <w:p>
      <w:pPr>
        <w:spacing w:after="160" w:line="300"/>
      </w:pPr>
      <w:r>
        <w:rPr>
          <w:color w:val="334155"/>
          <w:sz w:val="22"/>
          <w:szCs w:val="22"/>
        </w:rPr>
        <w:t xml:space="preserve">Sistem respirasi menunjukkan peningkatan ventilasi semenit hingga 30–50%, terutama melalui peningkatan volume tidal, didorong oleh efek progesteron pada pusat pernapasan. Hal ini menghasilkan hiperventilasi fisiologis ringan dengan penurunan PaCO2 (sekitar 27–32 mmHg) yang memfasilitasi transfer CO2 fetus ke maternal. Diafragma terangkat akibat pembesaran uterus, namun kapasitas vital tetap dipertahankan melalui pelebaran diameter toraks.</w:t>
      </w:r>
    </w:p>
    <w:p>
      <w:pPr>
        <w:spacing w:after="160" w:line="300"/>
      </w:pPr>
      <w:r>
        <w:rPr>
          <w:color w:val="334155"/>
          <w:sz w:val="22"/>
          <w:szCs w:val="22"/>
        </w:rPr>
        <w:t xml:space="preserve">Sistem renal mengalami peningkatan laju filtrasi glomerulus (GFR) dan aliran plasma renal hingga 40–65% pada trimester pertama, menyebabkan penurunan kadar kreatinin dan ureum serum di bawah nilai rujukan populasi umum — nilai yang secara klinis dianggap "normal" pada populasi tidak hamil dapat merepresentasikan gangguan fungsi ginjal pada kehamilan. Dilatasi sistem pelvikalises dan ureter (lebih dominan kanan) akibat efek progesteron dan kompresi mekanis oleh uterus gravid meningkatkan risiko stasis urin dan pielonefritis.</w:t>
      </w:r>
    </w:p>
    <w:p>
      <w:pPr>
        <w:spacing w:after="160" w:line="300"/>
      </w:pPr>
      <w:r>
        <w:rPr>
          <w:color w:val="334155"/>
          <w:sz w:val="22"/>
          <w:szCs w:val="22"/>
        </w:rPr>
        <w:t xml:space="preserve">Sistem hematologi, selain hemodilusi, menunjukkan keadaan hiperkoagulasi fisiologis — peningkatan faktor pembekuan (fibrinogen, faktor VII, VIII, X) dan penurunan aktivitas fibrinolitik, sebagai mekanisme protektif terhadap perdarahan saat persalinan, namun turut meningkatkan risiko tromboemboli vena selama kehamilan dan masa nifas.</w:t>
      </w:r>
    </w:p>
    <w:p>
      <w:pPr>
        <w:spacing w:after="160" w:line="300"/>
      </w:pPr>
      <w:r>
        <w:rPr>
          <w:color w:val="334155"/>
          <w:sz w:val="22"/>
          <w:szCs w:val="22"/>
        </w:rPr>
        <w:t xml:space="preserve">Sistem endokrin mengalami perubahan luas: plasenta berfungsi sebagai organ endokrin aktif memproduksi hCG, human placental lactogen (hPL), estrogen, dan progesteron. Resistensi insulin meningkat progresif — terutama trimester kedua dan ketiga — akibat efek diabetogenik hPL, kortisol, dan progesteron, sehingga kebutuhan insulin maternal meningkat untuk mempertahankan euglikemia; mekanisme ini mendasari kerentanan terhadap diabetes melitus gestasional pada individu dengan cadangan fungsi sel beta pankreas terbatas.</w:t>
      </w:r>
    </w:p>
    <w:p>
      <w:pPr>
        <w:spacing w:after="160" w:line="300"/>
      </w:pPr>
      <w:r>
        <w:rPr>
          <w:color w:val="334155"/>
          <w:sz w:val="22"/>
          <w:szCs w:val="22"/>
        </w:rPr>
        <w:t xml:space="preserve">Sistem gastrointestinal menunjukkan penurunan motilitas akibat efek relaksan progesteron pada otot polos, memperlambat pengosongan lambung dan transit usus, serta relaksasi sfingter esofagus bawah yang mendasari keluhan refluks. Sistem muskuloskeletal beradaptasi terhadap pergeseran pusat gravitasi akibat pembesaran uterus dan payudara, disertai efek relaxin yang melonggarkan ligamen sendi sakroiliaka dan simfisis pubis — mendasari keluhan nyeri punggung bawah dan panggul. Perubahan dermatologis meliputi hiperpigmentasi (linea nigra, melasma), striae gravidarum akibat regangan mekanis dan efek hormonal pada kolagen dermis, serta perubahan vaskular seperti spider angioma dan eritema palmar akibat peningkatan estrogen.</w:t>
      </w:r>
    </w:p>
    <w:p>
      <w:pPr>
        <w:spacing w:after="100" w:before="120"/>
      </w:pPr>
      <w:r>
        <w:rPr>
          <w:rFonts w:ascii="IBM Plex Sans" w:cs="IBM Plex Sans" w:eastAsia="IBM Plex Sans" w:hAnsi="IBM Plex Sans"/>
          <w:b/>
          <w:bCs/>
          <w:i/>
          <w:iCs/>
          <w:color w:val="B45309"/>
          <w:sz w:val="19"/>
          <w:szCs w:val="19"/>
        </w:rPr>
        <w:t xml:space="preserve">Tabel II.1 — Ringkasan Adaptasi Fisiologis Maternal per Sistem Organ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cantSplit/>
          <w:tblHeader/>
        </w:trPr>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Sistem</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Perubahan Utama</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Implikasi Klinis pada Interpretasi Pemeriksaan</w:t>
            </w:r>
          </w:p>
        </w:tc>
      </w:tr>
      <w:tr>
        <w:trPr>
          <w:cantSplit/>
        </w:trP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Kardiovaskular</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Curah jantung ↑30–50%, resistensi vaskular sistemik ↓, volume plasma ↑40–50%</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Tekanan darah diastolik fisiologis lebih rendah pada trimester kedua; hemodilusi menurunkan hemoglobin meski massa eritrosit bertambah</w:t>
            </w:r>
          </w:p>
        </w:tc>
      </w:tr>
      <w:tr>
        <w:trPr>
          <w:cantSplit/>
        </w:trP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Respirasi</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Ventilasi semenit ↑30–50%, PaCO2 turun ke 27–32 mmHg</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Hiperventilasi ringan dan sesak subjektif pada aktivitas adalah temuan fisiologis, bukan otomatis tanda penyulit kardiopulmoner</w:t>
            </w:r>
          </w:p>
        </w:tc>
      </w:tr>
      <w:tr>
        <w:trPr>
          <w:cantSplit/>
        </w:trP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Renal</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GFR dan aliran plasma renal ↑40–65%, dilatasi pelvikalises/ureter</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Kreatinin dan ureum serum yang "normal" pada populasi umum dapat merepresentasikan gangguan fungsi ginjal pada kehamilan</w:t>
            </w:r>
          </w:p>
        </w:tc>
      </w:tr>
      <w:tr>
        <w:trPr>
          <w:cantSplit/>
        </w:trP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Hematologi</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Hiperkoagulasi fisiologis, penurunan aktivitas fibrinolitik</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Peningkatan risiko tromboemboli vena sepanjang kehamilan dan masa nifas; kewaspadaan pada faktor risiko tambahan</w:t>
            </w:r>
          </w:p>
        </w:tc>
      </w:tr>
      <w:tr>
        <w:trPr>
          <w:cantSplit/>
        </w:trP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Endokrin/Metabolik</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Resistensi insulin progresif akibat hPL, kortisol, progesteron</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Mendasari kerentanan diabetes melitus gestasional; relevan untuk jendela skrining pada Bab IV</w:t>
            </w:r>
          </w:p>
        </w:tc>
      </w:tr>
      <w:tr>
        <w:trPr>
          <w:cantSplit/>
        </w:trP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Gastrointestinal</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Penurunan motilitas lambung-usus, relaksasi sfingter esofagus bawah</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Mendasari keluhan refluks dan konstipasi yang dibahas pada Bab III sebagai keluhan fisiologis</w:t>
            </w:r>
          </w:p>
        </w:tc>
      </w:tr>
      <w:tr>
        <w:trPr>
          <w:cantSplit/>
        </w:trP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Muskuloskeletal</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Pergeseran pusat gravitasi, pelonggaran ligamen oleh relaxin</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Mendasari nyeri punggung/panggul fisiologis; perlu dibedakan dari nyeri dengan tanda neurologis</w:t>
            </w:r>
          </w:p>
        </w:tc>
      </w:tr>
    </w:tbl>
    <w:p>
      <w:pPr>
        <w:spacing w:after="160"/>
      </w:pPr>
    </w:p>
    <w:p>
      <w:pPr>
        <w:pStyle w:val="Heading2"/>
        <w:spacing w:after="140" w:before="240"/>
      </w:pPr>
      <w:r>
        <w:t xml:space="preserve">2.2 Kriteria Kehamilan Tanpa Penyulit</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40"/>
              <w:bottom w:type="dxa" w:w="160"/>
              <w:right w:type="dxa" w:w="240"/>
            </w:tcMar>
          </w:tcPr>
          <w:p>
            <w:pPr>
              <w:spacing w:after="60"/>
            </w:pPr>
            <w:r>
              <w:rPr>
                <w:rFonts w:ascii="IBM Plex Sans" w:cs="IBM Plex Sans" w:eastAsia="IBM Plex Sans" w:hAnsi="IBM Plex Sans"/>
                <w:b/>
                <w:bCs/>
                <w:color w:val="B45309"/>
                <w:sz w:val="18"/>
                <w:szCs w:val="18"/>
              </w:rPr>
              <w:t xml:space="preserve">DASAR REGULASI</w:t>
            </w:r>
          </w:p>
          <w:p>
            <w:pPr>
              <w:spacing w:after="80"/>
            </w:pPr>
            <w:r>
              <w:rPr>
                <w:rFonts w:ascii="IBM Plex Sans" w:cs="IBM Plex Sans" w:eastAsia="IBM Plex Sans" w:hAnsi="IBM Plex Sans"/>
                <w:i/>
                <w:iCs/>
                <w:color w:val="334155"/>
                <w:sz w:val="20"/>
                <w:szCs w:val="20"/>
              </w:rPr>
              <w:t xml:space="preserve">Rujukan Tabel 7 Kepkonsil No. HK.01.02/KKI/1318/2026 untuk subbab ini:</w:t>
            </w:r>
          </w:p>
          <w:p>
            <w:pPr>
              <w:spacing w:after="40"/>
            </w:pPr>
            <w:r>
              <w:rPr>
                <w:rFonts w:ascii="IBM Plex Mono" w:cs="IBM Plex Mono" w:eastAsia="IBM Plex Mono" w:hAnsi="IBM Plex Mono"/>
                <w:b/>
                <w:bCs/>
                <w:color w:val="334155"/>
                <w:sz w:val="18"/>
                <w:szCs w:val="18"/>
              </w:rPr>
              <w:t xml:space="preserve">Tabel 7 No. 1 — Kehamilan tanpa penyulit (Pregnancy without complication) </w:t>
            </w:r>
            <w:r>
              <w:rPr>
                <w:rFonts w:ascii="IBM Plex Mono" w:cs="IBM Plex Mono" w:eastAsia="IBM Plex Mono" w:hAnsi="IBM Plex Mono"/>
                <w:color w:val="4F46E5"/>
                <w:sz w:val="18"/>
                <w:szCs w:val="18"/>
              </w:rPr>
              <w:t xml:space="preserve">ICD-10: Z34 · ICD-11: QA42</w:t>
            </w:r>
          </w:p>
        </w:tc>
      </w:tr>
    </w:tbl>
    <w:p>
      <w:pPr>
        <w:spacing w:after="160"/>
      </w:pPr>
    </w:p>
    <w:p>
      <w:pPr>
        <w:spacing w:after="160" w:line="300"/>
      </w:pPr>
      <w:r>
        <w:rPr>
          <w:color w:val="334155"/>
          <w:sz w:val="22"/>
          <w:szCs w:val="22"/>
        </w:rPr>
        <w:t xml:space="preserve">Tabel 7 Kepkonsil No. HK.01.02/KKI/1318/2026 entri No. 1 mendefinisikan "Kehamilan tanpa penyulit" (Pregnancy without complication, ICD-10 Z34, ICD-11 QA42) sebagai kehamilan normal pada ibu sehat tanpa komplikasi. Klasifikasi ini menjadi kompetensi dasar yang wajib dikuasai seluruh dokter spesialis obstetri dan ginekologi maupun subspesialis, karena kemampuan mengenali kehamilan risiko rendah secara akurat adalah prasyarat efisiensi sistem rujukan berjenjang.</w:t>
      </w:r>
    </w:p>
    <w:p>
      <w:pPr>
        <w:spacing w:after="160" w:line="300"/>
      </w:pPr>
      <w:r>
        <w:rPr>
          <w:color w:val="334155"/>
          <w:sz w:val="22"/>
          <w:szCs w:val="22"/>
        </w:rPr>
        <w:t xml:space="preserve">Secara operasional, kehamilan tanpa penyulit dicirikan oleh: riwayat obstetri dan ginekologi tanpa komplikasi bermakna pada kehamilan sebelumnya; tidak dijumpai penyakit penyerta kronis signifikan (hipertensi kronik, diabetes melitus pregestasional, penyakit jantung, penyakit ginjal, gangguan autoimun, dan lain-lain); parameter antropometri dan tanda vital dalam rentang normal untuk usia kehamilan; pertumbuhan janin sesuai kurva referensi tanpa kecurigaan restriksi maupun makrosomia; tidak dijumpai kelainan letak, posisi, atau jumlah janin yang berisiko; hasil skrining laboratorium dan pencitraan trimester berjalan dalam batas normal; serta tidak dijumpai tanda dini gangguan hipertensi kehamilan, perdarahan antepartum, atau ancaman persalinan preterm.</w:t>
      </w:r>
    </w:p>
    <w:p>
      <w:pPr>
        <w:spacing w:after="160" w:line="300"/>
      </w:pPr>
      <w:r>
        <w:rPr>
          <w:color w:val="334155"/>
          <w:sz w:val="22"/>
          <w:szCs w:val="22"/>
        </w:rPr>
        <w:t xml:space="preserve">Klasifikasi status risiko bersifat dinamis, bukan penetapan tunggal pada kunjungan pertama. Setiap kunjungan antenatal berikutnya wajib mengevaluasi ulang status ini, karena kehamilan tanpa penyulit dapat berubah menjadi kehamilan berisiko pada usia kehamilan mana pun. Penilaian ulang berkelanjutan inilah yang mendasari struktur kunjungan antenatal terstandar yang dibahas pada Bab IV.</w:t>
      </w:r>
    </w:p>
    <w:p>
      <w:pPr>
        <w:pStyle w:val="Heading1"/>
        <w:pageBreakBefore/>
        <w:spacing w:after="200" w:before="300"/>
      </w:pPr>
      <w:r>
        <w:t xml:space="preserve">Bab III  Keluhan Ringan Kehamilan</w:t>
      </w:r>
    </w:p>
    <w:p>
      <w:pPr>
        <w:pStyle w:val="Heading2"/>
        <w:spacing w:after="140" w:before="240"/>
      </w:pPr>
      <w:r>
        <w:t xml:space="preserve">3.1 Klasifikasi dan Tata Laksana</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40"/>
              <w:bottom w:type="dxa" w:w="160"/>
              <w:right w:type="dxa" w:w="240"/>
            </w:tcMar>
          </w:tcPr>
          <w:p>
            <w:pPr>
              <w:spacing w:after="60"/>
            </w:pPr>
            <w:r>
              <w:rPr>
                <w:rFonts w:ascii="IBM Plex Sans" w:cs="IBM Plex Sans" w:eastAsia="IBM Plex Sans" w:hAnsi="IBM Plex Sans"/>
                <w:b/>
                <w:bCs/>
                <w:color w:val="B45309"/>
                <w:sz w:val="18"/>
                <w:szCs w:val="18"/>
              </w:rPr>
              <w:t xml:space="preserve">DASAR REGULASI</w:t>
            </w:r>
          </w:p>
          <w:p>
            <w:pPr>
              <w:spacing w:after="80"/>
            </w:pPr>
            <w:r>
              <w:rPr>
                <w:rFonts w:ascii="IBM Plex Sans" w:cs="IBM Plex Sans" w:eastAsia="IBM Plex Sans" w:hAnsi="IBM Plex Sans"/>
                <w:i/>
                <w:iCs/>
                <w:color w:val="334155"/>
                <w:sz w:val="20"/>
                <w:szCs w:val="20"/>
              </w:rPr>
              <w:t xml:space="preserve">Rujukan Tabel 7 Kepkonsil No. HK.01.02/KKI/1318/2026 untuk subbab ini:</w:t>
            </w:r>
          </w:p>
          <w:p>
            <w:pPr>
              <w:spacing w:after="40"/>
            </w:pPr>
            <w:r>
              <w:rPr>
                <w:rFonts w:ascii="IBM Plex Mono" w:cs="IBM Plex Mono" w:eastAsia="IBM Plex Mono" w:hAnsi="IBM Plex Mono"/>
                <w:b/>
                <w:bCs/>
                <w:color w:val="334155"/>
                <w:sz w:val="18"/>
                <w:szCs w:val="18"/>
              </w:rPr>
              <w:t xml:space="preserve">Tabel 7 No. 2 — Masalah ringan pada kehamilan (nyeri punggung, striae gravidarum, epistaksis, dll.) (Mild problems in pregnancy) </w:t>
            </w:r>
            <w:r>
              <w:rPr>
                <w:rFonts w:ascii="IBM Plex Mono" w:cs="IBM Plex Mono" w:eastAsia="IBM Plex Mono" w:hAnsi="IBM Plex Mono"/>
                <w:color w:val="4F46E5"/>
                <w:sz w:val="18"/>
                <w:szCs w:val="18"/>
              </w:rPr>
              <w:t xml:space="preserve">ICD-10: O26.9 (M54.5; L90.9; R04.0) · ICD-11: QA4Y (ME84.2; EE40.10; MD20)</w:t>
            </w:r>
          </w:p>
        </w:tc>
      </w:tr>
    </w:tbl>
    <w:p>
      <w:pPr>
        <w:spacing w:after="160"/>
      </w:pPr>
    </w:p>
    <w:p>
      <w:pPr>
        <w:spacing w:after="160" w:line="300"/>
      </w:pPr>
      <w:r>
        <w:rPr>
          <w:color w:val="334155"/>
          <w:sz w:val="22"/>
          <w:szCs w:val="22"/>
        </w:rPr>
        <w:t xml:space="preserve">Tabel 7 Kepkonsil entri No. 2 mengelompokkan "Masalah ringan pada kehamilan" (Mild problems in pregnancy) di bawah kode ICD-10 utama O26.9 dengan padanan spesifik M54.5 (nyeri punggung bawah), L90.9 (kelainan atrofik kulit, mencakup striae), dan R04.0 (epistaksis); serta ICD-11 QA4Y dengan padanan ME84.2, EE40.10, dan MD20. Kategori ini mencakup mayoritas keluhan yang dialami ibu hamil dan bersifat fisiologis-adaptif, namun tetap memerlukan edukasi dan tata laksana suportif agar tidak mengganggu kualitas hidup maupun menutupi tanda penyulit yang menyerupai gejalanya.</w:t>
      </w:r>
    </w:p>
    <w:p>
      <w:pPr>
        <w:spacing w:after="160" w:line="300"/>
      </w:pPr>
      <w:r>
        <w:rPr>
          <w:color w:val="334155"/>
          <w:sz w:val="22"/>
          <w:szCs w:val="22"/>
        </w:rPr>
        <w:t xml:space="preserve">Untuk mual muntah kehamilan (nausea and vomiting of pregnancy/NVP), Royal College of Obstetricians and Gynaecologists memperbarui pedomannya pada tahun 2024: indeks tervalidasi seperti Pregnancy-Unique Quantification of Emesis (PUQE) direkomendasikan untuk mengklasifikasikan keparahan NVP dan hiperemesis gravidarum (HG) secara objektif, dan ketonuria tidak lagi digunakan sebagai penanda tunggal derajat dehidrasi meskipun kehadirannya tetap relevan sebagai bagian penilaian klinis menyeluruh.[8]</w:t>
      </w:r>
    </w:p>
    <w:p>
      <w:pPr>
        <w:spacing w:after="100" w:before="120"/>
      </w:pPr>
      <w:r>
        <w:rPr>
          <w:rFonts w:ascii="IBM Plex Sans" w:cs="IBM Plex Sans" w:eastAsia="IBM Plex Sans" w:hAnsi="IBM Plex Sans"/>
          <w:b/>
          <w:bCs/>
          <w:i/>
          <w:iCs/>
          <w:color w:val="B45309"/>
          <w:sz w:val="19"/>
          <w:szCs w:val="19"/>
        </w:rPr>
        <w:t xml:space="preserve">Tabel III.1 — Keluhan Ringan Kehamilan yang Lazim dan Prinsip Tata Laksana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cantSplit/>
          <w:tblHeader/>
        </w:trPr>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Keluhan</w:t>
            </w:r>
          </w:p>
        </w:tc>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Dasar Fisiologis</w:t>
            </w:r>
          </w:p>
        </w:tc>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Tata Laksana Lini Pertama</w:t>
            </w:r>
          </w:p>
        </w:tc>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Tanda Bahaya yang Perlu Disingkirkan</w:t>
            </w:r>
          </w:p>
        </w:tc>
      </w:tr>
      <w:tr>
        <w:trPr>
          <w:cantSplit/>
        </w:trPr>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Nyeri punggung dan panggul</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Pergeseran pusat gravitasi, pelonggaran ligamen oleh relaxin</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Postur, alas kaki suportif, kompres hangat, latihan penguatan otot inti; hindari analgesik tanpa indikasi</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Nyeri hebat mendadak, demam, gejala neurologis (curiga infeksi/penyulit spinal)</w:t>
            </w:r>
          </w:p>
        </w:tc>
      </w:tr>
      <w:tr>
        <w:trPr>
          <w:cantSplit/>
        </w:trPr>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Striae gravidarum</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Regangan mekanis dermis, perubahan kolagen akibat hormon</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Edukasi bahwa lesi bersifat kosmetik dan umumnya memudar pascapersalinan; pelembap sebagai kenyamanan, bukan pencegahan terbukti</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w:t>
            </w:r>
          </w:p>
        </w:tc>
      </w:tr>
      <w:tr>
        <w:trPr>
          <w:cantSplit/>
        </w:trPr>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Epistaksis</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Kongesti vaskular mukosa hidung akibat estrogen</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Kompresi ala nasi 5–10 menit, humidifikasi udara, hindari manipulasi hidung</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Epistaksis masif atau berulang (curiga gangguan koagulasi)</w:t>
            </w:r>
          </w:p>
        </w:tc>
      </w:tr>
      <w:tr>
        <w:trPr>
          <w:cantSplit/>
        </w:trPr>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Mual muntah (nausea gravidarum)</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Peningkatan hCG dan estrogen, perlambatan motilitas lambung</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Porsi kecil sering, hindari pencetus bau/rasa, jahe, vitamin B6; skor PUQE untuk menilai keparahan[8]</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Muntah persisten dengan penurunan berat badan &gt;5%, tidak dapat mempertahankan asupan oral (curiga hiperemesis gravidarum)[8]</w:t>
            </w:r>
          </w:p>
        </w:tc>
      </w:tr>
      <w:tr>
        <w:trPr>
          <w:cantSplit/>
        </w:trPr>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Pirosis (heartburn)</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Relaksasi sfingter esofagus bawah, perlambatan pengosongan lambung</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Porsi kecil sering, hindari berbaring segera setelah makan, elevasi kepala saat tidur, antasida bila perlu</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Nyeri epigastrium hebat disertai hipertensi (curiga preeklamsia dengan gambaran berat)</w:t>
            </w:r>
          </w:p>
        </w:tc>
      </w:tr>
      <w:tr>
        <w:trPr>
          <w:cantSplit/>
        </w:trPr>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Kram tungkai</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Perubahan metabolisme kalsium-magnesium, kompresi vaskular</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Peregangan betis, hidrasi adekuat, suplementasi magnesium bila berulang</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Nyeri unilateral menetap dengan pembengkakan (curiga trombosis vena dalam)</w:t>
            </w:r>
          </w:p>
        </w:tc>
      </w:tr>
      <w:tr>
        <w:trPr>
          <w:cantSplit/>
        </w:trPr>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Hemoroid dan konstipasi</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Perlambatan motilitas usus, peningkatan tekanan vena pelvis</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Asupan serat dan cairan, aktivitas fisik ringan, laksatif pembentuk bulk bila perlu</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Perdarahan rektal masif, nyeri hebat</w:t>
            </w:r>
          </w:p>
        </w:tc>
      </w:tr>
      <w:tr>
        <w:trPr>
          <w:cantSplit/>
        </w:trPr>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Edema tungkai fisiologis</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Peningkatan tekanan vena akibat kompresi uterus, retensi natrium</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Elevasi tungkai, hindari berdiri lama, stoking kompresi</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Edema wajah/tangan mendadak disertai hipertensi dan proteinuria (curiga preeklamsia)</w:t>
            </w:r>
          </w:p>
        </w:tc>
      </w:tr>
    </w:tbl>
    <w:p>
      <w:pPr>
        <w:spacing w:after="160"/>
      </w:pPr>
    </w:p>
    <w:p>
      <w:pPr>
        <w:pStyle w:val="Heading2"/>
        <w:spacing w:after="140" w:before="240"/>
      </w:pPr>
      <w:r>
        <w:t xml:space="preserve">3.2 Edukasi Pencegahan</w:t>
      </w:r>
    </w:p>
    <w:p>
      <w:pPr>
        <w:spacing w:after="160" w:line="300"/>
      </w:pPr>
      <w:r>
        <w:rPr>
          <w:color w:val="334155"/>
          <w:sz w:val="22"/>
          <w:szCs w:val="22"/>
        </w:rPr>
        <w:t xml:space="preserve">Edukasi antisipatif (anticipatory guidance) merupakan komponen inti asuhan antenatal fisiologis. Setiap kunjungan sebaiknya menyertakan penjelasan proaktif mengenai keluhan yang lazim muncul pada rentang usia kehamilan berikutnya, disertai strategi pencegahan dan kapan harus mencari pertolongan. Pendekatan ini menurunkan kecemasan ibu, meningkatkan kepatuhan terhadap jadwal kunjungan, dan — yang terpenting — membekali ibu dengan kemampuan membedakan keluhan fisiologis dari tanda bahaya kehamilan (danger signs).</w:t>
      </w:r>
    </w:p>
    <w:p>
      <w:pPr>
        <w:spacing w:after="160" w:line="300"/>
      </w:pPr>
      <w:r>
        <w:rPr>
          <w:color w:val="334155"/>
          <w:sz w:val="22"/>
          <w:szCs w:val="22"/>
        </w:rPr>
        <w:t xml:space="preserve">Materi edukasi pencegahan yang direkomendasikan mencakup: nutrisi seimbang dan suplementasi (asam folat, zat besi, kalsium sesuai rekomendasi nasional), aktivitas fisik aman selama kehamilan, kebersihan diri dan pencegahan infeksi, pengenalan tanda bahaya kehamilan (perdarahan pervaginam, sakit kepala hebat, pandangan kabur, nyeri epigastrium, penurunan gerak janin, ketuban pecah dini, kontraksi preterm), serta rencana persalinan dan kesiapsiagaan komplikasi (birth preparedness and complication readiness). Edukasi ini didokumentasikan secara terstruktur pada setiap kunjungan sebagai bagian dari indikator mutu asuhan antenatal.</w:t>
      </w:r>
    </w:p>
    <w:p>
      <w:pPr>
        <w:spacing w:after="160" w:line="300"/>
      </w:pPr>
      <w:r>
        <w:rPr>
          <w:color w:val="334155"/>
          <w:sz w:val="22"/>
          <w:szCs w:val="22"/>
        </w:rPr>
        <w:t xml:space="preserve">Penyampaian edukasi pencegahan sebaiknya disesuaikan dengan tahap kehamilan agar relevan dan tidak membebani ibu dengan informasi berlebihan pada satu waktu. Pada trimester pertama, fokus edukasi pada suplementasi asam folat, pengenalan tanda keguguran, dan penyesuaian gaya hidup (nutrisi, aktivitas, penghentian paparan berisiko seperti rokok dan alkohol). Pada trimester kedua, edukasi bergeser pada pengenalan gerak janin, tanda dini gangguan hipertensi kehamilan, dan persiapan menghadapi keluhan muskuloskeletal yang mulai muncul. Pada trimester ketiga, edukasi difokuskan pada pengenalan tanda persalinan, kesiapsiagaan komplikasi, rencana tempat bersalin dan pendamping, serta — sebagaimana diuraikan pada Bab V — konseling awal metode kontrasepsi pascasalin.</w:t>
      </w:r>
    </w:p>
    <w:p>
      <w:pPr>
        <w:pStyle w:val="Heading1"/>
        <w:pageBreakBefore/>
        <w:spacing w:after="200" w:before="300"/>
      </w:pPr>
      <w:r>
        <w:t xml:space="preserve">Bab IV  Asuhan Antenatal Terstandar</w:t>
      </w:r>
    </w:p>
    <w:p>
      <w:pPr>
        <w:pStyle w:val="Heading2"/>
        <w:spacing w:after="140" w:before="240"/>
      </w:pPr>
      <w:r>
        <w:t xml:space="preserve">4.1 Jadwal dan Komponen Kunjungan ANC sesuai WHO ANC Model 2016</w:t>
      </w:r>
    </w:p>
    <w:p>
      <w:pPr>
        <w:spacing w:after="160" w:line="300"/>
      </w:pPr>
      <w:r>
        <w:rPr>
          <w:color w:val="334155"/>
          <w:sz w:val="22"/>
          <w:szCs w:val="22"/>
        </w:rPr>
        <w:t xml:space="preserve">Model asuhan antenatal WHO 2016 (WHO Recommendations on Antenatal Care for a Positive Pregnancy Experience) merekomendasikan minimal delapan kali kontak (contact) antenatal sepanjang kehamilan, menggantikan model empat-kunjungan (Focused Antenatal Care) yang digunakan sebelumnya.[1] Perubahan terminologi dari "kunjungan" (visit) menjadi "kontak" (contact) menegaskan bahwa setiap pertemuan bukan sekadar pemeriksaan teknis, melainkan kesempatan komunikasi dua arah antara ibu hamil dan tenaga kesehatan.</w:t>
      </w:r>
    </w:p>
    <w:p>
      <w:pPr>
        <w:spacing w:after="160" w:line="300"/>
      </w:pPr>
      <w:r>
        <w:rPr>
          <w:color w:val="334155"/>
          <w:sz w:val="22"/>
          <w:szCs w:val="22"/>
        </w:rPr>
        <w:t xml:space="preserve">Jadwal delapan kontak yang direkomendasikan: kontak pertama pada trimester pertama (hingga 12 minggu), kontak kedua (20 minggu), ketiga (26 minggu), keempat (30 minggu), kelima (34 minggu), keenam (36 minggu), ketujuh (38 minggu), dan kedelapan (40 minggu). Jadwal ini disesuaikan dengan konteks pelayanan nasional Indonesia — yang secara tradisional menggunakan kerangka minimal 6 kali kunjungan (1-2-3) — sehingga institusi pendidikan wajib mengacu pada kebijakan program nasional Kementerian Kesehatan yang berlaku sebagai standar operasional pelayanan, dengan model WHO sebagai kerangka pengayaan dan rujukan mutu.</w:t>
      </w:r>
    </w:p>
    <w:p>
      <w:pPr>
        <w:spacing w:after="160" w:line="300"/>
      </w:pPr>
      <w:r>
        <w:rPr>
          <w:color w:val="334155"/>
          <w:sz w:val="22"/>
          <w:szCs w:val="22"/>
        </w:rPr>
        <w:t xml:space="preserve">Dasar bukti di balik pergeseran dari model kunjungan minimal (empat kali) ke model delapan kontak berasal dari tinjauan sistematis Cochrane: paket asuhan antenatal dengan jumlah kunjungan yang dikurangi dikaitkan dengan peningkatan risiko mortalitas perinatal yang mendekati batas kemaknaan statistik dibandingkan model standar, terutama pada penelitian di negara berpenghasilan rendah dan menengah.[9] Temuan inilah yang mendasari rekomendasi WHO untuk memperluas jumlah kontak minimal, bukan menguranginya, khususnya pada fasilitas dengan akses rujukan yang belum optimal.</w:t>
      </w:r>
    </w:p>
    <w:p>
      <w:pPr>
        <w:spacing w:after="160" w:line="300"/>
      </w:pPr>
      <w:r>
        <w:rPr>
          <w:color w:val="334155"/>
          <w:sz w:val="22"/>
          <w:szCs w:val="22"/>
        </w:rPr>
        <w:t xml:space="preserve">Setiap kontak antenatal, terlepas dari model jadwal yang digunakan, wajib memuat komponen inti: anamnesis terarah (keluhan, riwayat obstetri-ginekologi, faktor risiko), pemeriksaan fisik umum dan obstetri (tinggi fundus uteri, denyut jantung janin, tekanan darah, berat badan), pemeriksaan penunjang sesuai usia kehamilan, penapisan komplikasi, edukasi dan konseling sesuai kebutuhan trimester, serta pendokumentasian pada buku Kesehatan Ibu dan Anak (KIA) atau rekam medis elektronik yang setara.</w:t>
      </w:r>
    </w:p>
    <w:p>
      <w:pPr>
        <w:spacing w:after="160" w:line="300"/>
      </w:pPr>
      <w:r>
        <w:rPr>
          <w:color w:val="334155"/>
          <w:sz w:val="22"/>
          <w:szCs w:val="22"/>
        </w:rPr>
        <w:t xml:space="preserve">Kontinuitas pemberi asuhan (continuity of carer) merupakan prinsip yang ditekankan WHO ANC Model 2016 sebagai faktor yang meningkatkan pengalaman kehamilan positif — idealnya ibu hamil ditangani oleh tenaga kesehatan atau tim kecil yang sama sepanjang kehamilannya, karena hal ini memfasilitasi deteksi tren longitudinal sebagaimana dibahas pada kontribusi Divisi Fetomaternal (Bab VII) serta membangun kepercayaan yang mendukung keterbukaan ibu dalam melaporkan keluhan atau kekhawatiran, termasuk yang bersifat psikososial.</w:t>
      </w:r>
    </w:p>
    <w:p>
      <w:pPr>
        <w:spacing w:after="100" w:before="120"/>
      </w:pPr>
      <w:r>
        <w:rPr>
          <w:rFonts w:ascii="IBM Plex Sans" w:cs="IBM Plex Sans" w:eastAsia="IBM Plex Sans" w:hAnsi="IBM Plex Sans"/>
          <w:b/>
          <w:bCs/>
          <w:i/>
          <w:iCs/>
          <w:color w:val="B45309"/>
          <w:sz w:val="19"/>
          <w:szCs w:val="19"/>
        </w:rPr>
        <w:t xml:space="preserve">Tabel IV.1 — Komponen Inti yang Wajib Ada pada Setiap Kontak Antenatal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cantSplit/>
          <w:tblHeader/>
        </w:trPr>
        <w:tc>
          <w:tcPr>
            <w:tcW w:type="dxa" w:w="451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Komponen</w:t>
            </w:r>
          </w:p>
        </w:tc>
        <w:tc>
          <w:tcPr>
            <w:tcW w:type="dxa" w:w="451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Cakupan Minimal</w:t>
            </w:r>
          </w:p>
        </w:tc>
      </w:tr>
      <w:tr>
        <w:trPr>
          <w:cantSplit/>
        </w:trP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Anamnesis terarah</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Keluhan aktif, gerak janin (trimester III), riwayat obstetri-ginekologi, evaluasi ulang faktor risiko</w:t>
            </w:r>
          </w:p>
        </w:tc>
      </w:tr>
      <w:tr>
        <w:trPr>
          <w:cantSplit/>
        </w:trP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Pemeriksaan fisik umum dan obstetri</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Tekanan darah, berat badan, tinggi fundus uteri, denyut jantung janin, presentasi (trimester III)</w:t>
            </w:r>
          </w:p>
        </w:tc>
      </w:tr>
      <w:tr>
        <w:trPr>
          <w:cantSplit/>
        </w:trP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Pemeriksaan penunjang sesuai usia kehamilan</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Sesuai jadwal skrining berjenjang trimester (Tabel IV.2)</w:t>
            </w:r>
          </w:p>
        </w:tc>
      </w:tr>
      <w:tr>
        <w:trPr>
          <w:cantSplit/>
        </w:trP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Penapisan komplikasi</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Evaluasi tanda dini hipertensi kehamilan, restriksi pertumbuhan, ancaman persalinan preterm</w:t>
            </w:r>
          </w:p>
        </w:tc>
      </w:tr>
      <w:tr>
        <w:trPr>
          <w:cantSplit/>
        </w:trP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Edukasi dan konseling</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Sesuai kebutuhan trimester berjalan; mencakup tanda bahaya dan kesiapsiagaan persalinan</w:t>
            </w:r>
          </w:p>
        </w:tc>
      </w:tr>
      <w:tr>
        <w:trPr>
          <w:cantSplit/>
        </w:trP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Dokumentasi</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Buku KIA atau rekam medis elektronik setara, memuat seluruh temuan dan rencana tindak lanjut</w:t>
            </w:r>
          </w:p>
        </w:tc>
      </w:tr>
    </w:tbl>
    <w:p>
      <w:pPr>
        <w:spacing w:after="160"/>
      </w:pPr>
    </w:p>
    <w:p>
      <w:pPr>
        <w:pStyle w:val="Heading2"/>
        <w:spacing w:after="140" w:before="240"/>
      </w:pPr>
      <w:r>
        <w:t xml:space="preserve">4.2 Skrining Terstruktur Trimester</w:t>
      </w:r>
    </w:p>
    <w:p>
      <w:pPr>
        <w:spacing w:after="160" w:line="300"/>
      </w:pPr>
      <w:r>
        <w:rPr>
          <w:color w:val="334155"/>
          <w:sz w:val="22"/>
          <w:szCs w:val="22"/>
        </w:rPr>
        <w:t xml:space="preserve">Skrining antenatal disusun berjenjang sesuai usia kehamilan agar setiap kondisi terdeteksi pada jendela waktu yang memberikan manfaat intervensi maksimal. Pemeriksaan ultrasonografi awal kehamilan mengikuti pembaruan WHO tahun 2022 mengenai pencitraan sebelum usia kehamilan 24 minggu[2] serta pedoman ISUOG 2023 untuk pemindaian usia kehamilan 11–14 minggu, yang mencakup konfirmasi viabilitas, penentuan usia gestasi melalui pengukuran crown-rump length, penapisan kehamilan multipel beserta korionisitasnya, dan — pada fasilitas yang menyediakan layanan tersebut — pengukuran nuchal translucency untuk skrining aneuploidi serta penapisan risiko preeklamsia preterm.[5]</w:t>
      </w:r>
    </w:p>
    <w:p>
      <w:pPr>
        <w:spacing w:after="100" w:before="120"/>
      </w:pPr>
      <w:r>
        <w:rPr>
          <w:rFonts w:ascii="IBM Plex Sans" w:cs="IBM Plex Sans" w:eastAsia="IBM Plex Sans" w:hAnsi="IBM Plex Sans"/>
          <w:b/>
          <w:bCs/>
          <w:i/>
          <w:iCs/>
          <w:color w:val="B45309"/>
          <w:sz w:val="19"/>
          <w:szCs w:val="19"/>
        </w:rPr>
        <w:t xml:space="preserve">Tabel IV.2 — Skrining Terstruktur per Trimester pada Asuhan Antenatal Fisiologis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cantSplit/>
          <w:tblHeader/>
        </w:trPr>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Trimester/Usia Kehamilan</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Komponen Skrining</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Tujuan Klinis</w:t>
            </w:r>
          </w:p>
        </w:tc>
      </w:tr>
      <w:tr>
        <w:trPr>
          <w:cantSplit/>
        </w:trP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Trimester I (&lt;14 minggu)</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Golongan darah dan rhesus, hemoglobin, glukosa darah, HIV, sifilis, hepatitis B, urinalisis, USG penentuan usia kehamilan dan viabilitas (idealnya pada 11–14 minggu), skrining aneuploidi (bila tersedia dan atas indikasi/pilihan ibu)</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Konfirmasi kehamilan intrauterin dan usia gestasi akurat, deteksi dini faktor risiko infeksi dan hematologi, penetapan status risiko awal</w:t>
            </w:r>
          </w:p>
        </w:tc>
      </w:tr>
      <w:tr>
        <w:trPr>
          <w:cantSplit/>
        </w:trP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Trimester II (14–27 minggu)</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USG morfologi janin (18–22 minggu), skrining diabetes melitus gestasional (24–28 minggu)[3], pemantauan tekanan darah dan proteinuria berkala, ulang hemoglobin</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Deteksi kelainan struktural janin, deteksi diabetes gestasional pada jendela intervensi optimal, deteksi dini gangguan hipertensi kehamilan</w:t>
            </w:r>
          </w:p>
        </w:tc>
      </w:tr>
      <w:tr>
        <w:trPr>
          <w:cantSplit/>
        </w:trP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Trimester III (≥28 minggu)</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Pemantauan pertumbuhan janin (tinggi fundus/USG bila indikasi), presentasi janin, hemoglobin ulang, skrining Streptococcus grup B (35–37 minggu bila tersedia), pemantauan gerak janin</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Deteksi restriksi pertumbuhan janin atau makrosomia, persiapan persalinan, pencegahan sepsis neonatal dini</w:t>
            </w:r>
          </w:p>
        </w:tc>
      </w:tr>
    </w:tbl>
    <w:p>
      <w:pPr>
        <w:spacing w:after="160"/>
      </w:pPr>
    </w:p>
    <w:p>
      <w:pPr>
        <w:spacing w:after="160" w:line="300"/>
      </w:pPr>
      <w:r>
        <w:rPr>
          <w:color w:val="334155"/>
          <w:sz w:val="22"/>
          <w:szCs w:val="22"/>
        </w:rPr>
        <w:t xml:space="preserve">Hasil skrining yang menyimpang dari batas normal wajib ditindaklanjuti sesuai algoritma diagnostik dan tata laksana penyulit terkait, yang dibahas secara khusus pada buku tematik lain dalam ekosistem ini (mis. Kegawatdaruratan Obstetri, Kehamilan Risiko Tinggi). Buku ini membatasi lingkup pada kerangka skrining pada kehamilan tanpa penyulit sebagai baseline kompetensi.</w:t>
      </w:r>
    </w:p>
    <w:p>
      <w:pPr>
        <w:pStyle w:val="Heading1"/>
        <w:pageBreakBefore/>
        <w:spacing w:after="200" w:before="300"/>
      </w:pPr>
      <w:r>
        <w:t xml:space="preserve">Bab V  Kehamilan Remaja dan Kontrasepsi Pascasalin</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40"/>
              <w:bottom w:type="dxa" w:w="160"/>
              <w:right w:type="dxa" w:w="240"/>
            </w:tcMar>
          </w:tcPr>
          <w:p>
            <w:pPr>
              <w:spacing w:after="60"/>
            </w:pPr>
            <w:r>
              <w:rPr>
                <w:rFonts w:ascii="IBM Plex Sans" w:cs="IBM Plex Sans" w:eastAsia="IBM Plex Sans" w:hAnsi="IBM Plex Sans"/>
                <w:b/>
                <w:bCs/>
                <w:color w:val="B45309"/>
                <w:sz w:val="18"/>
                <w:szCs w:val="18"/>
              </w:rPr>
              <w:t xml:space="preserve">DASAR REGULASI</w:t>
            </w:r>
          </w:p>
          <w:p>
            <w:pPr>
              <w:spacing w:after="80"/>
            </w:pPr>
            <w:r>
              <w:rPr>
                <w:rFonts w:ascii="IBM Plex Sans" w:cs="IBM Plex Sans" w:eastAsia="IBM Plex Sans" w:hAnsi="IBM Plex Sans"/>
                <w:i/>
                <w:iCs/>
                <w:color w:val="334155"/>
                <w:sz w:val="20"/>
                <w:szCs w:val="20"/>
              </w:rPr>
              <w:t xml:space="preserve">Bab ini didasarkan pada Tabel 7 Kepkonsil No. HK.01.02/KKI/1318/2026 entri No. 69 (Kehamilan remaja) dan No. 70 (Kontrasepsi), dengan entri No. 38 (Nifas) sebagai konteks fisiologis pascasalin yang mendasari keputusan waktu inisiasi kontrasepsi.</w:t>
            </w:r>
          </w:p>
          <w:p>
            <w:pPr>
              <w:spacing w:after="40"/>
            </w:pPr>
            <w:r>
              <w:rPr>
                <w:rFonts w:ascii="IBM Plex Mono" w:cs="IBM Plex Mono" w:eastAsia="IBM Plex Mono" w:hAnsi="IBM Plex Mono"/>
                <w:b/>
                <w:bCs/>
                <w:color w:val="334155"/>
                <w:sz w:val="18"/>
                <w:szCs w:val="18"/>
              </w:rPr>
              <w:t xml:space="preserve">Tabel 7 No. 69 — Kehamilan remaja (Teenage pregnancy) </w:t>
            </w:r>
            <w:r>
              <w:rPr>
                <w:rFonts w:ascii="IBM Plex Mono" w:cs="IBM Plex Mono" w:eastAsia="IBM Plex Mono" w:hAnsi="IBM Plex Mono"/>
                <w:color w:val="4F46E5"/>
                <w:sz w:val="18"/>
                <w:szCs w:val="18"/>
              </w:rPr>
              <w:t xml:space="preserve">ICD-10: Z35.6 · ICD-11: QA43.5</w:t>
            </w:r>
          </w:p>
          <w:p>
            <w:pPr>
              <w:spacing w:after="40"/>
            </w:pPr>
            <w:r>
              <w:rPr>
                <w:rFonts w:ascii="IBM Plex Mono" w:cs="IBM Plex Mono" w:eastAsia="IBM Plex Mono" w:hAnsi="IBM Plex Mono"/>
                <w:b/>
                <w:bCs/>
                <w:color w:val="334155"/>
                <w:sz w:val="18"/>
                <w:szCs w:val="18"/>
              </w:rPr>
              <w:t xml:space="preserve">Tabel 7 No. 70 — Kontrasepsi (Contraception) </w:t>
            </w:r>
            <w:r>
              <w:rPr>
                <w:rFonts w:ascii="IBM Plex Mono" w:cs="IBM Plex Mono" w:eastAsia="IBM Plex Mono" w:hAnsi="IBM Plex Mono"/>
                <w:color w:val="4F46E5"/>
                <w:sz w:val="18"/>
                <w:szCs w:val="18"/>
              </w:rPr>
              <w:t xml:space="preserve">ICD-10: Z30 · ICD-11: QA21.1</w:t>
            </w:r>
          </w:p>
          <w:p>
            <w:pPr>
              <w:spacing w:after="40"/>
            </w:pPr>
            <w:r>
              <w:rPr>
                <w:rFonts w:ascii="IBM Plex Mono" w:cs="IBM Plex Mono" w:eastAsia="IBM Plex Mono" w:hAnsi="IBM Plex Mono"/>
                <w:b/>
                <w:bCs/>
                <w:color w:val="334155"/>
                <w:sz w:val="18"/>
                <w:szCs w:val="18"/>
              </w:rPr>
              <w:t xml:space="preserve">Tabel 7 No. 38 — Nifas (Puerperal period) </w:t>
            </w:r>
            <w:r>
              <w:rPr>
                <w:rFonts w:ascii="IBM Plex Mono" w:cs="IBM Plex Mono" w:eastAsia="IBM Plex Mono" w:hAnsi="IBM Plex Mono"/>
                <w:color w:val="4F46E5"/>
                <w:sz w:val="18"/>
                <w:szCs w:val="18"/>
              </w:rPr>
              <w:t xml:space="preserve">ICD-10: Z39.2 · ICD-11: QA48</w:t>
            </w:r>
          </w:p>
        </w:tc>
      </w:tr>
    </w:tbl>
    <w:p>
      <w:pPr>
        <w:spacing w:after="160"/>
      </w:pPr>
    </w:p>
    <w:p>
      <w:pPr>
        <w:pStyle w:val="Heading2"/>
        <w:spacing w:after="140" w:before="240"/>
      </w:pPr>
      <w:r>
        <w:t xml:space="preserve">5.1 Kehamilan Remaja</w:t>
      </w:r>
    </w:p>
    <w:p>
      <w:pPr>
        <w:spacing w:after="160" w:line="300"/>
      </w:pPr>
      <w:r>
        <w:rPr>
          <w:color w:val="334155"/>
          <w:sz w:val="22"/>
          <w:szCs w:val="22"/>
        </w:rPr>
        <w:t xml:space="preserve">Tabel 7 entri No. 69 mendefinisikan kehamilan remaja (Teenage pregnancy, ICD-10 Z35.6, ICD-11 QA43.5) sebagai kehamilan pada populasi remaja. Data terbaru WHO menunjukkan remaja perempuan usia 15–19 tahun di negara berpenghasilan rendah dan menengah mengalami sekitar 21 juta kehamilan per tahun, sekitar separuhnya tidak direncanakan; komplikasi kehamilan dan persalinan tetap menjadi salah satu penyebab utama kematian pada kelompok usia 15–19 tahun secara global.[7] Kehamilan pada kelompok usia ini membawa risiko biologis dan sosial ganda: secara biologis, remaja berisiko lebih tinggi mengalami anemia, gangguan hipertensi kehamilan, persalinan preterm, dan restriksi pertumbuhan janin, sebagian akibat kompetisi kebutuhan nutrisi antara pertumbuhan ibu yang belum tuntas dan pertumbuhan janin. Secara sosial, kehamilan remaja berkaitan erat dengan putus sekolah, keterbatasan akses layanan kesehatan, stigma, serta kerentanan terhadap kekerasan dalam relasi.</w:t>
      </w:r>
    </w:p>
    <w:p>
      <w:pPr>
        <w:spacing w:after="160" w:line="300"/>
      </w:pPr>
      <w:r>
        <w:rPr>
          <w:color w:val="334155"/>
          <w:sz w:val="22"/>
          <w:szCs w:val="22"/>
        </w:rPr>
        <w:t xml:space="preserve">WHO memperbarui pedoman pencegahan kehamilan remaja pada tahun 2025, menekankan pendekatan multisektor: percepatan penghapusan perkawinan anak, perpanjangan masa pendidikan bagi anak perempuan, serta perluasan akses layanan dan informasi kesehatan reproduksi sebagai faktor kunci penurunan angka kehamilan dini.[6] Asuhan antenatal pada remaja hamil memerlukan pendekatan yang responsif terhadap kerentanan psikososial: konseling ramah remaja tanpa penghakiman, pelibatan keluarga atau wali sesuai konteks dan persetujuan, skrining kekerasan dan dukungan sosial, serta jalur rujukan ke layanan kesehatan reproduksi remaja dan dukungan psikososial bila diperlukan. Pendekatan ini selaras dengan perspektif obstetri ginekologi sosial yang menempatkan determinan sosial kesehatan sebagai bagian integral asuhan klinis, bukan sekadar pelengkap.</w:t>
      </w:r>
    </w:p>
    <w:p>
      <w:pPr>
        <w:pStyle w:val="Heading2"/>
        <w:spacing w:after="140" w:before="240"/>
      </w:pPr>
      <w:r>
        <w:t xml:space="preserve">5.2 Kontrasepsi Pascasalin</w:t>
      </w:r>
    </w:p>
    <w:p>
      <w:pPr>
        <w:spacing w:after="160" w:line="300"/>
      </w:pPr>
      <w:r>
        <w:rPr>
          <w:color w:val="334155"/>
          <w:sz w:val="22"/>
          <w:szCs w:val="22"/>
        </w:rPr>
        <w:t xml:space="preserve">Tabel 7 entri No. 70 mencakup kontrasepsi (Contraception, ICD-10 Z30, ICD-11 QA21.1) sebagai kompetensi pengaturan fertilitas bagi wanita usia reproduksi. Dalam konteks asuhan antenatal fisiologis, perencanaan kontrasepsi pascasalin idealnya dimulai sejak kunjungan antenatal trimester ketiga (konseling antisipatif), bukan ditunda hingga masa nifas — periode di mana entri No. 38 (Nifas, ICD-10 Z39.2/ICD-11 QA48) menjadi konteks fisiologis yang menentukan pilihan metode dan waktu inisiasi yang aman.</w:t>
      </w:r>
    </w:p>
    <w:p>
      <w:pPr>
        <w:spacing w:after="160" w:line="300"/>
      </w:pPr>
      <w:r>
        <w:rPr>
          <w:color w:val="334155"/>
          <w:sz w:val="22"/>
          <w:szCs w:val="22"/>
        </w:rPr>
        <w:t xml:space="preserve">Prinsip pemilihan metode kontrasepsi pascasalin mengacu pada edisi keenam Medical Eligibility Criteria for Contraceptive Use (MEC) WHO yang diterbitkan tahun 2025.[4] Metode kontrasepsi hormonal kombinasi (mengandung estrogen) pada ibu menyusui umumnya ditunda hingga sekurangnya 6 minggu pascasalin, dan sebagian pedoman merekomendasikan penundaan lebih lama (hingga 6 bulan) bila menyusui masih berlangsung penuh, mengingat potensi pengaruh terhadap produksi ASI serta risiko tromboemboli vena yang meningkat pada periode dini pascasalin.[4] Sebaliknya, metode progestin-saja — termasuk pil progestin, injeksi, dan implan — serta metode non-hormonal dapat diinisiasi lebih dini; pembaruan MEC edisi keenam bahkan melonggarkan kategori kelayakan injeksi progestin pada ibu menyusui kurang dari 6 minggu pascasalin menjadi "dapat digunakan secara umum", mencerminkan akumulasi bukti keamanan yang terus bertambah.[4]</w:t>
      </w:r>
    </w:p>
    <w:p>
      <w:pPr>
        <w:spacing w:after="160" w:line="300"/>
      </w:pPr>
      <w:r>
        <w:rPr>
          <w:color w:val="334155"/>
          <w:sz w:val="22"/>
          <w:szCs w:val="22"/>
        </w:rPr>
        <w:t xml:space="preserve">Metode amenore laktasi (Lactational Amenorrhea Method/LAM) dapat menjadi pilihan sementara pada ibu yang menyusui eksklusif, amenore, dan bayi berusia kurang dari 6 bulan, dengan pemahaman bahwa efektivitasnya menurun bila salah satu dari tiga syarat tersebut tidak terpenuhi. Alat kontrasepsi dalam rahim (AKDR) pascaplasenta — dipasang dalam 10 menit setelah lahirnya plasenta — dan implan pascasalin merupakan metode kontrasepsi reversibel jangka panjang (LARC) yang dapat diinisiasi segera, menawarkan keunggulan berupa efektivitas tinggi tanpa memerlukan kunjungan tambahan pascasalin. Konseling metode ini idealnya sudah disampaikan pada trimester ketiga agar keputusan tidak diambil terburu-buru saat persalinan.</w:t>
      </w:r>
    </w:p>
    <w:p>
      <w:pPr>
        <w:pStyle w:val="Heading1"/>
        <w:pageBreakBefore/>
        <w:spacing w:after="200" w:before="300"/>
      </w:pPr>
      <w:r>
        <w:t xml:space="preserve">Bab VI  Perbandingan Standar Internasional</w:t>
      </w:r>
    </w:p>
    <w:p>
      <w:pPr>
        <w:spacing w:after="160" w:line="300"/>
      </w:pPr>
      <w:r>
        <w:rPr>
          <w:color w:val="334155"/>
          <w:sz w:val="22"/>
          <w:szCs w:val="22"/>
        </w:rPr>
        <w:t xml:space="preserve">Sesuai Aturan Wajib No. 2 Perintah Umum, bab ini memuat pembanding standar internasional yang bersifat memperkaya, bukan menggantikan, standar nasional yang ditetapkan Kepkonsil No. HK.01.02/KKI/1318/2026 sebagai acuan utama praktik di Indonesia. Seluruh pembanding pada bab ini merujuk pada edisi pedoman internasional paling mutakhir yang tersedia per Agustus 2026.</w:t>
      </w:r>
    </w:p>
    <w:p>
      <w:pPr>
        <w:pStyle w:val="Heading2"/>
        <w:spacing w:after="120" w:before="200"/>
      </w:pPr>
      <w:r>
        <w:t xml:space="preserve">Jumlah dan jadwal kontak antenatal</w:t>
      </w:r>
    </w:p>
    <w:p>
      <w:pPr>
        <w:spacing w:after="160" w:line="300"/>
      </w:pPr>
      <w:r>
        <w:rPr>
          <w:color w:val="334155"/>
          <w:sz w:val="22"/>
          <w:szCs w:val="22"/>
        </w:rPr>
        <w:t xml:space="preserve">Standar nasional (Kepkonsil, mengacu kebijakan program nasional Kementerian Kesehatan) menetapkan kerangka kunjungan antenatal minimal sesuai kebijakan yang berlaku, dengan penekanan pada deteksi dini faktor risiko dan skrining terstruktur trimester sebagaimana dibahas pada Bab IV.</w:t>
      </w:r>
    </w:p>
    <w:p>
      <w:pPr>
        <w:spacing w:after="160" w:line="300"/>
      </w:pPr>
      <w:r>
        <w:rPr>
          <w:color w:val="334155"/>
          <w:sz w:val="22"/>
          <w:szCs w:val="22"/>
        </w:rPr>
        <w:t xml:space="preserve">WHO Recommendations on Antenatal Care for a Positive Pregnancy Experience (2016) merekomendasikan minimal 8 kontak antenatal, didukung tinjauan sistematis Cochrane yang menemukan peningkatan risiko mortalitas perinatal pada paket asuhan dengan kunjungan yang dikurangi.[1][9]</w:t>
      </w:r>
    </w:p>
    <w:p>
      <w:pPr>
        <w:spacing w:after="200"/>
      </w:pPr>
      <w:r>
        <w:rPr>
          <w:rFonts w:ascii="IBM Plex Sans" w:cs="IBM Plex Sans" w:eastAsia="IBM Plex Sans" w:hAnsi="IBM Plex Sans"/>
          <w:i/>
          <w:iCs/>
          <w:color w:val="B45309"/>
          <w:sz w:val="20"/>
          <w:szCs w:val="20"/>
        </w:rPr>
        <w:t xml:space="preserve">Praktik di Indonesia mengikuti standar nasional sebagai acuan operasional, dengan model WHO sebagai kerangka pengayaan mutu layanan bila sumber daya fasilitas memungkinkan.</w:t>
      </w:r>
    </w:p>
    <w:p>
      <w:pPr>
        <w:pStyle w:val="Heading2"/>
        <w:spacing w:after="120" w:before="200"/>
      </w:pPr>
      <w:r>
        <w:t xml:space="preserve">Waktu inisiasi kontrasepsi hormonal kombinasi pascasalin pada ibu menyusui</w:t>
      </w:r>
    </w:p>
    <w:p>
      <w:pPr>
        <w:spacing w:after="160" w:line="300"/>
      </w:pPr>
      <w:r>
        <w:rPr>
          <w:color w:val="334155"/>
          <w:sz w:val="22"/>
          <w:szCs w:val="22"/>
        </w:rPr>
        <w:t xml:space="preserve">Standar nasional menekankan prinsip keamanan laktasi dalam pemilihan metode kontrasepsi pascasalin, dengan preferensi metode non-hormonal atau progestin-saja pada ibu menyusui, tanpa batas waktu tunggal yang kaku bagi seluruh metode.</w:t>
      </w:r>
    </w:p>
    <w:p>
      <w:pPr>
        <w:spacing w:after="160" w:line="300"/>
      </w:pPr>
      <w:r>
        <w:rPr>
          <w:color w:val="334155"/>
          <w:sz w:val="22"/>
          <w:szCs w:val="22"/>
        </w:rPr>
        <w:t xml:space="preserve">WHO Medical Eligibility Criteria for Contraceptive Use edisi keenam (2025) merekomendasikan penundaan kontrasepsi hormonal kombinasi pada ibu menyusui hingga sekurangnya 6 minggu pascasalin, dengan sejumlah pedoman regional merekomendasikan penundaan lebih lama pada menyusui penuh, mengingat risiko teoretis terhadap produksi ASI dan risiko tromboemboli vena pada periode dini pascasalin.[4]</w:t>
      </w:r>
    </w:p>
    <w:p>
      <w:pPr>
        <w:spacing w:after="200"/>
      </w:pPr>
      <w:r>
        <w:rPr>
          <w:rFonts w:ascii="IBM Plex Sans" w:cs="IBM Plex Sans" w:eastAsia="IBM Plex Sans" w:hAnsi="IBM Plex Sans"/>
          <w:i/>
          <w:iCs/>
          <w:color w:val="B45309"/>
          <w:sz w:val="20"/>
          <w:szCs w:val="20"/>
        </w:rPr>
        <w:t xml:space="preserve">Praktik di Indonesia mengikuti standar nasional yang selaras dengan prinsip kehati-hatian WHO MEC edisi keenam dalam konseling kontrasepsi pascasalin.</w:t>
      </w:r>
    </w:p>
    <w:p>
      <w:pPr>
        <w:pStyle w:val="Heading2"/>
        <w:spacing w:after="120" w:before="200"/>
      </w:pPr>
      <w:r>
        <w:t xml:space="preserve">Skrining diabetes melitus gestasional</w:t>
      </w:r>
    </w:p>
    <w:p>
      <w:pPr>
        <w:spacing w:after="160" w:line="300"/>
      </w:pPr>
      <w:r>
        <w:rPr>
          <w:color w:val="334155"/>
          <w:sz w:val="22"/>
          <w:szCs w:val="22"/>
        </w:rPr>
        <w:t xml:space="preserve">Standar nasional menempatkan skrining diabetes melitus gestasional pada rentang usia kehamilan 24–28 minggu sebagai bagian skrining terstruktur trimester kedua sebagaimana diuraikan pada Bab IV, mengikuti kebijakan program nasional yang berlaku mengenai metode dan ambang diagnostik.</w:t>
      </w:r>
    </w:p>
    <w:p>
      <w:pPr>
        <w:spacing w:after="160" w:line="300"/>
      </w:pPr>
      <w:r>
        <w:rPr>
          <w:color w:val="334155"/>
          <w:sz w:val="22"/>
          <w:szCs w:val="22"/>
        </w:rPr>
        <w:t xml:space="preserve">FIGO Initiative on Gestational Diabetes Mellitus merekomendasikan pengujian universal seluruh ibu hamil menggunakan prosedur satu-langkah (one-step) dan menekankan pentingnya identifikasi faktor risiko sejak kontak pertama untuk memungkinkan skrining dini pada kelompok berisiko tinggi.[3]</w:t>
      </w:r>
    </w:p>
    <w:p>
      <w:pPr>
        <w:spacing w:after="200"/>
      </w:pPr>
      <w:r>
        <w:rPr>
          <w:rFonts w:ascii="IBM Plex Sans" w:cs="IBM Plex Sans" w:eastAsia="IBM Plex Sans" w:hAnsi="IBM Plex Sans"/>
          <w:i/>
          <w:iCs/>
          <w:color w:val="B45309"/>
          <w:sz w:val="20"/>
          <w:szCs w:val="20"/>
        </w:rPr>
        <w:t xml:space="preserve">Praktik di Indonesia mengikuti standar nasional untuk skrining pada 24–28 minggu, dengan penambahan penilaian faktor risiko sejak kontak pertama sebagai pengayaan mutu sesuai kapasitas fasilitas.</w:t>
      </w:r>
    </w:p>
    <w:p>
      <w:pPr>
        <w:pStyle w:val="Heading2"/>
        <w:spacing w:after="120" w:before="200"/>
      </w:pPr>
      <w:r>
        <w:t xml:space="preserve">Waktu dan cakupan ultrasonografi awal kehamilan</w:t>
      </w:r>
    </w:p>
    <w:p>
      <w:pPr>
        <w:spacing w:after="160" w:line="300"/>
      </w:pPr>
      <w:r>
        <w:rPr>
          <w:color w:val="334155"/>
          <w:sz w:val="22"/>
          <w:szCs w:val="22"/>
        </w:rPr>
        <w:t xml:space="preserve">Standar nasional menempatkan USG penentuan usia kehamilan dan viabilitas sebagai bagian skrining trimester pertama tanpa menetapkan jendela usia kehamilan spesifik yang kaku, mengikuti ketersediaan fasilitas pencitraan pada tiap tingkat layanan.</w:t>
      </w:r>
    </w:p>
    <w:p>
      <w:pPr>
        <w:spacing w:after="160" w:line="300"/>
      </w:pPr>
      <w:r>
        <w:rPr>
          <w:color w:val="334155"/>
          <w:sz w:val="22"/>
          <w:szCs w:val="22"/>
        </w:rPr>
        <w:t xml:space="preserve">Pembaruan WHO tahun 2022 merekomendasikan pencitraan ultrasonografi sebelum usia kehamilan 24 minggu bagi seluruh ibu hamil untuk estimasi usia gestasi, deteksi kehamilan multipel, dan penapisan anomali janin;[2] ISUOG memperbarui pedoman pemindaian 11–14 minggu pada tahun 2023, mencakup pengukuran nuchal translucency dan penapisan risiko preeklamsia preterm dengan aspirin dosis rendah pada kelompok berisiko tinggi.[5]</w:t>
      </w:r>
    </w:p>
    <w:p>
      <w:pPr>
        <w:spacing w:after="200"/>
      </w:pPr>
      <w:r>
        <w:rPr>
          <w:rFonts w:ascii="IBM Plex Sans" w:cs="IBM Plex Sans" w:eastAsia="IBM Plex Sans" w:hAnsi="IBM Plex Sans"/>
          <w:i/>
          <w:iCs/>
          <w:color w:val="B45309"/>
          <w:sz w:val="20"/>
          <w:szCs w:val="20"/>
        </w:rPr>
        <w:t xml:space="preserve">Praktik di Indonesia mengikuti standar nasional sesuai ketersediaan fasilitas, dengan jendela 11–14 minggu ISUOG sebagai acuan mutu pada fasilitas pendidikan yang memiliki kapasitas pencitraan memadai.</w:t>
      </w:r>
    </w:p>
    <w:p>
      <w:pPr>
        <w:pStyle w:val="Heading2"/>
        <w:spacing w:after="120" w:before="200"/>
      </w:pPr>
      <w:r>
        <w:t xml:space="preserve">Filosofi penjadwalan kontak antenatal: model tetap versus model individual</w:t>
      </w:r>
    </w:p>
    <w:p>
      <w:pPr>
        <w:spacing w:after="160" w:line="300"/>
      </w:pPr>
      <w:r>
        <w:rPr>
          <w:color w:val="334155"/>
          <w:sz w:val="22"/>
          <w:szCs w:val="22"/>
        </w:rPr>
        <w:t xml:space="preserve">Standar nasional menganut kerangka jadwal kontak yang relatif tetap bagi seluruh ibu hamil, dengan intensifikasi kunjungan hanya pada kehamilan yang teridentifikasi berisiko.</w:t>
      </w:r>
    </w:p>
    <w:p>
      <w:pPr>
        <w:spacing w:after="160" w:line="300"/>
      </w:pPr>
      <w:r>
        <w:rPr>
          <w:color w:val="334155"/>
          <w:sz w:val="22"/>
          <w:szCs w:val="22"/>
        </w:rPr>
        <w:t xml:space="preserve">Pada April 2025, American College of Obstetricians and Gynecologists (ACOG) menerbitkan konsensus klinis yang menggeser model jadwal kunjungan prenatal tetap ("4-2-1") ke model individual (tailored), yang menyesuaikan frekuensi dan modalitas kunjungan (tatap muka maupun jarak jauh) berdasarkan faktor risiko medis, struktural, dan sosial masing-masing individu.[10]</w:t>
      </w:r>
    </w:p>
    <w:p>
      <w:pPr>
        <w:spacing w:after="200"/>
      </w:pPr>
      <w:r>
        <w:rPr>
          <w:rFonts w:ascii="IBM Plex Sans" w:cs="IBM Plex Sans" w:eastAsia="IBM Plex Sans" w:hAnsi="IBM Plex Sans"/>
          <w:i/>
          <w:iCs/>
          <w:color w:val="B45309"/>
          <w:sz w:val="20"/>
          <w:szCs w:val="20"/>
        </w:rPr>
        <w:t xml:space="preserve">Pergeseran filosofi ACOG mencerminkan konteks sistem kesehatan Amerika Serikat dan belum diadopsi sebagai standar nasional; Kepkonsil dan kebijakan program nasional Kementerian Kesehatan tetap menjadi acuan utama praktik di Indonesia, dengan tren individuasi ini dicatat sebagai perkembangan yang layak terus dipantau.</w:t>
      </w:r>
    </w:p>
    <w:p>
      <w:pPr>
        <w:pStyle w:val="Heading1"/>
        <w:pageBreakBefore/>
        <w:spacing w:after="200" w:before="300"/>
      </w:pPr>
      <w:r>
        <w:t xml:space="preserve">Bab VII  Kontribusi Divisi Fetomaternal</w:t>
      </w:r>
    </w:p>
    <w:p>
      <w:pPr>
        <w:pStyle w:val="Heading2"/>
        <w:spacing w:after="120" w:before="200"/>
      </w:pPr>
      <w:r>
        <w:t xml:space="preserve">A. Deskripsi</w:t>
      </w:r>
    </w:p>
    <w:p>
      <w:pPr>
        <w:spacing w:after="160" w:line="300"/>
      </w:pPr>
      <w:r>
        <w:rPr>
          <w:color w:val="334155"/>
          <w:sz w:val="22"/>
          <w:szCs w:val="22"/>
        </w:rPr>
        <w:t xml:space="preserve">Perspektif Divisi Fetomaternal relevan secara langsung pada topik obstetri fisiologis dan asuhan antenatal karena divisi ini memegang tanggung jawab keilmuan atas pemantauan kesejahteraan janin dan deteksi dini penyimpangan dari trayektori kehamilan normal. Batas antara "fisiologis" dan "berisiko" ditentukan melalui kerangka analisis yang dikembangkan dan diperbarui oleh Divisi Fetomaternal, menjadikan kontribusi ini sebagai jembatan konseptual antara buku tematik ini dengan buku tematik lanjutan mengenai kehamilan risiko tinggi.</w:t>
      </w:r>
    </w:p>
    <w:p>
      <w:pPr>
        <w:pStyle w:val="Heading2"/>
        <w:spacing w:after="120" w:before="200"/>
      </w:pPr>
      <w:r>
        <w:t xml:space="preserve">B. Peran Skrining Fetomaternal Dini dalam Menjaga Trayektori Kehamilan Fisiologis</w:t>
      </w:r>
    </w:p>
    <w:p>
      <w:pPr>
        <w:spacing w:after="160" w:line="300"/>
      </w:pPr>
      <w:r>
        <w:rPr>
          <w:color w:val="334155"/>
          <w:sz w:val="22"/>
          <w:szCs w:val="22"/>
        </w:rPr>
        <w:t xml:space="preserve">Dari perspektif Divisi Fetomaternal, asuhan antenatal pada kehamilan tanpa penyulit bukanlah pemantauan pasif, melainkan proses skrining aktif berkelanjutan yang bertujuan mengonfirmasi — pada setiap kontak — bahwa kehamilan tetap berada pada trayektori fisiologis. Prinsip ini menuntut kalibrasi ambang rujukan yang konsisten: parameter yang tampak "ringan" secara individual (mis. kenaikan tekanan darah dalam batas normal tinggi, pertumbuhan janin pada persentil bawah rentang normal) dapat menjadi sinyal dini bila muncul bersamaan atau menunjukkan tren yang konsisten pada kunjungan berurutan.</w:t>
      </w:r>
    </w:p>
    <w:p>
      <w:pPr>
        <w:spacing w:after="160" w:line="300"/>
      </w:pPr>
      <w:r>
        <w:rPr>
          <w:color w:val="334155"/>
          <w:sz w:val="22"/>
          <w:szCs w:val="22"/>
        </w:rPr>
        <w:t xml:space="preserve">Kerangka analisis yang direkomendasikan Divisi Fetomaternal untuk peserta didik PPDS tahun I-II adalah pendekatan tren longitudinal (trend-based surveillance) dibandingkan penilaian titik-tunggal (single point-in-time assessment): setiap parameter — tinggi fundus, tekanan darah, kenaikan berat badan, hasil laboratorium — dinilai relatif terhadap kunjungan sebelumnya, bukan semata dibandingkan terhadap nilai rujukan populasi. Pendekatan ini meningkatkan sensitivitas deteksi dini penyimpangan pada kehamilan yang secara individual masih tergolong "tanpa penyulit" pada setiap titik pemeriksaan. Penetapan usia kehamilan yang akurat sejak kontak pertama — melalui pengukuran crown-rump length pada jendela 11–14 minggu sesuai pedoman ISUOG[5] — menjadi prasyarat teknis bagi keandalan seluruh perbandingan tren pertumbuhan janin pada kontak-kontak berikutnya.</w:t>
      </w:r>
    </w:p>
    <w:p>
      <w:pPr>
        <w:spacing w:after="160" w:line="300"/>
      </w:pPr>
      <w:r>
        <w:rPr>
          <w:color w:val="334155"/>
          <w:sz w:val="22"/>
          <w:szCs w:val="22"/>
        </w:rPr>
        <w:t xml:space="preserve">Implementasi praktis pendekatan tren longitudinal menuntut pendokumentasian yang konsisten dan mudah ditelusuri — baik pada buku KIA maupun rekam medis elektronik — sehingga tenaga kesehatan pada kontak berikutnya, meski berbeda individu, dapat segera membandingkan parameter terkini terhadap seluruh riwayat kontak sebelumnya. Divisi Fetomaternal merekomendasikan penggunaan format tabular atau grafik tren (mis. partograf kehamilan atau kurva tekanan darah longitudinal) sebagai pelengkap catatan naratif, khususnya pada fasilitas pendidikan yang menjadi tempat rotasi peserta didik PPDS tahun I-II.</w:t>
      </w:r>
    </w:p>
    <w:p>
      <w:pPr>
        <w:pStyle w:val="Heading2"/>
        <w:spacing w:after="120" w:before="200"/>
      </w:pPr>
      <w:r>
        <w:t xml:space="preserve">C. Ilustrasi Kasus Lapangan (Hipotetis)</w:t>
      </w:r>
    </w:p>
    <w:p>
      <w:pPr>
        <w:pBdr>
          <w:left w:val="single" w:color="4F46E5" w:sz="18" w:space="8"/>
        </w:pBdr>
        <w:spacing w:after="160"/>
      </w:pPr>
      <w:r>
        <w:rPr>
          <w:i/>
          <w:iCs/>
          <w:color w:val="334155"/>
          <w:sz w:val="21"/>
          <w:szCs w:val="21"/>
        </w:rPr>
        <w:t xml:space="preserve">Seorang primigravida usia 24 tahun datang untuk kontak antenatal ketiga pada usia kehamilan 28 minggu. Tekanan darah tercatat 128/82 mmHg — meningkat dari 108/68 mmHg pada kontak pertama dan 118/76 mmHg pada kontak kedua, namun masih di bawah ambang hipertensi gestasional (≥140/90 mmHg). Berat badan naik 1,2 kg dalam 2 minggu terakhir, melebihi laju kenaikan sebelumnya. Dengan pendekatan tren longitudinal, kombinasi pola kenaikan tekanan darah dan berat badan yang konsisten — meski masing-masing masih dalam batas normal individual — mengindikasikan perlunya intensifikasi pemantauan (kunjungan lebih sering, pemeriksaan proteinuria, dan edukasi tanda bahaya preeklamsia) alih-alih menunggu hingga ambang diagnostik formal terlampaui. Kasus ini menggambarkan bagaimana kompetensi mengenali kehamilan tanpa penyulit (Bab II) harus disertai kewaspadaan terhadap tren yang mengarah pada penyulit dini.</w:t>
      </w:r>
    </w:p>
    <w:p>
      <w:pPr>
        <w:pStyle w:val="Heading1"/>
        <w:pageBreakBefore/>
        <w:spacing w:after="200" w:before="300"/>
      </w:pPr>
      <w:r>
        <w:t xml:space="preserve">Bab VIII  Ringkasan</w:t>
      </w:r>
    </w:p>
    <w:p>
      <w:pPr>
        <w:spacing w:after="160" w:line="300"/>
      </w:pPr>
      <w:r>
        <w:rPr>
          <w:color w:val="334155"/>
          <w:sz w:val="22"/>
          <w:szCs w:val="22"/>
        </w:rPr>
        <w:t xml:space="preserve">Buku tematik B2 ini menyusun kerangka kompetensi obstetri fisiologis dan asuhan antenatal bagi peserta didik PPDS tahun I-II, dimulai dari pemahaman adaptasi anatomi-fisiologi maternal yang mendasari seluruh keluhan dan temuan pemeriksaan pada kehamilan normal, klasifikasi dan tata laksana keluhan ringan kehamilan, kerangka kunjungan dan skrining antenatal terstandar, hingga populasi khusus berupa kehamilan remaja dan perencanaan kontrasepsi pascasalin.</w:t>
      </w:r>
    </w:p>
    <w:p>
      <w:pPr>
        <w:spacing w:after="160" w:line="300"/>
      </w:pPr>
      <w:r>
        <w:rPr>
          <w:color w:val="334155"/>
          <w:sz w:val="22"/>
          <w:szCs w:val="22"/>
        </w:rPr>
        <w:t xml:space="preserve">Penguasaan menyeluruh terhadap materi buku ini menjadi prasyarat bagi peserta didik untuk melanjutkan ke buku tematik berikutnya dalam ekosistem ini yang membahas penyulit dan kegawatdaruratan obstetri, karena kemampuan mengenali batas fisiologis-patologis kehamilan — sebagaimana ditekankan pada kontribusi Divisi Fetomaternal (Bab VII) — merupakan fondasi seluruh pengambilan keputusan klinis obstetri lanjutan.</w:t>
      </w:r>
    </w:p>
    <w:p>
      <w:pPr>
        <w:spacing w:after="100" w:before="120"/>
      </w:pPr>
      <w:r>
        <w:rPr>
          <w:rFonts w:ascii="IBM Plex Sans" w:cs="IBM Plex Sans" w:eastAsia="IBM Plex Sans" w:hAnsi="IBM Plex Sans"/>
          <w:b/>
          <w:bCs/>
          <w:i/>
          <w:iCs/>
          <w:color w:val="B45309"/>
          <w:sz w:val="19"/>
          <w:szCs w:val="19"/>
        </w:rPr>
        <w:t xml:space="preserve">Tabel VIII.1 — Ringkasan Indikator Kompetensi Buku Tematik B2</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cantSplit/>
          <w:tblHeader/>
        </w:trPr>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Kompetensi</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Entri Tabel 7 Rujukan</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Indikator Capaian</w:t>
            </w:r>
          </w:p>
        </w:tc>
      </w:tr>
      <w:tr>
        <w:trPr>
          <w:cantSplit/>
        </w:trP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Identifikasi kehamilan tanpa penyulit</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No. 1</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Mampu menetapkan dan mengevaluasi ulang status risiko kehamilan pada setiap kontak antenatal</w:t>
            </w:r>
          </w:p>
        </w:tc>
      </w:tr>
      <w:tr>
        <w:trPr>
          <w:cantSplit/>
        </w:trP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Tata laksana keluhan ringan kehamilan</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No. 2</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Mampu membedakan keluhan fisiologis dari tanda bahaya serupa dan memberikan edukasi tata laksana lini pertama</w:t>
            </w:r>
          </w:p>
        </w:tc>
      </w:tr>
      <w:tr>
        <w:trPr>
          <w:cantSplit/>
        </w:trP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Pelaksanaan asuhan antenatal terstandar</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No. 1–2 (kerangka umum)</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Mampu melaksanakan komponen inti kontak antenatal dan skrining berjenjang sesuai trimester</w:t>
            </w:r>
          </w:p>
        </w:tc>
      </w:tr>
      <w:tr>
        <w:trPr>
          <w:cantSplit/>
        </w:trP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Asuhan kehamilan remaja</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No. 69</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Mampu memberikan asuhan antenatal yang responsif terhadap kerentanan biologis dan psikososial remaja hamil</w:t>
            </w:r>
          </w:p>
        </w:tc>
      </w:tr>
      <w:tr>
        <w:trPr>
          <w:cantSplit/>
        </w:trP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Konseling kontrasepsi pascasalin</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No. 70 (konteks No. 38)</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Mampu memberikan konseling metode kontrasepsi pascasalin berbasis status laktasi dan preferensi ibu</w:t>
            </w:r>
          </w:p>
        </w:tc>
      </w:tr>
    </w:tbl>
    <w:p>
      <w:pPr>
        <w:spacing w:after="160"/>
      </w:pPr>
    </w:p>
    <w:p>
      <w:pPr>
        <w:pStyle w:val="Heading1"/>
        <w:pageBreakBefore/>
        <w:spacing w:after="200" w:before="300"/>
      </w:pPr>
      <w:r>
        <w:t xml:space="preserve">Kepustakaan</w:t>
      </w:r>
    </w:p>
    <w:p>
      <w:pPr>
        <w:spacing w:after="160"/>
      </w:pPr>
      <w:r>
        <w:rPr>
          <w:i/>
          <w:iCs/>
          <w:color w:val="334155"/>
          <w:sz w:val="20"/>
          <w:szCs w:val="20"/>
        </w:rPr>
        <w:t xml:space="preserve">Dasar regulasi nasional utama buku ini adalah Keputusan Ketua Konsil Kesehatan Indonesia No. HK.01.02/KKI/1318/2026 tentang Standar Kompetensi Dokter Spesialis dan Subspesialis Bidang Obstetri dan Ginekologi. Daftar berikut memuat sumber pengayaan standar internasional yang dirujuk pada bab-bab substantif, bernomor sesuai urutan kemunculan tanda kutipan [n] dalam teks.</w:t>
      </w:r>
    </w:p>
    <w:p>
      <w:pPr>
        <w:spacing w:after="140" w:line="280"/>
        <w:ind w:left="360" w:hanging="360"/>
      </w:pPr>
      <w:r>
        <w:rPr>
          <w:color w:val="334155"/>
          <w:sz w:val="20"/>
          <w:szCs w:val="20"/>
        </w:rPr>
        <w:t xml:space="preserve">[1]  World Health Organization. WHO Recommendations on Antenatal Care for a Positive Pregnancy Experience. Geneva: World Health Organization; 2016. Tersedia di: </w:t>
      </w:r>
      <w:hyperlink w:history="1" r:id="rIdphfhpwc3qvtwdfoctrq9z">
        <w:r>
          <w:rPr>
            <w:rFonts w:ascii="IBM Plex Mono" w:cs="IBM Plex Mono" w:eastAsia="IBM Plex Mono" w:hAnsi="IBM Plex Mono"/>
            <w:color w:val="4F46E5"/>
            <w:sz w:val="20"/>
            <w:szCs w:val="20"/>
            <w:u w:val="single"/>
          </w:rPr>
          <w:t xml:space="preserve">https://www.who.int/publications/i/item/9789241549912</w:t>
        </w:r>
      </w:hyperlink>
    </w:p>
    <w:p>
      <w:pPr>
        <w:spacing w:after="140" w:line="280"/>
        <w:ind w:left="360" w:hanging="360"/>
      </w:pPr>
      <w:r>
        <w:rPr>
          <w:color w:val="334155"/>
          <w:sz w:val="20"/>
          <w:szCs w:val="20"/>
        </w:rPr>
        <w:t xml:space="preserve">[2]  World Health Organization. Maternal and Fetal Assessment Update: Imaging Ultrasound before 24 Weeks of Pregnancy. Geneva: World Health Organization; 2022. Tersedia di: </w:t>
      </w:r>
      <w:hyperlink w:history="1" r:id="rIdyynmcmjtd-mdtvdeprx5e">
        <w:r>
          <w:rPr>
            <w:rFonts w:ascii="IBM Plex Mono" w:cs="IBM Plex Mono" w:eastAsia="IBM Plex Mono" w:hAnsi="IBM Plex Mono"/>
            <w:color w:val="4F46E5"/>
            <w:sz w:val="20"/>
            <w:szCs w:val="20"/>
            <w:u w:val="single"/>
          </w:rPr>
          <w:t xml:space="preserve">https://www.who.int/publications/i/item/9789240046009</w:t>
        </w:r>
      </w:hyperlink>
    </w:p>
    <w:p>
      <w:pPr>
        <w:spacing w:after="140" w:line="280"/>
        <w:ind w:left="360" w:hanging="360"/>
      </w:pPr>
      <w:r>
        <w:rPr>
          <w:color w:val="334155"/>
          <w:sz w:val="20"/>
          <w:szCs w:val="20"/>
        </w:rPr>
        <w:t xml:space="preserve">[3]  Hod M, Kapur A, Sacks DA, Hadar E, Agarwal M, Di Renzo GC, Roura LC, McIntyre HD, Morris JL, Divakar H. The International Federation of Gynecology and Obstetrics (FIGO) Initiative on Gestational Diabetes Mellitus: A Pragmatic Guide for Diagnosis, Management, and Care. International Journal of Gynecology &amp; Obstetrics. 2015;131(Suppl 3):S173–S211. Tersedia di: </w:t>
      </w:r>
      <w:hyperlink w:history="1" r:id="rId9f2j0bmehmmufv3zzgx8g">
        <w:r>
          <w:rPr>
            <w:rFonts w:ascii="IBM Plex Mono" w:cs="IBM Plex Mono" w:eastAsia="IBM Plex Mono" w:hAnsi="IBM Plex Mono"/>
            <w:color w:val="4F46E5"/>
            <w:sz w:val="20"/>
            <w:szCs w:val="20"/>
            <w:u w:val="single"/>
          </w:rPr>
          <w:t xml:space="preserve">https://obgyn.onlinelibrary.wiley.com/doi/10.1016/S0020-7292(15)30033-3</w:t>
        </w:r>
      </w:hyperlink>
    </w:p>
    <w:p>
      <w:pPr>
        <w:spacing w:after="140" w:line="280"/>
        <w:ind w:left="360" w:hanging="360"/>
      </w:pPr>
      <w:r>
        <w:rPr>
          <w:color w:val="334155"/>
          <w:sz w:val="20"/>
          <w:szCs w:val="20"/>
        </w:rPr>
        <w:t xml:space="preserve">[4]  World Health Organization. Medical Eligibility Criteria for Contraceptive Use, Sixth Edition. Geneva: World Health Organization; 2025. Tersedia di: </w:t>
      </w:r>
      <w:hyperlink w:history="1" r:id="rId65ci43rkjjrkljyaojh5x">
        <w:r>
          <w:rPr>
            <w:rFonts w:ascii="IBM Plex Mono" w:cs="IBM Plex Mono" w:eastAsia="IBM Plex Mono" w:hAnsi="IBM Plex Mono"/>
            <w:color w:val="4F46E5"/>
            <w:sz w:val="20"/>
            <w:szCs w:val="20"/>
            <w:u w:val="single"/>
          </w:rPr>
          <w:t xml:space="preserve">https://www.who.int/publications/i/item/9789240115583</w:t>
        </w:r>
      </w:hyperlink>
    </w:p>
    <w:p>
      <w:pPr>
        <w:spacing w:after="140" w:line="280"/>
        <w:ind w:left="360" w:hanging="360"/>
      </w:pPr>
      <w:r>
        <w:rPr>
          <w:color w:val="334155"/>
          <w:sz w:val="20"/>
          <w:szCs w:val="20"/>
        </w:rPr>
        <w:t xml:space="preserve">[5]  International Society of Ultrasound in Obstetrics and Gynecology; Bilardo CM, Chaoui R, Hyett JA, Kagan KO, Karim JN, Papageorghiou AT, Poon LC, Salomon LJ, Syngelaki A, Nicolaides KH. ISUOG Practice Guidelines (Updated): Performance of 11–14-Week Ultrasound Scan. Ultrasound in Obstetrics &amp; Gynecology. 2023;61(1):127–143. Tersedia di: </w:t>
      </w:r>
      <w:hyperlink w:history="1" r:id="rId26n-4oprbr1itweu9jbfl">
        <w:r>
          <w:rPr>
            <w:rFonts w:ascii="IBM Plex Mono" w:cs="IBM Plex Mono" w:eastAsia="IBM Plex Mono" w:hAnsi="IBM Plex Mono"/>
            <w:color w:val="4F46E5"/>
            <w:sz w:val="20"/>
            <w:szCs w:val="20"/>
            <w:u w:val="single"/>
          </w:rPr>
          <w:t xml:space="preserve">https://obgyn.onlinelibrary.wiley.com/doi/10.1002/uog.26106</w:t>
        </w:r>
      </w:hyperlink>
    </w:p>
    <w:p>
      <w:pPr>
        <w:spacing w:after="140" w:line="280"/>
        <w:ind w:left="360" w:hanging="360"/>
      </w:pPr>
      <w:r>
        <w:rPr>
          <w:color w:val="334155"/>
          <w:sz w:val="20"/>
          <w:szCs w:val="20"/>
        </w:rPr>
        <w:t xml:space="preserve">[6]  World Health Organization. WHO Guideline on Preventing Early Pregnancy and Poor Reproductive Outcomes among Adolescents in Low- and Middle-Income Countries. Geneva: World Health Organization; 2025. Tersedia di: </w:t>
      </w:r>
      <w:hyperlink w:history="1" r:id="rIducamxg0jmeydch2uki6nd">
        <w:r>
          <w:rPr>
            <w:rFonts w:ascii="IBM Plex Mono" w:cs="IBM Plex Mono" w:eastAsia="IBM Plex Mono" w:hAnsi="IBM Plex Mono"/>
            <w:color w:val="4F46E5"/>
            <w:sz w:val="20"/>
            <w:szCs w:val="20"/>
            <w:u w:val="single"/>
          </w:rPr>
          <w:t xml:space="preserve">https://www.ncbi.nlm.nih.gov/books/NBK616316/</w:t>
        </w:r>
      </w:hyperlink>
    </w:p>
    <w:p>
      <w:pPr>
        <w:spacing w:after="140" w:line="280"/>
        <w:ind w:left="360" w:hanging="360"/>
      </w:pPr>
      <w:r>
        <w:rPr>
          <w:color w:val="334155"/>
          <w:sz w:val="20"/>
          <w:szCs w:val="20"/>
        </w:rPr>
        <w:t xml:space="preserve">[7]  World Health Organization. Adolescent Pregnancy. Fact sheet, diperbarui April 2024. Geneva: World Health Organization; 2024. Tersedia di: </w:t>
      </w:r>
      <w:hyperlink w:history="1" r:id="rIdel3hvextkty1zf6sobb04">
        <w:r>
          <w:rPr>
            <w:rFonts w:ascii="IBM Plex Mono" w:cs="IBM Plex Mono" w:eastAsia="IBM Plex Mono" w:hAnsi="IBM Plex Mono"/>
            <w:color w:val="4F46E5"/>
            <w:sz w:val="20"/>
            <w:szCs w:val="20"/>
            <w:u w:val="single"/>
          </w:rPr>
          <w:t xml:space="preserve">https://www.who.int/news-room/fact-sheets/detail/adolescent-pregnancy</w:t>
        </w:r>
      </w:hyperlink>
    </w:p>
    <w:p>
      <w:pPr>
        <w:spacing w:after="140" w:line="280"/>
        <w:ind w:left="360" w:hanging="360"/>
      </w:pPr>
      <w:r>
        <w:rPr>
          <w:color w:val="334155"/>
          <w:sz w:val="20"/>
          <w:szCs w:val="20"/>
        </w:rPr>
        <w:t xml:space="preserve">[8]  Nelson-Piercy C, Dean C, Shehmar M, Gadsby R, O'Hara M, Hodson K, Nana M; on behalf of the Royal College of Obstetricians and Gynaecologists. The Management of Nausea and Vomiting in Pregnancy and Hyperemesis Gravidarum (Green-top Guideline No. 69). BJOG. 2024;131(7):e1–e30. Tersedia di: </w:t>
      </w:r>
      <w:hyperlink w:history="1" r:id="rIdjp08srh0u2-qtzb3c00xi">
        <w:r>
          <w:rPr>
            <w:rFonts w:ascii="IBM Plex Mono" w:cs="IBM Plex Mono" w:eastAsia="IBM Plex Mono" w:hAnsi="IBM Plex Mono"/>
            <w:color w:val="4F46E5"/>
            <w:sz w:val="20"/>
            <w:szCs w:val="20"/>
            <w:u w:val="single"/>
          </w:rPr>
          <w:t xml:space="preserve">https://www.rcog.org.uk/guidance/browse-all-guidance/green-top-guidelines/the-management-of-nausea-and-vomiting-of-pregnancy-and-hyperemesis-gravidarum-green-top-guideline-no-69/</w:t>
        </w:r>
      </w:hyperlink>
    </w:p>
    <w:p>
      <w:pPr>
        <w:spacing w:after="140" w:line="280"/>
        <w:ind w:left="360" w:hanging="360"/>
      </w:pPr>
      <w:r>
        <w:rPr>
          <w:color w:val="334155"/>
          <w:sz w:val="20"/>
          <w:szCs w:val="20"/>
        </w:rPr>
        <w:t xml:space="preserve">[9]  Dowswell T, Carroli G, Duley L, Gates S, Gülmezoglu AM, Khan-Neelofur D, Piaggio GGP. Alternative versus Standard Packages of Antenatal Care for Low-Risk Pregnancy. Cochrane Database of Systematic Reviews. 2015;(7):CD000934. Tersedia di: </w:t>
      </w:r>
      <w:hyperlink w:history="1" r:id="rId0xyaljh7kuv9fwk3a_x7-">
        <w:r>
          <w:rPr>
            <w:rFonts w:ascii="IBM Plex Mono" w:cs="IBM Plex Mono" w:eastAsia="IBM Plex Mono" w:hAnsi="IBM Plex Mono"/>
            <w:color w:val="4F46E5"/>
            <w:sz w:val="20"/>
            <w:szCs w:val="20"/>
            <w:u w:val="single"/>
          </w:rPr>
          <w:t xml:space="preserve">https://www.cochranelibrary.com/cdsr/doi/10.1002/14651858.CD000934.pub3/information</w:t>
        </w:r>
      </w:hyperlink>
    </w:p>
    <w:p>
      <w:pPr>
        <w:spacing w:after="140" w:line="280"/>
        <w:ind w:left="360" w:hanging="360"/>
      </w:pPr>
      <w:r>
        <w:rPr>
          <w:color w:val="334155"/>
          <w:sz w:val="20"/>
          <w:szCs w:val="20"/>
        </w:rPr>
        <w:t xml:space="preserve">[10]  American College of Obstetricians and Gynecologists' Committee on Clinical Consensus–Obstetrics. Tailored Prenatal Care Delivery for Pregnant Individuals. Washington, DC: American College of Obstetricians and Gynecologists; 2025. Tersedia di: </w:t>
      </w:r>
      <w:hyperlink w:history="1" r:id="rIdvztkmkenewydpnoehne6l">
        <w:r>
          <w:rPr>
            <w:rFonts w:ascii="IBM Plex Mono" w:cs="IBM Plex Mono" w:eastAsia="IBM Plex Mono" w:hAnsi="IBM Plex Mono"/>
            <w:color w:val="4F46E5"/>
            <w:sz w:val="20"/>
            <w:szCs w:val="20"/>
            <w:u w:val="single"/>
          </w:rPr>
          <w:t xml:space="preserve">https://www.acog.org/clinical/clinical-guidance/clinical-consensus/articles/2025/04/tailored-prenatal-care-delivery-for-pregnant-individuals</w:t>
        </w:r>
      </w:hyperlink>
    </w:p>
    <w:p>
      <w:pPr>
        <w:pStyle w:val="Heading1"/>
        <w:pageBreakBefore/>
        <w:spacing w:after="200" w:before="300"/>
      </w:pPr>
      <w:r>
        <w:t xml:space="preserve">Glossarium</w:t>
      </w:r>
    </w:p>
    <w:p>
      <w:pPr>
        <w:spacing w:after="120" w:line="280"/>
      </w:pPr>
      <w:r>
        <w:rPr>
          <w:rFonts w:ascii="IBM Plex Sans" w:cs="IBM Plex Sans" w:eastAsia="IBM Plex Sans" w:hAnsi="IBM Plex Sans"/>
          <w:b/>
          <w:bCs/>
          <w:color w:val="4F46E5"/>
          <w:sz w:val="21"/>
          <w:szCs w:val="21"/>
        </w:rPr>
        <w:t xml:space="preserve">AKDR — </w:t>
      </w:r>
      <w:r>
        <w:rPr>
          <w:color w:val="334155"/>
          <w:sz w:val="21"/>
          <w:szCs w:val="21"/>
        </w:rPr>
        <w:t xml:space="preserve">Alat Kontrasepsi Dalam Rahim; padanan istilah IUD (intrauterine device), perangkat kontrasepsi yang dipasang di dalam kavum uteri.</w:t>
      </w:r>
    </w:p>
    <w:p>
      <w:pPr>
        <w:spacing w:after="120" w:line="280"/>
      </w:pPr>
      <w:r>
        <w:rPr>
          <w:rFonts w:ascii="IBM Plex Sans" w:cs="IBM Plex Sans" w:eastAsia="IBM Plex Sans" w:hAnsi="IBM Plex Sans"/>
          <w:b/>
          <w:bCs/>
          <w:color w:val="4F46E5"/>
          <w:sz w:val="21"/>
          <w:szCs w:val="21"/>
        </w:rPr>
        <w:t xml:space="preserve">Amenore — </w:t>
      </w:r>
      <w:r>
        <w:rPr>
          <w:color w:val="334155"/>
          <w:sz w:val="21"/>
          <w:szCs w:val="21"/>
        </w:rPr>
        <w:t xml:space="preserve">Tidak terjadinya menstruasi; pada konteks pascasalin dapat bersifat fisiologis akibat menyusui (lihat LAM).</w:t>
      </w:r>
    </w:p>
    <w:p>
      <w:pPr>
        <w:spacing w:after="120" w:line="280"/>
      </w:pPr>
      <w:r>
        <w:rPr>
          <w:rFonts w:ascii="IBM Plex Sans" w:cs="IBM Plex Sans" w:eastAsia="IBM Plex Sans" w:hAnsi="IBM Plex Sans"/>
          <w:b/>
          <w:bCs/>
          <w:color w:val="4F46E5"/>
          <w:sz w:val="21"/>
          <w:szCs w:val="21"/>
        </w:rPr>
        <w:t xml:space="preserve">ANC (Antenatal Care) — </w:t>
      </w:r>
      <w:r>
        <w:rPr>
          <w:color w:val="334155"/>
          <w:sz w:val="21"/>
          <w:szCs w:val="21"/>
        </w:rPr>
        <w:t xml:space="preserve">Asuhan/pemeriksaan kehamilan; rangkaian kontak terjadwal antara ibu hamil dan tenaga kesehatan sepanjang masa kehamilan.</w:t>
      </w:r>
    </w:p>
    <w:p>
      <w:pPr>
        <w:spacing w:after="120" w:line="280"/>
      </w:pPr>
      <w:r>
        <w:rPr>
          <w:rFonts w:ascii="IBM Plex Sans" w:cs="IBM Plex Sans" w:eastAsia="IBM Plex Sans" w:hAnsi="IBM Plex Sans"/>
          <w:b/>
          <w:bCs/>
          <w:color w:val="4F46E5"/>
          <w:sz w:val="21"/>
          <w:szCs w:val="21"/>
        </w:rPr>
        <w:t xml:space="preserve">Aneuploidi — </w:t>
      </w:r>
      <w:r>
        <w:rPr>
          <w:color w:val="334155"/>
          <w:sz w:val="21"/>
          <w:szCs w:val="21"/>
        </w:rPr>
        <w:t xml:space="preserve">Kelainan jumlah kromosom, mis. trisomi 21 (sindrom Down); dapat dideteksi melalui skrining trimester pertama.</w:t>
      </w:r>
    </w:p>
    <w:p>
      <w:pPr>
        <w:spacing w:after="120" w:line="280"/>
      </w:pPr>
      <w:r>
        <w:rPr>
          <w:rFonts w:ascii="IBM Plex Sans" w:cs="IBM Plex Sans" w:eastAsia="IBM Plex Sans" w:hAnsi="IBM Plex Sans"/>
          <w:b/>
          <w:bCs/>
          <w:color w:val="4F46E5"/>
          <w:sz w:val="21"/>
          <w:szCs w:val="21"/>
        </w:rPr>
        <w:t xml:space="preserve">FIGO — </w:t>
      </w:r>
      <w:r>
        <w:rPr>
          <w:color w:val="334155"/>
          <w:sz w:val="21"/>
          <w:szCs w:val="21"/>
        </w:rPr>
        <w:t xml:space="preserve">International Federation of Gynecology and Obstetrics; federasi internasional organisasi profesi obstetri dan ginekologi.</w:t>
      </w:r>
    </w:p>
    <w:p>
      <w:pPr>
        <w:spacing w:after="120" w:line="280"/>
      </w:pPr>
      <w:r>
        <w:rPr>
          <w:rFonts w:ascii="IBM Plex Sans" w:cs="IBM Plex Sans" w:eastAsia="IBM Plex Sans" w:hAnsi="IBM Plex Sans"/>
          <w:b/>
          <w:bCs/>
          <w:color w:val="4F46E5"/>
          <w:sz w:val="21"/>
          <w:szCs w:val="21"/>
        </w:rPr>
        <w:t xml:space="preserve">GFR (Glomerular Filtration Rate) — </w:t>
      </w:r>
      <w:r>
        <w:rPr>
          <w:color w:val="334155"/>
          <w:sz w:val="21"/>
          <w:szCs w:val="21"/>
        </w:rPr>
        <w:t xml:space="preserve">Laju filtrasi glomerulus; parameter fungsi ginjal yang meningkat fisiologis selama kehamilan.</w:t>
      </w:r>
    </w:p>
    <w:p>
      <w:pPr>
        <w:spacing w:after="120" w:line="280"/>
      </w:pPr>
      <w:r>
        <w:rPr>
          <w:rFonts w:ascii="IBM Plex Sans" w:cs="IBM Plex Sans" w:eastAsia="IBM Plex Sans" w:hAnsi="IBM Plex Sans"/>
          <w:b/>
          <w:bCs/>
          <w:color w:val="4F46E5"/>
          <w:sz w:val="21"/>
          <w:szCs w:val="21"/>
        </w:rPr>
        <w:t xml:space="preserve">hCG (human Chorionic Gonadotropin) — </w:t>
      </w:r>
      <w:r>
        <w:rPr>
          <w:color w:val="334155"/>
          <w:sz w:val="21"/>
          <w:szCs w:val="21"/>
        </w:rPr>
        <w:t xml:space="preserve">Hormon glikoprotein yang diproduksi oleh jaringan trofoblas; dasar konfirmasi biokimiawi kehamilan.</w:t>
      </w:r>
    </w:p>
    <w:p>
      <w:pPr>
        <w:spacing w:after="120" w:line="280"/>
      </w:pPr>
      <w:r>
        <w:rPr>
          <w:rFonts w:ascii="IBM Plex Sans" w:cs="IBM Plex Sans" w:eastAsia="IBM Plex Sans" w:hAnsi="IBM Plex Sans"/>
          <w:b/>
          <w:bCs/>
          <w:color w:val="4F46E5"/>
          <w:sz w:val="21"/>
          <w:szCs w:val="21"/>
        </w:rPr>
        <w:t xml:space="preserve">hPL (human Placental Lactogen) — </w:t>
      </w:r>
      <w:r>
        <w:rPr>
          <w:color w:val="334155"/>
          <w:sz w:val="21"/>
          <w:szCs w:val="21"/>
        </w:rPr>
        <w:t xml:space="preserve">Hormon yang diproduksi plasenta dengan efek diabetogenik, berperan dalam resistensi insulin maternal.</w:t>
      </w:r>
    </w:p>
    <w:p>
      <w:pPr>
        <w:spacing w:after="120" w:line="280"/>
      </w:pPr>
      <w:r>
        <w:rPr>
          <w:rFonts w:ascii="IBM Plex Sans" w:cs="IBM Plex Sans" w:eastAsia="IBM Plex Sans" w:hAnsi="IBM Plex Sans"/>
          <w:b/>
          <w:bCs/>
          <w:color w:val="4F46E5"/>
          <w:sz w:val="21"/>
          <w:szCs w:val="21"/>
        </w:rPr>
        <w:t xml:space="preserve">ICD-10 / ICD-11 — </w:t>
      </w:r>
      <w:r>
        <w:rPr>
          <w:color w:val="334155"/>
          <w:sz w:val="21"/>
          <w:szCs w:val="21"/>
        </w:rPr>
        <w:t xml:space="preserve">International Statistical Classification of Diseases and Related Health Problems, revisi ke-10 dan ke-11; sistem klasifikasi diagnosis yang diterbitkan WHO.</w:t>
      </w:r>
    </w:p>
    <w:p>
      <w:pPr>
        <w:spacing w:after="120" w:line="280"/>
      </w:pPr>
      <w:r>
        <w:rPr>
          <w:rFonts w:ascii="IBM Plex Sans" w:cs="IBM Plex Sans" w:eastAsia="IBM Plex Sans" w:hAnsi="IBM Plex Sans"/>
          <w:b/>
          <w:bCs/>
          <w:color w:val="4F46E5"/>
          <w:sz w:val="21"/>
          <w:szCs w:val="21"/>
        </w:rPr>
        <w:t xml:space="preserve">ISUOG — </w:t>
      </w:r>
      <w:r>
        <w:rPr>
          <w:color w:val="334155"/>
          <w:sz w:val="21"/>
          <w:szCs w:val="21"/>
        </w:rPr>
        <w:t xml:space="preserve">International Society of Ultrasound in Obstetrics and Gynecology; organisasi profesi internasional bidang ultrasonografi obstetri-ginekologi.</w:t>
      </w:r>
    </w:p>
    <w:p>
      <w:pPr>
        <w:spacing w:after="120" w:line="280"/>
      </w:pPr>
      <w:r>
        <w:rPr>
          <w:rFonts w:ascii="IBM Plex Sans" w:cs="IBM Plex Sans" w:eastAsia="IBM Plex Sans" w:hAnsi="IBM Plex Sans"/>
          <w:b/>
          <w:bCs/>
          <w:color w:val="4F46E5"/>
          <w:sz w:val="21"/>
          <w:szCs w:val="21"/>
        </w:rPr>
        <w:t xml:space="preserve">Kepkonsil — </w:t>
      </w:r>
      <w:r>
        <w:rPr>
          <w:color w:val="334155"/>
          <w:sz w:val="21"/>
          <w:szCs w:val="21"/>
        </w:rPr>
        <w:t xml:space="preserve">Keputusan Ketua Konsil Kesehatan Indonesia; dasar regulasi nasional yang menjadi acuan utama standar kompetensi dalam buku ini.</w:t>
      </w:r>
    </w:p>
    <w:p>
      <w:pPr>
        <w:spacing w:after="120" w:line="280"/>
      </w:pPr>
      <w:r>
        <w:rPr>
          <w:rFonts w:ascii="IBM Plex Sans" w:cs="IBM Plex Sans" w:eastAsia="IBM Plex Sans" w:hAnsi="IBM Plex Sans"/>
          <w:b/>
          <w:bCs/>
          <w:color w:val="4F46E5"/>
          <w:sz w:val="21"/>
          <w:szCs w:val="21"/>
        </w:rPr>
        <w:t xml:space="preserve">Kontak Antenatal — </w:t>
      </w:r>
      <w:r>
        <w:rPr>
          <w:color w:val="334155"/>
          <w:sz w:val="21"/>
          <w:szCs w:val="21"/>
        </w:rPr>
        <w:t xml:space="preserve">Istilah yang digunakan WHO menggantikan 'kunjungan' untuk menekankan sifat komunikasi dua arah pada setiap pertemuan asuhan kehamilan.</w:t>
      </w:r>
    </w:p>
    <w:p>
      <w:pPr>
        <w:spacing w:after="120" w:line="280"/>
      </w:pPr>
      <w:r>
        <w:rPr>
          <w:rFonts w:ascii="IBM Plex Sans" w:cs="IBM Plex Sans" w:eastAsia="IBM Plex Sans" w:hAnsi="IBM Plex Sans"/>
          <w:b/>
          <w:bCs/>
          <w:color w:val="4F46E5"/>
          <w:sz w:val="21"/>
          <w:szCs w:val="21"/>
        </w:rPr>
        <w:t xml:space="preserve">LAM (Lactational Amenorrhea Method) — </w:t>
      </w:r>
      <w:r>
        <w:rPr>
          <w:color w:val="334155"/>
          <w:sz w:val="21"/>
          <w:szCs w:val="21"/>
        </w:rPr>
        <w:t xml:space="preserve">Metode Amenore Laktasi; metode kontrasepsi alami berbasis menyusui eksklusif, amenore, dan bayi berusia kurang dari 6 bulan.</w:t>
      </w:r>
    </w:p>
    <w:p>
      <w:pPr>
        <w:spacing w:after="120" w:line="280"/>
      </w:pPr>
      <w:r>
        <w:rPr>
          <w:rFonts w:ascii="IBM Plex Sans" w:cs="IBM Plex Sans" w:eastAsia="IBM Plex Sans" w:hAnsi="IBM Plex Sans"/>
          <w:b/>
          <w:bCs/>
          <w:color w:val="4F46E5"/>
          <w:sz w:val="21"/>
          <w:szCs w:val="21"/>
        </w:rPr>
        <w:t xml:space="preserve">LARC (Long-Acting Reversible Contraception) — </w:t>
      </w:r>
      <w:r>
        <w:rPr>
          <w:color w:val="334155"/>
          <w:sz w:val="21"/>
          <w:szCs w:val="21"/>
        </w:rPr>
        <w:t xml:space="preserve">Kontrasepsi reversibel jangka panjang, mencakup AKDR dan implan, dengan efektivitas tinggi tanpa ketergantungan pada kepatuhan harian.</w:t>
      </w:r>
    </w:p>
    <w:p>
      <w:pPr>
        <w:spacing w:after="120" w:line="280"/>
      </w:pPr>
      <w:r>
        <w:rPr>
          <w:rFonts w:ascii="IBM Plex Sans" w:cs="IBM Plex Sans" w:eastAsia="IBM Plex Sans" w:hAnsi="IBM Plex Sans"/>
          <w:b/>
          <w:bCs/>
          <w:color w:val="4F46E5"/>
          <w:sz w:val="21"/>
          <w:szCs w:val="21"/>
        </w:rPr>
        <w:t xml:space="preserve">MEC (Medical Eligibility Criteria) — </w:t>
      </w:r>
      <w:r>
        <w:rPr>
          <w:color w:val="334155"/>
          <w:sz w:val="21"/>
          <w:szCs w:val="21"/>
        </w:rPr>
        <w:t xml:space="preserve">Kriteria Kelayakan Medis untuk penggunaan kontrasepsi yang diterbitkan WHO, terdiri atas 4 kategori kelayakan penggunaan metode pada kondisi medis tertentu.</w:t>
      </w:r>
    </w:p>
    <w:p>
      <w:pPr>
        <w:spacing w:after="120" w:line="280"/>
      </w:pPr>
      <w:r>
        <w:rPr>
          <w:rFonts w:ascii="IBM Plex Sans" w:cs="IBM Plex Sans" w:eastAsia="IBM Plex Sans" w:hAnsi="IBM Plex Sans"/>
          <w:b/>
          <w:bCs/>
          <w:color w:val="4F46E5"/>
          <w:sz w:val="21"/>
          <w:szCs w:val="21"/>
        </w:rPr>
        <w:t xml:space="preserve">Nifas (Puerperium) — </w:t>
      </w:r>
      <w:r>
        <w:rPr>
          <w:color w:val="334155"/>
          <w:sz w:val="21"/>
          <w:szCs w:val="21"/>
        </w:rPr>
        <w:t xml:space="preserve">Masa pascapersalinan, umumnya berlangsung hingga 6 minggu, saat organ reproduksi maternal kembali ke kondisi tidak hamil.</w:t>
      </w:r>
    </w:p>
    <w:p>
      <w:pPr>
        <w:spacing w:after="120" w:line="280"/>
      </w:pPr>
      <w:r>
        <w:rPr>
          <w:rFonts w:ascii="IBM Plex Sans" w:cs="IBM Plex Sans" w:eastAsia="IBM Plex Sans" w:hAnsi="IBM Plex Sans"/>
          <w:b/>
          <w:bCs/>
          <w:color w:val="4F46E5"/>
          <w:sz w:val="21"/>
          <w:szCs w:val="21"/>
        </w:rPr>
        <w:t xml:space="preserve">PPDS — </w:t>
      </w:r>
      <w:r>
        <w:rPr>
          <w:color w:val="334155"/>
          <w:sz w:val="21"/>
          <w:szCs w:val="21"/>
        </w:rPr>
        <w:t xml:space="preserve">Program Pendidikan Dokter Spesialis.</w:t>
      </w:r>
    </w:p>
    <w:p>
      <w:pPr>
        <w:spacing w:after="120" w:line="280"/>
      </w:pPr>
      <w:r>
        <w:rPr>
          <w:rFonts w:ascii="IBM Plex Sans" w:cs="IBM Plex Sans" w:eastAsia="IBM Plex Sans" w:hAnsi="IBM Plex Sans"/>
          <w:b/>
          <w:bCs/>
          <w:color w:val="4F46E5"/>
          <w:sz w:val="21"/>
          <w:szCs w:val="21"/>
        </w:rPr>
        <w:t xml:space="preserve">RCOG — </w:t>
      </w:r>
      <w:r>
        <w:rPr>
          <w:color w:val="334155"/>
          <w:sz w:val="21"/>
          <w:szCs w:val="21"/>
        </w:rPr>
        <w:t xml:space="preserve">Royal College of Obstetricians and Gynaecologists; kolegium profesi obstetri-ginekologi Inggris yang menerbitkan Green-top Guidelines.</w:t>
      </w:r>
    </w:p>
    <w:p>
      <w:pPr>
        <w:spacing w:after="120" w:line="280"/>
      </w:pPr>
      <w:r>
        <w:rPr>
          <w:rFonts w:ascii="IBM Plex Sans" w:cs="IBM Plex Sans" w:eastAsia="IBM Plex Sans" w:hAnsi="IBM Plex Sans"/>
          <w:b/>
          <w:bCs/>
          <w:color w:val="4F46E5"/>
          <w:sz w:val="21"/>
          <w:szCs w:val="21"/>
        </w:rPr>
        <w:t xml:space="preserve">Trimester — </w:t>
      </w:r>
      <w:r>
        <w:rPr>
          <w:color w:val="334155"/>
          <w:sz w:val="21"/>
          <w:szCs w:val="21"/>
        </w:rPr>
        <w:t xml:space="preserve">Pembagian usia kehamilan menjadi tiga periode: trimester I (0–13 minggu), trimester II (14–27 minggu), trimester III (≥28 minggu).</w:t>
      </w:r>
    </w:p>
    <w:p>
      <w:pPr>
        <w:spacing w:after="120" w:line="280"/>
      </w:pPr>
      <w:r>
        <w:rPr>
          <w:rFonts w:ascii="IBM Plex Sans" w:cs="IBM Plex Sans" w:eastAsia="IBM Plex Sans" w:hAnsi="IBM Plex Sans"/>
          <w:b/>
          <w:bCs/>
          <w:color w:val="4F46E5"/>
          <w:sz w:val="21"/>
          <w:szCs w:val="21"/>
        </w:rPr>
        <w:t xml:space="preserve">WHO — </w:t>
      </w:r>
      <w:r>
        <w:rPr>
          <w:color w:val="334155"/>
          <w:sz w:val="21"/>
          <w:szCs w:val="21"/>
        </w:rPr>
        <w:t xml:space="preserve">World Health Organization; Organisasi Kesehatan Dunia, badan kesehatan PBB yang menerbitkan pedoman rujukan internasional.</w:t>
      </w:r>
    </w:p>
    <w:sectPr>
      <w:headerReference w:type="default" r:id="rId9"/>
      <w:footerReference w:type="default" r:id="rId10"/>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334155"/>
        <w:sz w:val="16"/>
        <w:szCs w:val="16"/>
      </w:rPr>
      <w:t xml:space="preserve">Dokumen B2 dari 15 — Halaman </w:t>
    </w:r>
    <w:r>
      <w:rPr>
        <w:rFonts w:ascii="IBM Plex Sans" w:cs="IBM Plex Sans" w:eastAsia="IBM Plex Sans" w:hAnsi="IBM Plex Sans"/>
        <w:color w:val="334155"/>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334155"/>
        <w:sz w:val="16"/>
        <w:szCs w:val="16"/>
      </w:rPr>
      <w:t xml:space="preserve">Dokumen B2 dari 15 — </w:t>
    </w:r>
    <w:r>
      <w:rPr>
        <w:rFonts w:ascii="IBM Plex Sans" w:cs="IBM Plex Sans" w:eastAsia="IBM Plex Sans" w:hAnsi="IBM Plex Sans"/>
        <w:color w:val="B45309"/>
        <w:sz w:val="15"/>
        <w:szCs w:val="15"/>
      </w:rPr>
      <w:t xml:space="preserve">Sebelumnya: B1 · Berikutnya: B3 — </w:t>
    </w:r>
    <w:r>
      <w:rPr>
        <w:rFonts w:ascii="IBM Plex Sans" w:cs="IBM Plex Sans" w:eastAsia="IBM Plex Sans" w:hAnsi="IBM Plex Sans"/>
        <w:color w:val="334155"/>
        <w:sz w:val="16"/>
        <w:szCs w:val="16"/>
      </w:rPr>
      <w:t xml:space="preserve">Halaman </w:t>
    </w:r>
    <w:r>
      <w:rPr>
        <w:rFonts w:ascii="IBM Plex Sans" w:cs="IBM Plex Sans" w:eastAsia="IBM Plex Sans" w:hAnsi="IBM Plex Sans"/>
        <w:color w:val="3341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45309" w:sz="4" w:space="4"/>
      </w:pBdr>
      <w:tabs>
        <w:tab w:val="right" w:pos="9026"/>
      </w:tabs>
    </w:pPr>
    <w:r>
      <w:rPr>
        <w:rFonts w:ascii="IBM Plex Sans" w:cs="IBM Plex Sans" w:eastAsia="IBM Plex Sans" w:hAnsi="IBM Plex Sans"/>
        <w:color w:val="B45309"/>
        <w:sz w:val="16"/>
        <w:szCs w:val="16"/>
      </w:rPr>
      <w:t xml:space="preserve">Perpustakaan Digital ABBA — Dokumen B2</w:t>
    </w:r>
    <w:r>
      <w:rPr>
        <w:rFonts w:ascii="IBM Plex Sans" w:cs="IBM Plex Sans" w:eastAsia="IBM Plex Sans" w:hAnsi="IBM Plex Sans"/>
        <w:color w:val="334155"/>
        <w:sz w:val="16"/>
        <w:szCs w:val="16"/>
      </w:rPr>
      <w:t xml:space="preserve">	Obstetri Fisiologis dan Asuhan Antenatal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45309" w:sz="4" w:space="4"/>
      </w:pBdr>
      <w:tabs>
        <w:tab w:val="right" w:pos="9026"/>
      </w:tabs>
    </w:pPr>
    <w:r>
      <w:rPr>
        <w:rFonts w:ascii="IBM Plex Sans" w:cs="IBM Plex Sans" w:eastAsia="IBM Plex Sans" w:hAnsi="IBM Plex Sans"/>
        <w:color w:val="B45309"/>
        <w:sz w:val="16"/>
        <w:szCs w:val="16"/>
      </w:rPr>
      <w:t xml:space="preserve">Perpustakaan Digital ABBA — Dokumen B2</w:t>
    </w:r>
    <w:r>
      <w:rPr>
        <w:rFonts w:ascii="IBM Plex Sans" w:cs="IBM Plex Sans" w:eastAsia="IBM Plex Sans" w:hAnsi="IBM Plex Sans"/>
        <w:color w:val="334155"/>
        <w:sz w:val="16"/>
        <w:szCs w:val="16"/>
      </w:rPr>
      <w:t xml:space="preserve">	Obstetri Fisiologis dan Asuhan Antenatal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45309" w:sz="8" w:space="6"/>
      </w:pBdr>
      <w:spacing w:after="200" w:before="320"/>
    </w:pPr>
    <w:rPr>
      <w:rFonts w:ascii="Source Serif 4" w:cs="Source Serif 4" w:eastAsia="Source Serif 4" w:hAnsi="Source Serif 4"/>
      <w:b/>
      <w:bCs/>
      <w:color w:val="4F46E5"/>
      <w:sz w:val="32"/>
      <w:szCs w:val="32"/>
    </w:rPr>
  </w:style>
  <w:style w:type="paragraph" w:styleId="Heading2">
    <w:name w:val="Heading 2"/>
    <w:basedOn w:val="Normal"/>
    <w:next w:val="Normal"/>
    <w:qFormat/>
    <w:pPr>
      <w:spacing w:after="140" w:before="240"/>
    </w:pPr>
    <w:rPr>
      <w:rFonts w:ascii="Source Serif 4" w:cs="Source Serif 4" w:eastAsia="Source Serif 4" w:hAnsi="Source Serif 4"/>
      <w:b/>
      <w:bCs/>
      <w:color w:val="334155"/>
      <w:sz w:val="25"/>
      <w:szCs w:val="25"/>
    </w:rPr>
  </w:style>
  <w:style w:type="paragraph" w:styleId="Heading3">
    <w:name w:val="Heading 3"/>
    <w:basedOn w:val="Normal"/>
    <w:next w:val="Normal"/>
    <w:qFormat/>
    <w:pPr>
      <w:spacing w:after="100" w:before="180"/>
    </w:pPr>
    <w:rPr>
      <w:rFonts w:ascii="Source Serif 4" w:cs="Source Serif 4" w:eastAsia="Source Serif 4" w:hAnsi="Source Serif 4"/>
      <w:b/>
      <w:bCs/>
      <w:i/>
      <w:iCs/>
      <w:color w:val="334155"/>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phfhpwc3qvtwdfoctrq9z" Type="http://schemas.openxmlformats.org/officeDocument/2006/relationships/hyperlink" Target="https://www.who.int/publications/i/item/9789241549912" TargetMode="External"/><Relationship Id="rIdyynmcmjtd-mdtvdeprx5e" Type="http://schemas.openxmlformats.org/officeDocument/2006/relationships/hyperlink" Target="https://www.who.int/publications/i/item/9789240046009" TargetMode="External"/><Relationship Id="rId9f2j0bmehmmufv3zzgx8g" Type="http://schemas.openxmlformats.org/officeDocument/2006/relationships/hyperlink" Target="https://obgyn.onlinelibrary.wiley.com/doi/10.1016/S0020-7292(15)30033-3" TargetMode="External"/><Relationship Id="rId65ci43rkjjrkljyaojh5x" Type="http://schemas.openxmlformats.org/officeDocument/2006/relationships/hyperlink" Target="https://www.who.int/publications/i/item/9789240115583" TargetMode="External"/><Relationship Id="rId26n-4oprbr1itweu9jbfl" Type="http://schemas.openxmlformats.org/officeDocument/2006/relationships/hyperlink" Target="https://obgyn.onlinelibrary.wiley.com/doi/10.1002/uog.26106" TargetMode="External"/><Relationship Id="rIducamxg0jmeydch2uki6nd" Type="http://schemas.openxmlformats.org/officeDocument/2006/relationships/hyperlink" Target="https://www.ncbi.nlm.nih.gov/books/NBK616316/" TargetMode="External"/><Relationship Id="rIdel3hvextkty1zf6sobb04" Type="http://schemas.openxmlformats.org/officeDocument/2006/relationships/hyperlink" Target="https://www.who.int/news-room/fact-sheets/detail/adolescent-pregnancy" TargetMode="External"/><Relationship Id="rIdjp08srh0u2-qtzb3c00xi" Type="http://schemas.openxmlformats.org/officeDocument/2006/relationships/hyperlink" Target="https://www.rcog.org.uk/guidance/browse-all-guidance/green-top-guidelines/the-management-of-nausea-and-vomiting-of-pregnancy-and-hyperemesis-gravidarum-green-top-guideline-no-69/" TargetMode="External"/><Relationship Id="rId0xyaljh7kuv9fwk3a_x7-" Type="http://schemas.openxmlformats.org/officeDocument/2006/relationships/hyperlink" Target="https://www.cochranelibrary.com/cdsr/doi/10.1002/14651858.CD000934.pub3/information" TargetMode="External"/><Relationship Id="rIdvztkmkenewydpnoehne6l" Type="http://schemas.openxmlformats.org/officeDocument/2006/relationships/hyperlink" Target="https://www.acog.org/clinical/clinical-guidance/clinical-consensus/articles/2025/04/tailored-prenatal-care-delivery-for-pregnant-individuals" TargetMode="External"/><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Obstetri Fisiologis dan Asuhan Antenatal</dc:title>
  <dc:creator>Dr.dr. Budi Siswanto, Sp.OG., Subsp.Obginsos., SH., S.Kom.</dc:creator>
  <cp:lastModifiedBy>Un-named</cp:lastModifiedBy>
  <cp:revision>1</cp:revision>
  <dcterms:created xsi:type="dcterms:W3CDTF">2026-08-17T03:26:14.666Z</dcterms:created>
  <dcterms:modified xsi:type="dcterms:W3CDTF">2026-08-17T03:26:14.678Z</dcterms:modified>
</cp:coreProperties>
</file>

<file path=docProps/custom.xml><?xml version="1.0" encoding="utf-8"?>
<Properties xmlns="http://schemas.openxmlformats.org/officeDocument/2006/custom-properties" xmlns:vt="http://schemas.openxmlformats.org/officeDocument/2006/docPropsVTypes"/>
</file>