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jc w:val="center"/>
      </w:pPr>
      <w:r>
        <w:rPr>
          <w:rFonts w:ascii="IBM Plex Sans" w:cs="IBM Plex Sans" w:eastAsia="IBM Plex Sans" w:hAnsi="IBM Plex Sans"/>
          <w:b/>
          <w:bCs/>
          <w:caps/>
          <w:color w:val="B45309"/>
          <w:sz w:val="20"/>
          <w:szCs w:val="20"/>
        </w:rPr>
        <w:t xml:space="preserve">PERPUSTAKAAN DIGITAL ABBA</w:t>
      </w:r>
    </w:p>
    <w:p>
      <w:pPr>
        <w:spacing w:after="60" w:before="60"/>
        <w:jc w:val="center"/>
      </w:pPr>
      <w:r>
        <w:rPr>
          <w:rFonts w:ascii="IBM Plex Sans" w:cs="IBM Plex Sans" w:eastAsia="IBM Plex Sans" w:hAnsi="IBM Plex Sans"/>
          <w:color w:val="64748B"/>
          <w:sz w:val="20"/>
          <w:szCs w:val="20"/>
        </w:rPr>
        <w:t xml:space="preserve">Ekosistem Literatur Standar Spesialis Obstetri dan Ginekologi</w:t>
      </w:r>
    </w:p>
    <w:p>
      <w:pPr>
        <w:spacing w:before="500"/>
        <w:jc w:val="center"/>
      </w:pPr>
      <w:r>
        <w:rPr>
          <w:rFonts w:ascii="IBM Plex Sans" w:cs="IBM Plex Sans" w:eastAsia="IBM Plex Sans" w:hAnsi="IBM Plex Sans"/>
          <w:b/>
          <w:bCs/>
          <w:caps/>
          <w:color w:val="4F46E5"/>
          <w:sz w:val="24"/>
          <w:szCs w:val="24"/>
        </w:rPr>
        <w:t xml:space="preserve">Buku Tematik B4</w:t>
      </w:r>
    </w:p>
    <w:p>
      <w:pPr>
        <w:spacing w:after="200" w:before="200"/>
        <w:jc w:val="center"/>
      </w:pPr>
      <w:r>
        <w:rPr>
          <w:rFonts w:ascii="Source Serif 4" w:cs="Source Serif 4" w:eastAsia="Source Serif 4" w:hAnsi="Source Serif 4"/>
          <w:b/>
          <w:bCs/>
          <w:color w:val="3730A3"/>
          <w:sz w:val="52"/>
          <w:szCs w:val="52"/>
        </w:rPr>
        <w:t xml:space="preserve">Kehamilan dengan Penyakit Penyerta (Komorbiditas Medis dan Infeksi)</w:t>
      </w:r>
    </w:p>
    <w:p>
      <w:pPr>
        <w:spacing w:before="400"/>
        <w:jc w:val="center"/>
      </w:pPr>
      <w:r>
        <w:rPr>
          <w:rFonts w:ascii="IBM Plex Sans" w:cs="IBM Plex Sans" w:eastAsia="IBM Plex Sans" w:hAnsi="IBM Plex Sans"/>
          <w:i/>
          <w:iCs/>
          <w:color w:val="334155"/>
          <w:sz w:val="21"/>
          <w:szCs w:val="21"/>
        </w:rPr>
        <w:t xml:space="preserve">Peserta Program Pendidikan Dokter Spesialis (PPDS) Obstetri dan Ginekologi tahun II-IV</w:t>
      </w:r>
    </w:p>
    <w:p>
      <w:pPr>
        <w:spacing w:before="200"/>
        <w:jc w:val="center"/>
      </w:pPr>
      <w:r>
        <w:rPr>
          <w:rFonts w:ascii="IBM Plex Sans" w:cs="IBM Plex Sans" w:eastAsia="IBM Plex Sans" w:hAnsi="IBM Plex Sans"/>
          <w:b/>
          <w:bCs/>
          <w:color w:val="64748B"/>
          <w:sz w:val="20"/>
          <w:szCs w:val="20"/>
        </w:rPr>
        <w:t xml:space="preserve">Dr.dr. Budi Siswanto, Sp.OG., Subsp.Obginsos., SH., S.Kom.</w:t>
      </w:r>
    </w:p>
    <w:p>
      <w:pPr>
        <w:spacing w:before="900"/>
      </w:pPr>
    </w:p>
    <w:tbl>
      <w:tblPr>
        <w:tblW w:type="pct" w:w="100%"/>
        <w:tblBorders>
          <w:top w:val="single" w:color="4F46E5" w:sz="24"/>
          <w:left w:val="single" w:color="EEF2FF" w:sz="2"/>
          <w:bottom w:val="single" w:color="EEF2FF" w:sz="2"/>
          <w:right w:val="single" w:color="EEF2FF" w:sz="2"/>
          <w:insideH w:val="single" w:color="auto" w:sz="4"/>
          <w:insideV w:val="single" w:color="auto" w:sz="4"/>
        </w:tblBorders>
      </w:tblPr>
      <w:tblGrid>
        <w:gridCol w:w="100"/>
      </w:tblGrid>
      <w:tr>
        <w:tc>
          <w:tcPr>
            <w:shd w:fill="EEF2FF"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4F46E5"/>
                <w:sz w:val="19"/>
                <w:szCs w:val="19"/>
              </w:rPr>
              <w:t xml:space="preserve">Dasar Regulasi Utama</w:t>
            </w:r>
          </w:p>
          <w:p>
            <w:pPr>
              <w:spacing w:after="0" w:line="280"/>
            </w:pPr>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 Tabel 7 No. 29-37.</w:t>
            </w:r>
          </w:p>
        </w:tc>
      </w:tr>
    </w:tbl>
    <w:p>
      <w:pPr>
        <w:spacing w:before="300"/>
      </w:pPr>
    </w:p>
    <w:p>
      <w:pPr>
        <w:jc w:val="center"/>
      </w:pPr>
      <w:r>
        <w:rPr>
          <w:rFonts w:ascii="IBM Plex Mono" w:cs="IBM Plex Mono" w:eastAsia="IBM Plex Mono" w:hAnsi="IBM Plex Mono"/>
          <w:color w:val="64748B"/>
          <w:sz w:val="18"/>
          <w:szCs w:val="18"/>
        </w:rPr>
        <w:t xml:space="preserve">Dokumen 5 dari 15 — Kategori Buku Tematik</w:t>
      </w:r>
    </w:p>
    <w:p>
      <w:r>
        <w:br w:type="page"/>
      </w:r>
    </w:p>
    <w:p>
      <w:pPr>
        <w:pStyle w:val="Heading1"/>
      </w:pPr>
      <w:r>
        <w:rPr>
          <w:rFonts w:ascii="Source Serif 4" w:cs="Source Serif 4" w:eastAsia="Source Serif 4" w:hAnsi="Source Serif 4"/>
          <w:color w:val="3730A3"/>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tbl>
      <w:tblPr>
        <w:tblW w:type="pct" w:w="100%"/>
        <w:tblBorders>
          <w:top w:val="single" w:color="B45309" w:sz="24"/>
          <w:left w:val="single" w:color="FEF3C7" w:sz="2"/>
          <w:bottom w:val="single" w:color="FEF3C7" w:sz="2"/>
          <w:right w:val="single" w:color="FEF3C7" w:sz="2"/>
          <w:insideH w:val="single" w:color="auto" w:sz="4"/>
          <w:insideV w:val="single" w:color="auto" w:sz="4"/>
        </w:tblBorders>
      </w:tblPr>
      <w:tblGrid>
        <w:gridCol w:w="100"/>
      </w:tblGrid>
      <w:tr>
        <w:tc>
          <w:tcPr>
            <w:shd w:fill="FEF3C7"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B45309"/>
                <w:sz w:val="19"/>
                <w:szCs w:val="19"/>
              </w:rPr>
              <w:t xml:space="preserve">Ringkasan Buku</w:t>
            </w:r>
          </w:p>
          <w:p>
            <w:pPr>
              <w:spacing w:after="0" w:line="280"/>
            </w:pPr>
            <w:r>
              <w:rPr>
                <w:rFonts w:ascii="IBM Plex Sans" w:cs="IBM Plex Sans" w:eastAsia="IBM Plex Sans" w:hAnsi="IBM Plex Sans"/>
                <w:color w:val="334155"/>
                <w:sz w:val="20"/>
                <w:szCs w:val="20"/>
              </w:rPr>
              <w:t xml:space="preserve">Buku tematik ini membahas sembilan entri diagnosis kehamilan dengan penyakit penyerta pada Tabel 7 No.29-37 Kepkonsil No. HK.01.02/KKI/1318/2026: obesitas, infeksi saluran kemih, anemia, kelainan darah, diabetes tanpa komplikasi, dengue tanpa komplikasi, malaria tanpa komplikasi, HIV/AIDS tanpa komplikasi, dan duh vagina. Divisi pengampu bab kontribusi: Fetomaternal.</w:t>
            </w:r>
          </w:p>
        </w:tc>
      </w:tr>
    </w:tbl>
    <w:p>
      <w:pPr>
        <w:spacing w:after="200"/>
      </w:pPr>
    </w:p>
    <w:p>
      <w:pPr>
        <w:pStyle w:val="Heading1"/>
        <w:spacing w:after="200" w:before="360"/>
      </w:pPr>
      <w:r>
        <w:rPr>
          <w:rFonts w:ascii="Source Serif 4" w:cs="Source Serif 4" w:eastAsia="Source Serif 4" w:hAnsi="Source Serif 4"/>
          <w:color w:val="3730A3"/>
        </w:rPr>
        <w:t xml:space="preserve">Bab I — Pendahuluan</w:t>
      </w:r>
    </w:p>
    <w:p>
      <w:pPr>
        <w:spacing w:after="160" w:line="300"/>
      </w:pPr>
      <w:r>
        <w:rPr>
          <w:rFonts w:ascii="IBM Plex Sans" w:cs="IBM Plex Sans" w:eastAsia="IBM Plex Sans" w:hAnsi="IBM Plex Sans"/>
          <w:color w:val="334155"/>
          <w:sz w:val="22"/>
          <w:szCs w:val="22"/>
        </w:rPr>
        <w:t xml:space="preserve">Kehamilan dengan penyakit penyerta atau komorbiditas medis merupakan salah satu tantangan klinis paling kompleks dalam praktik Obstetri dan Ginekologi kontemporer. Berbeda dengan komplikasi obstetri primer yang timbul murni dari proses kehamilan itu sendiri, komorbiditas medis mempertemukan dua sistem fisiologis yang saling memengaruhi: perubahan adaptif tubuh ibu terhadap kehamilan di satu sisi, dan perjalanan alamiah penyakit penyerta di sisi lain. Interaksi dua arah ini menuntut dokter spesialis Obstetri dan Ginekologi (SpOG) untuk menguasai bukan hanya ilmu kebidanan murni, tetapi juga prinsip dasar penyakit dalam, hematologi, endokrinologi, dan penyakit infeksi tropis, sejauh yang relevan dengan kehamilan.</w:t>
      </w:r>
    </w:p>
    <w:p>
      <w:pPr>
        <w:spacing w:after="160" w:line="300"/>
      </w:pPr>
      <w:r>
        <w:rPr>
          <w:rFonts w:ascii="IBM Plex Sans" w:cs="IBM Plex Sans" w:eastAsia="IBM Plex Sans" w:hAnsi="IBM Plex Sans"/>
          <w:color w:val="334155"/>
          <w:sz w:val="22"/>
          <w:szCs w:val="22"/>
        </w:rPr>
        <w:t xml:space="preserve">Buku tematik ini disusun sebagai bagian dari Buku Tematik B1 sampai B14 dalam ekosistem literatur standar SpOG, dan secara khusus membahas sembilan entri diagnosis yang tercantum pada Tabel 7 Nomor 29 sampai dengan Nomor 37 Lampiran Kepkonsil No. HK.01.02/KKI/1318/2026. Kesembilan entri tersebut, sesuai penelusuran ulang langsung terhadap dokumen sumber, adalah: kehamilan dengan obesitas, kehamilan dengan infeksi saluran kemih, kehamilan dengan anemia, kehamilan dengan kelainan darah, kehamilan dengan diabetes tanpa komplikasi, kehamilan dengan infeksi dengue tanpa komplikasi, kehamilan dengan malaria tanpa komplikasi, kehamilan dengan HIV/AIDS tanpa komplikasi, dan kehamilan dengan duh vagina.</w:t>
      </w:r>
    </w:p>
    <w:tbl>
      <w:tblPr>
        <w:tblW w:type="pct" w:w="100%"/>
        <w:tblBorders>
          <w:top w:val="single" w:color="4F46E5" w:sz="24"/>
          <w:left w:val="single" w:color="EEF2FF" w:sz="2"/>
          <w:bottom w:val="single" w:color="EEF2FF" w:sz="2"/>
          <w:right w:val="single" w:color="EEF2FF" w:sz="2"/>
          <w:insideH w:val="single" w:color="auto" w:sz="4"/>
          <w:insideV w:val="single" w:color="auto" w:sz="4"/>
        </w:tblBorders>
      </w:tblPr>
      <w:tblGrid>
        <w:gridCol w:w="100"/>
      </w:tblGrid>
      <w:tr>
        <w:tc>
          <w:tcPr>
            <w:shd w:fill="EEF2FF"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0"/>
                <w:szCs w:val="20"/>
              </w:rPr>
              <w:t xml:space="preserve">Dasar Regulasi Bab I: Tabel 7 No. 29-37, Lampiran Keputusan Ketua Konsil Kesehatan Indonesia No. HK.01.02/KKI/1318/2026 tentang Standar Kompetensi Dokter Spesialis dan Subspesialis Bidang Obstetri dan Ginekologi, halaman 59-61. Kesembilan entri tersebut ditetapkan sebagai capaian kompetensi minimal Area Kompetensi 2 (Kompetensi Medis) bagi dokter spesialis Obstetri dan Ginekologi.</w:t>
            </w:r>
          </w:p>
        </w:tc>
      </w:tr>
    </w:tbl>
    <w:p>
      <w:pPr>
        <w:spacing w:after="160"/>
      </w:pPr>
    </w:p>
    <w:p>
      <w:pPr>
        <w:pStyle w:val="Heading2"/>
        <w:spacing w:after="140" w:before="260"/>
      </w:pPr>
      <w:r>
        <w:rPr>
          <w:rFonts w:ascii="Source Serif 4" w:cs="Source Serif 4" w:eastAsia="Source Serif 4" w:hAnsi="Source Serif 4"/>
          <w:color w:val="4F46E5"/>
        </w:rPr>
        <w:t xml:space="preserve">1.1 Ruang Lingkup dan Pengelompokan Tematik</w:t>
      </w:r>
    </w:p>
    <w:p>
      <w:pPr>
        <w:spacing w:after="160" w:line="300"/>
      </w:pPr>
      <w:r>
        <w:rPr>
          <w:rFonts w:ascii="IBM Plex Sans" w:cs="IBM Plex Sans" w:eastAsia="IBM Plex Sans" w:hAnsi="IBM Plex Sans"/>
          <w:color w:val="334155"/>
          <w:sz w:val="22"/>
          <w:szCs w:val="22"/>
        </w:rPr>
        <w:t xml:space="preserve">Untuk memudahkan pembelajaran yang runtut dan bermakna secara klinis, kesembilan entri Tabel 7 No.29-37 dikelompokkan dalam buku ini menjadi tiga rumpun besar berdasarkan mekanisme patofisiologi dan pendekatan tata laksananya, bukan berdasarkan urutan nomor tabel semata. Pengelompokan ini adalah keputusan pedagogis penulis dan tidak mengubah substansi maupun cakupan kompetensi yang ditetapkan Kepkonsil. Rumpun pertama adalah gangguan metabolik dan nutrisi, mencakup kehamilan dengan obesitas (Tabel 7 No.29) dan kehamilan dengan diabetes tanpa komplikasi (Tabel 7 No.33), yang keduanya berakar pada gangguan homeostasis energi dan glukosa. Rumpun kedua adalah kelainan hematologi, mencakup kehamilan dengan anemia (Tabel 7 No.31) dan kehamilan dengan kelainan darah (Tabel 7 No.32), yang keduanya memengaruhi kapasitas transpor oksigen dan/atau hemostasis maternal. Rumpun ketiga adalah infeksi sistemik dan tropis, mencakup kehamilan dengan infeksi saluran kemih (Tabel 7 No.30), infeksi dengue tanpa komplikasi (Tabel 7 No.34), malaria tanpa komplikasi (Tabel 7 No.35), HIV/AIDS tanpa komplikasi (Tabel 7 No.36), dan duh vagina (Tabel 7 No.37).</w:t>
      </w:r>
    </w:p>
    <w:p>
      <w:pPr>
        <w:spacing w:after="160" w:line="300"/>
      </w:pPr>
      <w:r>
        <w:rPr>
          <w:rFonts w:ascii="IBM Plex Sans" w:cs="IBM Plex Sans" w:eastAsia="IBM Plex Sans" w:hAnsi="IBM Plex Sans"/>
          <w:color w:val="334155"/>
          <w:sz w:val="22"/>
          <w:szCs w:val="22"/>
        </w:rPr>
        <w:t xml:space="preserve">Peserta didik diharapkan memahami bahwa pengelompokan tiga rumpun ini bersifat operasional untuk kepentingan penyusunan buku, dan bukan taksonomi resmi dalam Kepkonsil. Pada praktik klinis sehari-hari, seorang pasien hamil kerap datang dengan lebih dari satu komorbiditas sekaligus — misalnya obesitas yang menyertai diabetes gestasional, atau anemia yang menyertai infeksi saluran kemih berulang — sehingga pendekatan holistik lintas rumpun tetap menjadi keterampilan inti yang harus dikuasai.</w:t>
      </w:r>
    </w:p>
    <w:p>
      <w:pPr>
        <w:pStyle w:val="Heading2"/>
        <w:spacing w:after="140" w:before="260"/>
      </w:pPr>
      <w:r>
        <w:rPr>
          <w:rFonts w:ascii="Source Serif 4" w:cs="Source Serif 4" w:eastAsia="Source Serif 4" w:hAnsi="Source Serif 4"/>
          <w:color w:val="4F46E5"/>
        </w:rPr>
        <w:t xml:space="preserve">1.2 Prinsip Umum Pendekatan Klinis pada Kehamilan dengan Komorbiditas</w:t>
      </w:r>
    </w:p>
    <w:p>
      <w:pPr>
        <w:spacing w:after="160" w:line="300"/>
      </w:pPr>
      <w:r>
        <w:rPr>
          <w:rFonts w:ascii="IBM Plex Sans" w:cs="IBM Plex Sans" w:eastAsia="IBM Plex Sans" w:hAnsi="IBM Plex Sans"/>
          <w:color w:val="334155"/>
          <w:sz w:val="22"/>
          <w:szCs w:val="22"/>
        </w:rPr>
        <w:t xml:space="preserve">Terdapat empat prinsip lintas-diagnosis yang berlaku pada hampir seluruh entri dalam buku ini. Pertama, prinsip skrining terjadwal: banyak komorbiditas yang dibahas di sini — obesitas, diabetes, anemia, infeksi saluran kemih asimtomatik — bersifat asimtomatik atau bergejala minimal pada tahap awal, sehingga deteksi bergantung pada jadwal skrining antenatal yang konsisten, bukan pada keluhan pasien semata. Kedua, prinsip stratifikasi risiko: klasifikasi "tanpa komplikasi" pada beberapa entri Tabel 7 (diabetes, dengue, malaria, HIV/AIDS) menandakan bahwa kompetensi dasar SpOG mencakup penapisan dan tata laksana awal, sementara kasus dengan komplikasi berat memerlukan rujukan ke subspesialis Fetomaternal atau kolaborasi dengan disiplin lain.</w:t>
      </w:r>
    </w:p>
    <w:p>
      <w:pPr>
        <w:spacing w:after="160" w:line="300"/>
      </w:pPr>
      <w:r>
        <w:rPr>
          <w:rFonts w:ascii="IBM Plex Sans" w:cs="IBM Plex Sans" w:eastAsia="IBM Plex Sans" w:hAnsi="IBM Plex Sans"/>
          <w:color w:val="334155"/>
          <w:sz w:val="22"/>
          <w:szCs w:val="22"/>
        </w:rPr>
        <w:t xml:space="preserve">Ketiga, prinsip kolaborasi multidisiplin: hampir seluruh entri dalam buku ini memerlukan keterlibatan disiplin di luar Obstetri dan Ginekologi — dokter spesialis penyakit dalam untuk diabetes dan kelainan darah, dokter spesialis gizi klinik untuk obesitas, dokter spesialis penyakit dalam konsultan tropik-infeksi untuk dengue, malaria, dan HIV. Prinsip keempat adalah kontinuitas layanan lintas trimester dan pascasalin: sebagian besar komorbiditas yang dibahas memerlukan pemantauan yang tidak berhenti pada saat persalinan, melainkan berlanjut ke periode nifas dan, pada kasus tertentu seperti diabetes gestasional, ke skrining risiko metabolik jangka panjang.</w:t>
      </w:r>
    </w:p>
    <w:p>
      <w:pPr>
        <w:pStyle w:val="Heading2"/>
        <w:spacing w:after="140" w:before="260"/>
      </w:pPr>
      <w:r>
        <w:rPr>
          <w:rFonts w:ascii="Source Serif 4" w:cs="Source Serif 4" w:eastAsia="Source Serif 4" w:hAnsi="Source Serif 4"/>
          <w:color w:val="4F46E5"/>
        </w:rPr>
        <w:t xml:space="preserve">1.3 Perbandingan dan Pengayaan Standar Internasional (Pendahuluan)</w:t>
      </w:r>
    </w:p>
    <w:p>
      <w:pPr>
        <w:spacing w:after="60" w:before="60"/>
      </w:pPr>
      <w:r>
        <w:rPr>
          <w:rFonts w:ascii="IBM Plex Sans" w:cs="IBM Plex Sans" w:eastAsia="IBM Plex Sans" w:hAnsi="IBM Plex Sans"/>
          <w:b/>
          <w:bCs/>
          <w:i/>
          <w:iCs/>
          <w:color w:val="B45309"/>
          <w:sz w:val="20"/>
          <w:szCs w:val="20"/>
        </w:rPr>
        <w:t xml:space="preserve">Perbandingan dan Pengayaan Standar Internasional</w:t>
      </w:r>
    </w:p>
    <w:tbl>
      <w:tblPr>
        <w:tblW w:type="pct" w:w="100%"/>
        <w:tblBorders>
          <w:top w:val="single" w:color="B45309" w:sz="24"/>
          <w:left w:val="single" w:color="FEF3C7" w:sz="2"/>
          <w:bottom w:val="single" w:color="FEF3C7" w:sz="2"/>
          <w:right w:val="single" w:color="FEF3C7" w:sz="2"/>
          <w:insideH w:val="single" w:color="auto" w:sz="4"/>
          <w:insideV w:val="single" w:color="auto" w:sz="4"/>
        </w:tblBorders>
      </w:tblPr>
      <w:tblGrid>
        <w:gridCol w:w="100"/>
      </w:tblGrid>
      <w:tr>
        <w:tc>
          <w:tcPr>
            <w:shd w:fill="FEF3C7"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B45309"/>
                <w:sz w:val="19"/>
                <w:szCs w:val="19"/>
              </w:rPr>
              <w:t xml:space="preserve">Standar Internasional (Non-superior)</w:t>
            </w:r>
          </w:p>
          <w:p>
            <w:pPr>
              <w:spacing w:after="0" w:line="280"/>
            </w:pPr>
            <w:r>
              <w:rPr>
                <w:rFonts w:ascii="IBM Plex Sans" w:cs="IBM Plex Sans" w:eastAsia="IBM Plex Sans" w:hAnsi="IBM Plex Sans"/>
                <w:color w:val="334155"/>
                <w:sz w:val="20"/>
                <w:szCs w:val="20"/>
              </w:rPr>
              <w:t xml:space="preserve">Standar nasional (Kepkonsil) menetapkan kesembilan entri Tabel 7 No.29-37 sebagai batas kompetensi minimal yang wajib dikuasai dokter spesialis Obstetri dan Ginekologi Indonesia, tanpa merinci protokol teknis tata laksana. World Health Organization (WHO) melalui pedoman antenatal care merekomendasikan model kontak antenatal terjadwal sebagai kerangka waktu skrining sebagian besar komorbiditas yang dibahas buku ini, sementara FIGO (International Federation of Gynecology and Obstetrics) menerbitkan pedoman spesifik-diagnosis (misalnya untuk diabetes gestasional) yang memberikan detail ambang diagnostik dan algoritme tata laksana. Praktik di Indonesia mengikuti standar nasional sebagai acuan kompetensi, dengan pedoman internasional tersebut digunakan sebagai pengayaan teknis non-superior pada bab-bab substantif berikutnya.</w:t>
            </w:r>
          </w:p>
        </w:tc>
      </w:tr>
    </w:tbl>
    <w:p>
      <w:pPr>
        <w:spacing w:after="160"/>
      </w:pPr>
    </w:p>
    <w:p>
      <w:pPr>
        <w:pStyle w:val="Heading2"/>
        <w:spacing w:after="140" w:before="260"/>
      </w:pPr>
      <w:r>
        <w:rPr>
          <w:rFonts w:ascii="Source Serif 4" w:cs="Source Serif 4" w:eastAsia="Source Serif 4" w:hAnsi="Source Serif 4"/>
          <w:color w:val="4F46E5"/>
        </w:rPr>
        <w:t xml:space="preserve">1.4 Beban Klinis dan Relevansi Epidemiologis</w:t>
      </w:r>
    </w:p>
    <w:p>
      <w:pPr>
        <w:spacing w:after="160" w:line="300"/>
      </w:pPr>
      <w:r>
        <w:rPr>
          <w:rFonts w:ascii="IBM Plex Sans" w:cs="IBM Plex Sans" w:eastAsia="IBM Plex Sans" w:hAnsi="IBM Plex Sans"/>
          <w:color w:val="334155"/>
          <w:sz w:val="22"/>
          <w:szCs w:val="22"/>
        </w:rPr>
        <w:t xml:space="preserve">Kesembilan komorbiditas yang dibahas dalam buku ini bukan entitas klinis yang jarang dijumpai, melainkan kondisi yang secara agregat memengaruhi proporsi bermakna kehamilan di dunia maupun di Indonesia. World Health Organization memperkirakan bahwa sekitar 41,8 persen ibu hamil di dunia mengalami anemia pada derajat tertentu, dengan sedikitnya separuh beban tersebut diperkirakan disebabkan oleh defisiensi besi. Pada spektrum gangguan metabolik, tinjauan epidemiologi global terbaru yang dipublikasikan dalam seri The Lancet tahun 2024 memperkirakan diabetes gestasional memengaruhi sekitar 14 persen kehamilan secara global, dengan tren peningkatan yang berjalan seiring peningkatan prevalensi obesitas pada usia reproduksi di banyak negara, termasuk Indonesia.</w:t>
      </w:r>
    </w:p>
    <w:p>
      <w:pPr>
        <w:spacing w:after="160" w:line="300"/>
      </w:pPr>
      <w:r>
        <w:rPr>
          <w:rFonts w:ascii="IBM Plex Sans" w:cs="IBM Plex Sans" w:eastAsia="IBM Plex Sans" w:hAnsi="IBM Plex Sans"/>
          <w:color w:val="334155"/>
          <w:sz w:val="22"/>
          <w:szCs w:val="22"/>
        </w:rPr>
        <w:t xml:space="preserve">Angka prevalensi spesifik untuk populasi ibu hamil Indonesia — baik untuk anemia, diabetes gestasional, obesitas, maupun kelima entri infeksi pada Bab IV — bersifat dinamis dan bervariasi antarwilayah [DATA: rujuk laporan/registri resmi terbaru — mis. Kemenkes, BKKBN, POGI, WHO]. Peserta didik dianjurkan merujuk pada laporan surveilans dan registri kesehatan terbaru dari Kementerian Kesehatan, Badan Kependudukan dan Keluarga Berencana Nasional (BKKBN), Perkumpulan Obstetri dan Ginekologi Indonesia (POGI), maupun publikasi WHO untuk data prevalensi nasional dan regional yang akurat dan mutakhir, alih-alih mengandalkan angka global sebagai proksi tanpa verifikasi lokal.</w:t>
      </w:r>
    </w:p>
    <w:p>
      <w:pPr>
        <w:spacing w:after="160" w:line="300"/>
      </w:pPr>
      <w:r>
        <w:rPr>
          <w:rFonts w:ascii="IBM Plex Sans" w:cs="IBM Plex Sans" w:eastAsia="IBM Plex Sans" w:hAnsi="IBM Plex Sans"/>
          <w:color w:val="334155"/>
          <w:sz w:val="22"/>
          <w:szCs w:val="22"/>
        </w:rPr>
        <w:t xml:space="preserve">Relevansi epidemiologis kesembilan entri ini juga berkaitan dengan pola transisi epidemiologi ganda yang dihadapi Indonesia: di satu sisi, penyakit infeksi tropis seperti dengue dan malaria tetap menjadi tantangan kesehatan masyarakat pada wilayah endemis tertentu; di sisi lain, peningkatan prevalensi obesitas dan diabetes mencerminkan transisi menuju pola penyakit tidak menular yang semakin dominan pada populasi usia reproduksi perkotaan. Dokter spesialis Obstetri dan Ginekologi dengan demikian dituntut menguasai kedua kutub spektrum penyakit tersebut secara bersamaan, alih-alih hanya salah satunya.</w:t>
      </w:r>
    </w:p>
    <w:p>
      <w:pPr>
        <w:pStyle w:val="Heading2"/>
        <w:spacing w:after="140" w:before="260"/>
      </w:pPr>
      <w:r>
        <w:rPr>
          <w:rFonts w:ascii="Source Serif 4" w:cs="Source Serif 4" w:eastAsia="Source Serif 4" w:hAnsi="Source Serif 4"/>
          <w:color w:val="4F46E5"/>
        </w:rPr>
        <w:t xml:space="preserve">1.5 Capaian Pembelajaran Buku Tematik</w:t>
      </w:r>
    </w:p>
    <w:p>
      <w:pPr>
        <w:spacing w:after="160" w:line="300"/>
      </w:pPr>
      <w:r>
        <w:rPr>
          <w:rFonts w:ascii="IBM Plex Sans" w:cs="IBM Plex Sans" w:eastAsia="IBM Plex Sans" w:hAnsi="IBM Plex Sans"/>
          <w:color w:val="334155"/>
          <w:sz w:val="22"/>
          <w:szCs w:val="22"/>
        </w:rPr>
        <w:t xml:space="preserve">Setelah mempelajari buku tematik ini, peserta didik PPDS diharapkan mampu: pertama, mengidentifikasi kesembilan entri diagnosis Tabel 7 No.29-37 beserta kode ICD-10 dan ICD-11 yang tepat; kedua, menjelaskan prinsip skrining terjadwal dan kriteria diagnosis masing-masing komorbiditas sesuai jadwal antenatal standar; ketiga, menyusun rencana tata laksana awal yang sesuai kompetensi SpOG untuk kasus "tanpa komplikasi", termasuk mengenali kapan suatu kasus melampaui batas kompetensi tersebut dan memerlukan rujukan; keempat, menjelaskan peran masing-masing disiplin dalam model kolaborasi multidisiplin untuk setiap rumpun komorbiditas; dan kelima, mengintegrasikan perspektif pemantauan janin berbasis mekanisme sebagaimana diuraikan pada kontribusi Divisi Fetomaternal ke dalam rencana asuhan antenatal pasien dengan komorbiditas medis.</w:t>
      </w:r>
    </w:p>
    <w:p>
      <w:pPr>
        <w:pStyle w:val="Heading1"/>
        <w:spacing w:after="200" w:before="360"/>
      </w:pPr>
      <w:r>
        <w:rPr>
          <w:rFonts w:ascii="Source Serif 4" w:cs="Source Serif 4" w:eastAsia="Source Serif 4" w:hAnsi="Source Serif 4"/>
          <w:color w:val="3730A3"/>
        </w:rPr>
        <w:t xml:space="preserve">Bab II — Kehamilan dengan Gangguan Metabolik dan Nutrisi</w:t>
      </w:r>
    </w:p>
    <w:tbl>
      <w:tblPr>
        <w:tblW w:type="pct" w:w="100%"/>
        <w:tblBorders>
          <w:top w:val="single" w:color="4F46E5" w:sz="24"/>
          <w:left w:val="single" w:color="EEF2FF" w:sz="2"/>
          <w:bottom w:val="single" w:color="EEF2FF" w:sz="2"/>
          <w:right w:val="single" w:color="EEF2FF" w:sz="2"/>
          <w:insideH w:val="single" w:color="auto" w:sz="4"/>
          <w:insideV w:val="single" w:color="auto" w:sz="4"/>
        </w:tblBorders>
      </w:tblPr>
      <w:tblGrid>
        <w:gridCol w:w="100"/>
      </w:tblGrid>
      <w:tr>
        <w:tc>
          <w:tcPr>
            <w:shd w:fill="EEF2FF"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0"/>
                <w:szCs w:val="20"/>
              </w:rPr>
              <w:t xml:space="preserve">Dasar Regulasi Bab II: Tabel 7 No. 29 (Kehamilan dengan obesitas, ICD-10 O99.8 &amp; E66, ICD-11 JB64.2; KA00.61; 5B81.Z) dan No. 33 (Kehamilan dengan diabetes tanpa komplikasi, ICD-10 O24.4, ICD-11 JA63), Lampiran Kepkonsil No. HK.01.02/KKI/1318/2026.</w:t>
            </w:r>
          </w:p>
        </w:tc>
      </w:tr>
    </w:tbl>
    <w:p>
      <w:pPr>
        <w:spacing w:after="160"/>
      </w:pPr>
    </w:p>
    <w:p>
      <w:pPr>
        <w:pStyle w:val="Heading2"/>
        <w:spacing w:after="140" w:before="260"/>
      </w:pPr>
      <w:r>
        <w:rPr>
          <w:rFonts w:ascii="Source Serif 4" w:cs="Source Serif 4" w:eastAsia="Source Serif 4" w:hAnsi="Source Serif 4"/>
          <w:color w:val="4F46E5"/>
        </w:rPr>
        <w:t xml:space="preserve">2.1 Kehamilan dengan Obesitas</w:t>
      </w:r>
    </w:p>
    <w:p>
      <w:pPr>
        <w:spacing w:after="160" w:line="300"/>
      </w:pPr>
      <w:r>
        <w:rPr>
          <w:rFonts w:ascii="IBM Plex Sans" w:cs="IBM Plex Sans" w:eastAsia="IBM Plex Sans" w:hAnsi="IBM Plex Sans"/>
          <w:color w:val="334155"/>
          <w:sz w:val="22"/>
          <w:szCs w:val="22"/>
        </w:rPr>
        <w:t xml:space="preserve">Kehamilan dengan obesitas (Pregnancy with obesity; ICD-10 O99.8 dikombinasikan dengan E66 sebagai kode penyakit penyerta, ICD-11 JB64.2 disertai KA00.61 dan 5B81.Z) didefinisikan sebagai kehamilan pada perempuan dengan indeks massa tubuh (IMT) pra-kehamilan atau IMT pada kunjungan antenatal pertama sebesar 30 kg/m² atau lebih, menggunakan klasifikasi berat badan World Health Organization. Obesitas merupakan salah satu komorbiditas metabolik yang paling sering dijumpai pada populasi usia reproduksi, dan keberadaannya meningkatkan risiko rangkaian komplikasi maternal-fetal — mulai dari preeklampsia, diabetes gestasional, tromboemboli vena, hingga kesulitan teknis pada persalinan pervaginam maupun seksio sesarea.</w:t>
      </w:r>
    </w:p>
    <w:p>
      <w:pPr>
        <w:pStyle w:val="Heading3"/>
        <w:spacing w:after="100" w:before="200"/>
      </w:pPr>
      <w:r>
        <w:rPr>
          <w:rFonts w:ascii="Source Serif 4" w:cs="Source Serif 4" w:eastAsia="Source Serif 4" w:hAnsi="Source Serif 4"/>
          <w:b/>
          <w:bCs/>
          <w:color w:val="B45309"/>
        </w:rPr>
        <w:t xml:space="preserve">2.1.1 Penilaian dan Klasifikasi</w:t>
      </w:r>
    </w:p>
    <w:p>
      <w:pPr>
        <w:spacing w:after="160" w:line="300"/>
      </w:pPr>
      <w:r>
        <w:rPr>
          <w:rFonts w:ascii="IBM Plex Sans" w:cs="IBM Plex Sans" w:eastAsia="IBM Plex Sans" w:hAnsi="IBM Plex Sans"/>
          <w:color w:val="334155"/>
          <w:sz w:val="22"/>
          <w:szCs w:val="22"/>
        </w:rPr>
        <w:t xml:space="preserve">Penilaian dimulai dari pengukuran berat badan dan tinggi badan yang akurat pada kunjungan antenatal pertama untuk menghitung IMT dasar, karena estimasi berdasarkan ingatan pasien cenderung bias ke bawah. Selain IMT, penapisan awal juga mencakup riwayat penyakit metabolik penyerta seperti hipertensi kronik, riwayat diabetes tipe 2, riwayat sindrom ovarium polikistik, serta riwayat obstetri sebelumnya termasuk makrosomia janin dan preeklampsia.</w:t>
      </w:r>
    </w:p>
    <w:p>
      <w:pPr>
        <w:spacing w:after="100" w:before="120"/>
      </w:pPr>
      <w:r>
        <w:rPr>
          <w:rFonts w:ascii="IBM Plex Sans" w:cs="IBM Plex Sans" w:eastAsia="IBM Plex Sans" w:hAnsi="IBM Plex Sans"/>
          <w:b/>
          <w:bCs/>
          <w:color w:val="334155"/>
          <w:sz w:val="20"/>
          <w:szCs w:val="20"/>
        </w:rPr>
        <w:t xml:space="preserve">Tabel 2.2 — Klasifikasi Berat Badan Berdasarkan Indeks Massa Tubuh (WHO)</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116"/>
        <w:gridCol w:w="3116"/>
        <w:gridCol w:w="3116"/>
      </w:tblGrid>
      <w:tr>
        <w:trPr>
          <w:tblHeader/>
        </w:trPr>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Klasifikasi</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IMT (kg/m²)</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Implikasi pada Kehamilan</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Berat badan kurang</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&lt; 18,5</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Risiko berat lahir rendah bila tidak terkoreksi</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Berat badan normal</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18,5 - 24,9</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Rujukan target kenaikan berat badan standar</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Berat badan lebih</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25,0 - 29,9</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Pemantauan tambahan; belum termasuk Tabel 7 No.29</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Obesitas Kelas I</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30,0 - 34,9</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Awal cakupan Tabel 7 No.29; penapisan glukosa lebih awal</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Obesitas Kelas II</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35,0 - 39,9</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Risiko komplikasi meningkat; kesiapan fasilitas persalinan</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Obesitas Kelas III (morbid)</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 40,0</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Risiko tertinggi; pertimbangan tromboprofilaksis peripartum</w:t>
            </w:r>
          </w:p>
        </w:tc>
      </w:tr>
    </w:tbl>
    <w:p>
      <w:pPr>
        <w:spacing w:after="200"/>
      </w:pPr>
    </w:p>
    <w:p>
      <w:pPr>
        <w:pStyle w:val="Heading3"/>
        <w:spacing w:after="100" w:before="200"/>
      </w:pPr>
      <w:r>
        <w:rPr>
          <w:rFonts w:ascii="Source Serif 4" w:cs="Source Serif 4" w:eastAsia="Source Serif 4" w:hAnsi="Source Serif 4"/>
          <w:b/>
          <w:bCs/>
          <w:color w:val="B45309"/>
        </w:rPr>
        <w:t xml:space="preserve">2.1.2 Tata Laksana Antenatal</w:t>
      </w:r>
    </w:p>
    <w:p>
      <w:pPr>
        <w:spacing w:after="160" w:line="300"/>
      </w:pPr>
      <w:r>
        <w:rPr>
          <w:rFonts w:ascii="IBM Plex Sans" w:cs="IBM Plex Sans" w:eastAsia="IBM Plex Sans" w:hAnsi="IBM Plex Sans"/>
          <w:color w:val="334155"/>
          <w:sz w:val="22"/>
          <w:szCs w:val="22"/>
        </w:rPr>
        <w:t xml:space="preserve">Tata laksana kehamilan dengan obesitas bersifat multidisiplin dan berorientasi pencegahan komplikasi sekunder. Pada kunjungan antenatal pertama, dianjurkan pemeriksaan penapisan glukosa lebih awal dari jadwal standar, mengingat prevalensi diabetes pragestasional yang tidak terdiagnosis lebih tinggi pada populasi obesitas; apabila hasil penapisan awal normal, penapisan ulang tetap dilakukan pada usia kehamilan 24-28 minggu sesuai jadwal standar. Pemantauan tekanan darah dilakukan lebih ketat mengingat risiko preeklampsia yang meningkat, disertai edukasi mengenai tanda bahaya. Konseling gizi dan aktivitas fisik yang aman selama kehamilan diberikan dengan target kenaikan berat badan kehamilan yang disesuaikan kelas obesitas, bukan target populasi umum. Skrining apnea tidur obstruktif melalui anamnesis terarah juga dianjurkan mengingat kaitannya dengan preeklampsia, kardiomiopati, dan risiko tromboemboli.</w:t>
      </w:r>
    </w:p>
    <w:p>
      <w:pPr>
        <w:spacing w:after="160" w:line="300"/>
      </w:pPr>
      <w:r>
        <w:rPr>
          <w:rFonts w:ascii="IBM Plex Sans" w:cs="IBM Plex Sans" w:eastAsia="IBM Plex Sans" w:hAnsi="IBM Plex Sans"/>
          <w:color w:val="334155"/>
          <w:sz w:val="22"/>
          <w:szCs w:val="22"/>
        </w:rPr>
        <w:t xml:space="preserve">Pada periode persalinan, perencanaan dilakukan lebih awal mencakup kesiapan fasilitas — tempat tidur, kursi roda, dan meja operasi dengan kapasitas beban yang memadai — serta antisipasi kesulitan teknis anestesi regional dan akses intravena. Tromboprofilaksis mekanis maupun farmakologis dipertimbangkan berdasarkan stratifikasi risiko individual, khususnya pada obesitas Kelas II ke atas yang menjalani seksio sesarea.</w:t>
      </w:r>
    </w:p>
    <w:p>
      <w:pPr>
        <w:pStyle w:val="Heading3"/>
        <w:spacing w:after="100" w:before="200"/>
      </w:pPr>
      <w:r>
        <w:rPr>
          <w:rFonts w:ascii="Source Serif 4" w:cs="Source Serif 4" w:eastAsia="Source Serif 4" w:hAnsi="Source Serif 4"/>
          <w:b/>
          <w:bCs/>
          <w:color w:val="B45309"/>
        </w:rPr>
        <w:t xml:space="preserve">2.1.3 Komplikasi dan Diagnosis Banding</w:t>
      </w:r>
    </w:p>
    <w:p>
      <w:pPr>
        <w:spacing w:after="160" w:line="300"/>
      </w:pPr>
      <w:r>
        <w:rPr>
          <w:rFonts w:ascii="IBM Plex Sans" w:cs="IBM Plex Sans" w:eastAsia="IBM Plex Sans" w:hAnsi="IBM Plex Sans"/>
          <w:color w:val="334155"/>
          <w:sz w:val="22"/>
          <w:szCs w:val="22"/>
        </w:rPr>
        <w:t xml:space="preserve">Obesitas dalam kehamilan meningkatkan risiko sejumlah komplikasi maternal dan fetal yang perlu diwaspadai secara aktif, bukan sekadar dicatat sebagai faktor risiko pasif. Pada aspek maternal, risiko yang meningkat meliputi hipertensi gestasional dan preeklampsia, diabetes gestasional, tromboemboli vena, infeksi luka operasi pascaseksio sesarea, dan apnea tidur obstruktif yang dapat memperberat risiko kardiopulmoner selama persalinan. Pada aspek fetal, risiko yang meningkat meliputi makrosomia, distosia bahu, cedera lahir, serta pada obesitas berat, peningkatan risiko anomali kongenital struktural yang kadang menyulitkan visualisasi ultrasonografi akibat habitus tubuh maternal, sehingga pemeriksaan anomali janin pada obesitas berat memerlukan waktu pemeriksaan lebih lama dan, bila perlu, ultrasonografi ulang.</w:t>
      </w:r>
    </w:p>
    <w:p>
      <w:pPr>
        <w:spacing w:after="160" w:line="300"/>
      </w:pPr>
      <w:r>
        <w:rPr>
          <w:rFonts w:ascii="IBM Plex Sans" w:cs="IBM Plex Sans" w:eastAsia="IBM Plex Sans" w:hAnsi="IBM Plex Sans"/>
          <w:color w:val="334155"/>
          <w:sz w:val="22"/>
          <w:szCs w:val="22"/>
        </w:rPr>
        <w:t xml:space="preserve">Diagnosis banding pada peningkatan berat badan berlebih selama kehamilan mencakup penyebab lain kenaikan berat badan cepat seperti edema patologis akibat preeklampsia atau gangguan fungsi ginjal, serta perlu dibedakan dari retensi cairan fisiologis kehamilan lanjut. Kecurigaan terhadap sindrom metabolik yang mendasari — termasuk resistensi insulin dan dislipidemia — perlu dipertimbangkan pada obesitas dengan riwayat keluarga diabetes atau penyakit kardiovaskular yang kuat.</w:t>
      </w:r>
    </w:p>
    <w:p>
      <w:pPr>
        <w:pStyle w:val="Heading2"/>
        <w:spacing w:after="140" w:before="260"/>
      </w:pPr>
      <w:r>
        <w:rPr>
          <w:rFonts w:ascii="Source Serif 4" w:cs="Source Serif 4" w:eastAsia="Source Serif 4" w:hAnsi="Source Serif 4"/>
          <w:color w:val="4F46E5"/>
        </w:rPr>
        <w:t xml:space="preserve">2.2 Kehamilan dengan Diabetes Tanpa Komplikasi</w:t>
      </w:r>
    </w:p>
    <w:p>
      <w:pPr>
        <w:spacing w:after="160" w:line="300"/>
      </w:pPr>
      <w:r>
        <w:rPr>
          <w:rFonts w:ascii="IBM Plex Sans" w:cs="IBM Plex Sans" w:eastAsia="IBM Plex Sans" w:hAnsi="IBM Plex Sans"/>
          <w:color w:val="334155"/>
          <w:sz w:val="22"/>
          <w:szCs w:val="22"/>
        </w:rPr>
        <w:t xml:space="preserve">Kehamilan dengan diabetes tanpa komplikasi (Diabetes in pregnancy without complication; ICD-10 O24.4, ICD-11 JA63) mencakup diabetes melitus gestasional (DMG) — hiperglikemia yang pertama kali dikenali selama kehamilan — maupun diabetes pragestasional yang terkendali baik tanpa komplikasi vaskular atau metabolik akut. DMG merupakan komplikasi metabolik kehamilan yang paling sering dijumpai dan berkaitan erat dengan obesitas, riwayat keluarga diabetes, usia maternal lanjut, dan riwayat DMG pada kehamilan sebelumnya.</w:t>
      </w:r>
    </w:p>
    <w:p>
      <w:pPr>
        <w:pStyle w:val="Heading3"/>
        <w:spacing w:after="100" w:before="200"/>
      </w:pPr>
      <w:r>
        <w:rPr>
          <w:rFonts w:ascii="Source Serif 4" w:cs="Source Serif 4" w:eastAsia="Source Serif 4" w:hAnsi="Source Serif 4"/>
          <w:b/>
          <w:bCs/>
          <w:color w:val="B45309"/>
        </w:rPr>
        <w:t xml:space="preserve">2.2.1 Skrining dan Kriteria Diagnosis</w:t>
      </w:r>
    </w:p>
    <w:p>
      <w:pPr>
        <w:spacing w:after="160" w:line="300"/>
      </w:pPr>
      <w:r>
        <w:rPr>
          <w:rFonts w:ascii="IBM Plex Sans" w:cs="IBM Plex Sans" w:eastAsia="IBM Plex Sans" w:hAnsi="IBM Plex Sans"/>
          <w:color w:val="334155"/>
          <w:sz w:val="22"/>
          <w:szCs w:val="22"/>
        </w:rPr>
        <w:t xml:space="preserve">Skrining DMG dilakukan pada usia kehamilan 24-28 minggu menggunakan tes toleransi glukosa oral (TTGO) 75 gram, dengan pemeriksaan glukosa plasma puasa, satu jam, dan dua jam setelah beban glukosa. Pada perempuan dengan faktor risiko tinggi — obesitas, riwayat DMG, riwayat makrosomia, atau riwayat keluarga diabetes derajat pertama — penapisan awal dianjurkan pada kunjungan antenatal pertama untuk menyingkirkan diabetes pragestasional yang belum terdiagnosis.</w:t>
      </w:r>
    </w:p>
    <w:p>
      <w:pPr>
        <w:spacing w:after="100" w:before="120"/>
      </w:pPr>
      <w:r>
        <w:rPr>
          <w:rFonts w:ascii="IBM Plex Sans" w:cs="IBM Plex Sans" w:eastAsia="IBM Plex Sans" w:hAnsi="IBM Plex Sans"/>
          <w:b/>
          <w:bCs/>
          <w:color w:val="334155"/>
          <w:sz w:val="20"/>
          <w:szCs w:val="20"/>
        </w:rPr>
        <w:t xml:space="preserve">Tabel 2.1 — Ringkasan Ambang Diagnostik Diabetes dalam Kehamilan (TTGO 75 g)</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116"/>
        <w:gridCol w:w="3116"/>
        <w:gridCol w:w="3116"/>
      </w:tblGrid>
      <w:tr>
        <w:trPr>
          <w:tblHeader/>
        </w:trPr>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Parameter</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Ambang Nilai (mmol/L)</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Ambang Nilai (mg/dL)</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Glukosa plasma puasa</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 5,1</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 92</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Glukosa plasma 1 jam</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 10,0</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 180</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Glukosa plasma 2 jam</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 8,5</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 153</w:t>
            </w:r>
          </w:p>
        </w:tc>
      </w:tr>
    </w:tbl>
    <w:p>
      <w:pPr>
        <w:spacing w:after="200"/>
      </w:pPr>
    </w:p>
    <w:p>
      <w:pPr>
        <w:spacing w:after="160" w:line="300"/>
      </w:pPr>
      <w:r>
        <w:rPr>
          <w:rFonts w:ascii="IBM Plex Sans" w:cs="IBM Plex Sans" w:eastAsia="IBM Plex Sans" w:hAnsi="IBM Plex Sans"/>
          <w:color w:val="334155"/>
          <w:sz w:val="22"/>
          <w:szCs w:val="22"/>
        </w:rPr>
        <w:t xml:space="preserve">Diagnosis DMG ditegakkan apabila satu atau lebih nilai ambang pada tabel di atas terlampaui. Kriteria ambang ini merujuk pada kerangka International Association of Diabetes and Pregnancy Study Groups (IADPSG) yang diadopsi WHO dan diikuti secara luas oleh pedoman internasional, dan disajikan di sini sebagai rujukan teknis pelengkap — penerapan operasional di fasilitas kesehatan Indonesia tetap mengacu pada standar dan jejaring rujukan nasional yang berlaku setempat.</w:t>
      </w:r>
    </w:p>
    <w:p>
      <w:pPr>
        <w:pStyle w:val="Heading3"/>
        <w:spacing w:after="100" w:before="200"/>
      </w:pPr>
      <w:r>
        <w:rPr>
          <w:rFonts w:ascii="Source Serif 4" w:cs="Source Serif 4" w:eastAsia="Source Serif 4" w:hAnsi="Source Serif 4"/>
          <w:b/>
          <w:bCs/>
          <w:color w:val="B45309"/>
        </w:rPr>
        <w:t xml:space="preserve">2.2.2 Tata Laksana</w:t>
      </w:r>
    </w:p>
    <w:p>
      <w:pPr>
        <w:spacing w:after="160" w:line="300"/>
      </w:pPr>
      <w:r>
        <w:rPr>
          <w:rFonts w:ascii="IBM Plex Sans" w:cs="IBM Plex Sans" w:eastAsia="IBM Plex Sans" w:hAnsi="IBM Plex Sans"/>
          <w:color w:val="334155"/>
          <w:sz w:val="22"/>
          <w:szCs w:val="22"/>
        </w:rPr>
        <w:t xml:space="preserve">Tata laksana lini pertama DMG adalah modifikasi gaya hidup, mencakup terapi nutrisi medis dengan pengaturan komposisi dan distribusi karbohidrat, serta aktivitas fisik teratur sesuai kondisi kehamilan. Pemantauan glukosa darah mandiri dianjurkan beberapa kali sehari untuk menilai respons terhadap terapi nutrisi. Apabila target glikemik tidak tercapai dengan modifikasi gaya hidup dalam periode pengamatan yang wajar, terapi farmakologis dipertimbangkan. Insulin merupakan terapi farmakologis standar karena tidak menembus plasenta secara bermakna, sementara metformin oral dapat dipertimbangkan sebagai alternatif pada kondisi tertentu dengan mempertimbangkan preferensi pasien dan ketersediaan sumber daya, disertai pemantauan janin yang lebih ketat termasuk penilaian pertumbuhan janin serial.</w:t>
      </w:r>
    </w:p>
    <w:p>
      <w:pPr>
        <w:spacing w:after="160" w:line="300"/>
      </w:pPr>
      <w:r>
        <w:rPr>
          <w:rFonts w:ascii="IBM Plex Sans" w:cs="IBM Plex Sans" w:eastAsia="IBM Plex Sans" w:hAnsi="IBM Plex Sans"/>
          <w:color w:val="334155"/>
          <w:sz w:val="22"/>
          <w:szCs w:val="22"/>
        </w:rPr>
        <w:t xml:space="preserve">Pendekatan tata laksana memerlukan tim multidisiplin yang melibatkan SpOG, dokter spesialis penyakit dalam konsultan endokrin metabolik diabetes, ahli gizi, dan edukator diabetes bila tersedia. Pemantauan janin mencakup evaluasi pertumbuhan janin berkala untuk mendeteksi makrosomia maupun pertumbuhan janin terhambat, serta penilaian kesejahteraan janin pada trimester ketiga. Perencanaan waktu dan cara persalinan mempertimbangkan kendali glikemik, estimasi berat janin, dan ada tidaknya komplikasi penyerta, dengan target umum persalinan pada usia kehamilan aterm apabila kendali glikemik baik dan tidak ada indikasi lain untuk persalinan lebih awal.</w:t>
      </w:r>
    </w:p>
    <w:p>
      <w:pPr>
        <w:pStyle w:val="Heading3"/>
        <w:spacing w:after="100" w:before="200"/>
      </w:pPr>
      <w:r>
        <w:rPr>
          <w:rFonts w:ascii="Source Serif 4" w:cs="Source Serif 4" w:eastAsia="Source Serif 4" w:hAnsi="Source Serif 4"/>
          <w:b/>
          <w:bCs/>
          <w:color w:val="B45309"/>
        </w:rPr>
        <w:t xml:space="preserve">2.2.3 Pemantauan Pascasalin dan Risiko Metabolik Jangka Panjang</w:t>
      </w:r>
    </w:p>
    <w:p>
      <w:pPr>
        <w:spacing w:after="160" w:line="300"/>
      </w:pPr>
      <w:r>
        <w:rPr>
          <w:rFonts w:ascii="IBM Plex Sans" w:cs="IBM Plex Sans" w:eastAsia="IBM Plex Sans" w:hAnsi="IBM Plex Sans"/>
          <w:color w:val="334155"/>
          <w:sz w:val="22"/>
          <w:szCs w:val="22"/>
        </w:rPr>
        <w:t xml:space="preserve">Tata laksana diabetes dalam kehamilan tidak berhenti pada saat persalinan. Pada perempuan dengan DMG, sebagian besar mengalami normalisasi profil glukosa segera setelah plasenta lahir, namun kondisi ini menjadi penanda risiko jangka panjang yang bermakna: perempuan dengan riwayat DMG memiliki risiko lebih tinggi mengalami diabetes tipe 2 di kemudian hari dibandingkan populasi umum. Oleh karena itu, evaluasi ulang toleransi glukosa dianjurkan pada periode pascasalin, umumnya sekitar enam hingga dua belas minggu setelah persalinan, dan dilanjutkan dengan pemantauan berkala jangka panjang mengingat risiko kumulatif yang meningkat seiring waktu. Konseling mengenai modifikasi gaya hidup pascasalin, termasuk pemberian ASI eksklusif yang memiliki manfaat metabolik tambahan bagi ibu, merupakan bagian integral edukasi pada kelompok ini. Pada kehamilan berikutnya, riwayat DMG sebelumnya menjadi indikasi penapisan glukosa lebih awal sejak kunjungan antenatal pertama.</w:t>
      </w:r>
    </w:p>
    <w:p>
      <w:pPr>
        <w:pStyle w:val="Heading2"/>
        <w:spacing w:after="140" w:before="260"/>
      </w:pPr>
      <w:r>
        <w:rPr>
          <w:rFonts w:ascii="Source Serif 4" w:cs="Source Serif 4" w:eastAsia="Source Serif 4" w:hAnsi="Source Serif 4"/>
          <w:color w:val="4F46E5"/>
        </w:rPr>
        <w:t xml:space="preserve">2.3 Perbandingan dan Pengayaan Standar Internasional</w:t>
      </w:r>
    </w:p>
    <w:p>
      <w:pPr>
        <w:spacing w:after="60" w:before="60"/>
      </w:pPr>
      <w:r>
        <w:rPr>
          <w:rFonts w:ascii="IBM Plex Sans" w:cs="IBM Plex Sans" w:eastAsia="IBM Plex Sans" w:hAnsi="IBM Plex Sans"/>
          <w:b/>
          <w:bCs/>
          <w:i/>
          <w:iCs/>
          <w:color w:val="B45309"/>
          <w:sz w:val="20"/>
          <w:szCs w:val="20"/>
        </w:rPr>
        <w:t xml:space="preserve">Perbandingan dan Pengayaan Standar Internasional</w:t>
      </w:r>
    </w:p>
    <w:tbl>
      <w:tblPr>
        <w:tblW w:type="pct" w:w="100%"/>
        <w:tblBorders>
          <w:top w:val="single" w:color="B45309" w:sz="24"/>
          <w:left w:val="single" w:color="FEF3C7" w:sz="2"/>
          <w:bottom w:val="single" w:color="FEF3C7" w:sz="2"/>
          <w:right w:val="single" w:color="FEF3C7" w:sz="2"/>
          <w:insideH w:val="single" w:color="auto" w:sz="4"/>
          <w:insideV w:val="single" w:color="auto" w:sz="4"/>
        </w:tblBorders>
      </w:tblPr>
      <w:tblGrid>
        <w:gridCol w:w="100"/>
      </w:tblGrid>
      <w:tr>
        <w:tc>
          <w:tcPr>
            <w:shd w:fill="FEF3C7"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B45309"/>
                <w:sz w:val="19"/>
                <w:szCs w:val="19"/>
              </w:rPr>
              <w:t xml:space="preserve">Standar Internasional (Non-superior)</w:t>
            </w:r>
          </w:p>
          <w:p>
            <w:pPr>
              <w:spacing w:after="0" w:line="280"/>
            </w:pPr>
            <w:r>
              <w:rPr>
                <w:rFonts w:ascii="IBM Plex Sans" w:cs="IBM Plex Sans" w:eastAsia="IBM Plex Sans" w:hAnsi="IBM Plex Sans"/>
                <w:color w:val="334155"/>
                <w:sz w:val="20"/>
                <w:szCs w:val="20"/>
              </w:rPr>
              <w:t xml:space="preserve">Standar nasional (Kepkonsil) menetapkan kehamilan dengan obesitas dan diabetes tanpa komplikasi sebagai kompetensi medis wajib SpOG tanpa merinci ambang diagnostik teknis. American College of Obstetricians and Gynecologists (ACOG), melalui Practice Bulletin mengenai obesitas dalam kehamilan, merekomendasikan pendekatan terintegrasi mulai dari masa prakonsepsi, penapisan glukosa pada kunjungan pertama bagi perempuan dengan obesitas, serta penapisan apnea tidur obstruktif melalui anamnesis terarah. World Health Organization dan FIGO merekomendasikan ambang diagnostik TTGO 75 gram yang selaras dengan kerangka IADPSG sebagaimana disajikan pada Tabel 2.1, sementara sejumlah pedoman nasional lain — misalnya pedoman National Institute for Health and Care Excellence (NICE) di Inggris — menetapkan ambang glukosa puasa yang sedikit berbeda. Standar internasional Cochrane Review turut menegaskan bahwa terapi nutrisi medis dan aktivitas fisik merupakan intervensi lini pertama dengan bukti manfaat pada pengendalian glikemik ringan hingga sedang. Standar nasional (Kepkonsil) tetap menjadi acuan utama kompetensi; nilai ambang dan algoritme internasional di atas disajikan sebagai pengayaan teknis, dengan penerapan operasional disesuaikan pada jejaring rujukan dan sumber daya fasilitas kesehatan setempat.</w:t>
            </w:r>
          </w:p>
        </w:tc>
      </w:tr>
    </w:tbl>
    <w:p>
      <w:pPr>
        <w:spacing w:after="160"/>
      </w:pPr>
    </w:p>
    <w:p>
      <w:pPr>
        <w:pStyle w:val="Heading1"/>
        <w:spacing w:after="200" w:before="360"/>
      </w:pPr>
      <w:r>
        <w:rPr>
          <w:rFonts w:ascii="Source Serif 4" w:cs="Source Serif 4" w:eastAsia="Source Serif 4" w:hAnsi="Source Serif 4"/>
          <w:color w:val="3730A3"/>
        </w:rPr>
        <w:t xml:space="preserve">Bab III — Kehamilan dengan Kelainan Hematologi</w:t>
      </w:r>
    </w:p>
    <w:tbl>
      <w:tblPr>
        <w:tblW w:type="pct" w:w="100%"/>
        <w:tblBorders>
          <w:top w:val="single" w:color="4F46E5" w:sz="24"/>
          <w:left w:val="single" w:color="EEF2FF" w:sz="2"/>
          <w:bottom w:val="single" w:color="EEF2FF" w:sz="2"/>
          <w:right w:val="single" w:color="EEF2FF" w:sz="2"/>
          <w:insideH w:val="single" w:color="auto" w:sz="4"/>
          <w:insideV w:val="single" w:color="auto" w:sz="4"/>
        </w:tblBorders>
      </w:tblPr>
      <w:tblGrid>
        <w:gridCol w:w="100"/>
      </w:tblGrid>
      <w:tr>
        <w:tc>
          <w:tcPr>
            <w:shd w:fill="EEF2FF"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0"/>
                <w:szCs w:val="20"/>
              </w:rPr>
              <w:t xml:space="preserve">Dasar Regulasi Bab III: Tabel 7 No. 31 (Kehamilan dengan anemia, ICD-10 O99.0, ICD-11 JB64.0) dan No. 32 (Kehamilan dengan kelainan darah, ICD-10 O99.1, ICD-11 JB64.1), Lampiran Kepkonsil No. HK.01.02/KKI/1318/2026.</w:t>
            </w:r>
          </w:p>
        </w:tc>
      </w:tr>
    </w:tbl>
    <w:p>
      <w:pPr>
        <w:spacing w:after="160"/>
      </w:pPr>
    </w:p>
    <w:p>
      <w:pPr>
        <w:pStyle w:val="Heading2"/>
        <w:spacing w:after="140" w:before="260"/>
      </w:pPr>
      <w:r>
        <w:rPr>
          <w:rFonts w:ascii="Source Serif 4" w:cs="Source Serif 4" w:eastAsia="Source Serif 4" w:hAnsi="Source Serif 4"/>
          <w:color w:val="4F46E5"/>
        </w:rPr>
        <w:t xml:space="preserve">3.1 Kehamilan dengan Anemia</w:t>
      </w:r>
    </w:p>
    <w:p>
      <w:pPr>
        <w:spacing w:after="160" w:line="300"/>
      </w:pPr>
      <w:r>
        <w:rPr>
          <w:rFonts w:ascii="IBM Plex Sans" w:cs="IBM Plex Sans" w:eastAsia="IBM Plex Sans" w:hAnsi="IBM Plex Sans"/>
          <w:color w:val="334155"/>
          <w:sz w:val="22"/>
          <w:szCs w:val="22"/>
        </w:rPr>
        <w:t xml:space="preserve">Kehamilan dengan anemia (Anemia in pregnancy; ICD-10 O99.0, ICD-11 JB64.0) adalah komorbiditas hematologi yang paling sering dijumpai dalam praktik obstetri, dengan etiologi tersering berupa anemia defisiensi besi. Secara operasional, anemia dalam kehamilan didefinisikan sebagai kadar hemoglobin di bawah 11,0 g/dL pada trimester pertama dan ketiga, dengan ambang sedikit lebih rendah pada trimester kedua akibat hemodilusi fisiologis.</w:t>
      </w:r>
    </w:p>
    <w:p>
      <w:pPr>
        <w:pStyle w:val="Heading3"/>
        <w:spacing w:after="100" w:before="200"/>
      </w:pPr>
      <w:r>
        <w:rPr>
          <w:rFonts w:ascii="Source Serif 4" w:cs="Source Serif 4" w:eastAsia="Source Serif 4" w:hAnsi="Source Serif 4"/>
          <w:b/>
          <w:bCs/>
          <w:color w:val="B45309"/>
        </w:rPr>
        <w:t xml:space="preserve">3.1.1 Etiologi dan Penapisan</w:t>
      </w:r>
    </w:p>
    <w:p>
      <w:pPr>
        <w:spacing w:after="160" w:line="300"/>
      </w:pPr>
      <w:r>
        <w:rPr>
          <w:rFonts w:ascii="IBM Plex Sans" w:cs="IBM Plex Sans" w:eastAsia="IBM Plex Sans" w:hAnsi="IBM Plex Sans"/>
          <w:color w:val="334155"/>
          <w:sz w:val="22"/>
          <w:szCs w:val="22"/>
        </w:rPr>
        <w:t xml:space="preserve">Anemia defisiensi besi mendominasi etiologi anemia dalam kehamilan, didorong oleh peningkatan kebutuhan besi untuk ekspansi massa eritrosit maternal, pertumbuhan janin, dan pembentukan plasenta. Etiologi lain yang perlu dipertimbangkan pada kasus tidak responsif terhadap suplementasi besi meliputi defisiensi asam folat atau vitamin B12, thalassemia, dan penyakit kronik penyerta. Penapisan hemoglobin dilakukan pada kunjungan antenatal pertama dan diulang pada trimester ketiga sebagai bagian dari paket pemeriksaan laboratorium standar.</w:t>
      </w:r>
    </w:p>
    <w:p>
      <w:pPr>
        <w:pStyle w:val="Heading3"/>
        <w:spacing w:after="100" w:before="200"/>
      </w:pPr>
      <w:r>
        <w:rPr>
          <w:rFonts w:ascii="Source Serif 4" w:cs="Source Serif 4" w:eastAsia="Source Serif 4" w:hAnsi="Source Serif 4"/>
          <w:b/>
          <w:bCs/>
          <w:color w:val="B45309"/>
        </w:rPr>
        <w:t xml:space="preserve">3.1.2 Tata Laksana</w:t>
      </w:r>
    </w:p>
    <w:p>
      <w:pPr>
        <w:spacing w:after="160" w:line="300"/>
      </w:pPr>
      <w:r>
        <w:rPr>
          <w:rFonts w:ascii="IBM Plex Sans" w:cs="IBM Plex Sans" w:eastAsia="IBM Plex Sans" w:hAnsi="IBM Plex Sans"/>
          <w:color w:val="334155"/>
          <w:sz w:val="22"/>
          <w:szCs w:val="22"/>
        </w:rPr>
        <w:t xml:space="preserve">Suplementasi besi dan asam folat oral harian merupakan strategi utama pencegahan dan tata laksana anemia ringan hingga sedang pada kehamilan, dimulai sedini mungkin dan dilanjutkan sepanjang kehamilan. Pada kasus anemia berat atau tidak responsif terhadap terapi oral — misalnya akibat intoleransi gastrointestinal atau malabsorpsi — suplementasi besi intravena dapat dipertimbangkan sesuai ketersediaan dan indikasi klinis. Evaluasi ulang kadar hemoglobin dilakukan secara berkala untuk menilai respons terapi. Anemia berat yang tidak terkoreksi mendekati waktu persalinan memerlukan kewaspadaan khusus terhadap risiko dekompensasi kardiovaskular akibat kehilangan darah saat persalinan, dan perencanaan tempat persalinan disesuaikan dengan ketersediaan fasilitas transfusi.</w:t>
      </w:r>
    </w:p>
    <w:p>
      <w:pPr>
        <w:pStyle w:val="Heading3"/>
        <w:spacing w:after="100" w:before="200"/>
      </w:pPr>
      <w:r>
        <w:rPr>
          <w:rFonts w:ascii="Source Serif 4" w:cs="Source Serif 4" w:eastAsia="Source Serif 4" w:hAnsi="Source Serif 4"/>
          <w:b/>
          <w:bCs/>
          <w:color w:val="B45309"/>
        </w:rPr>
        <w:t xml:space="preserve">3.1.3 Dampak terhadap Ibu dan Janin</w:t>
      </w:r>
    </w:p>
    <w:p>
      <w:pPr>
        <w:spacing w:after="160" w:line="300"/>
      </w:pPr>
      <w:r>
        <w:rPr>
          <w:rFonts w:ascii="IBM Plex Sans" w:cs="IBM Plex Sans" w:eastAsia="IBM Plex Sans" w:hAnsi="IBM Plex Sans"/>
          <w:color w:val="334155"/>
          <w:sz w:val="22"/>
          <w:szCs w:val="22"/>
        </w:rPr>
        <w:t xml:space="preserve">Anemia ringan pada kehamilan umumnya ditoleransi baik, namun anemia sedang hingga berat berkaitan dengan peningkatan risiko kelelahan maternal, penurunan cadangan fisiologis terhadap kehilangan darah saat persalinan, serta pada anemia berat kronik, keterkaitan dengan risiko persalinan preterm dan berat lahir rendah. Pemantauan janin pada anemia berat yang menetap meliputi evaluasi pertumbuhan janin, mengingat kapasitas transpor oksigen maternal yang menurun berpotensi memengaruhi suplai oksigen ke unit fetoplasenta pada kasus yang tidak segera terkoreksi.</w:t>
      </w:r>
    </w:p>
    <w:p>
      <w:pPr>
        <w:pStyle w:val="Heading2"/>
        <w:spacing w:after="140" w:before="260"/>
      </w:pPr>
      <w:r>
        <w:rPr>
          <w:rFonts w:ascii="Source Serif 4" w:cs="Source Serif 4" w:eastAsia="Source Serif 4" w:hAnsi="Source Serif 4"/>
          <w:color w:val="4F46E5"/>
        </w:rPr>
        <w:t xml:space="preserve">3.2 Kehamilan dengan Kelainan Darah</w:t>
      </w:r>
    </w:p>
    <w:p>
      <w:pPr>
        <w:spacing w:after="160" w:line="300"/>
      </w:pPr>
      <w:r>
        <w:rPr>
          <w:rFonts w:ascii="IBM Plex Sans" w:cs="IBM Plex Sans" w:eastAsia="IBM Plex Sans" w:hAnsi="IBM Plex Sans"/>
          <w:color w:val="334155"/>
          <w:sz w:val="22"/>
          <w:szCs w:val="22"/>
        </w:rPr>
        <w:t xml:space="preserve">Kehamilan dengan kelainan darah (Hematological disorders in pregnancy; ICD-10 O99.1, ICD-11 JB64.1) mencakup spektrum kelainan hematologi di luar anemia defisiensi besi murni, meliputi hemoglobinopati (thalassemia, anemia sel sabit), trombositopenia gestasional maupun imun, dan kelainan koagulasi baik bawaan maupun didapat. Kelompok diagnosis ini menuntut kewaspadaan lebih tinggi karena implikasinya terhadap risiko perdarahan maupun trombosis peripartum.</w:t>
      </w:r>
    </w:p>
    <w:p>
      <w:pPr>
        <w:pStyle w:val="Heading3"/>
        <w:spacing w:after="100" w:before="200"/>
      </w:pPr>
      <w:r>
        <w:rPr>
          <w:rFonts w:ascii="Source Serif 4" w:cs="Source Serif 4" w:eastAsia="Source Serif 4" w:hAnsi="Source Serif 4"/>
          <w:b/>
          <w:bCs/>
          <w:color w:val="B45309"/>
        </w:rPr>
        <w:t xml:space="preserve">3.2.1 Pendekatan Diagnostik</w:t>
      </w:r>
    </w:p>
    <w:p>
      <w:pPr>
        <w:spacing w:after="160" w:line="300"/>
      </w:pPr>
      <w:r>
        <w:rPr>
          <w:rFonts w:ascii="IBM Plex Sans" w:cs="IBM Plex Sans" w:eastAsia="IBM Plex Sans" w:hAnsi="IBM Plex Sans"/>
          <w:color w:val="334155"/>
          <w:sz w:val="22"/>
          <w:szCs w:val="22"/>
        </w:rPr>
        <w:t xml:space="preserve">Pendekatan diagnostik dimulai dari pemeriksaan darah lengkap dengan indeks eritrosit, apusan darah tepi, dan riwayat keluarga yang terarah untuk mengidentifikasi kemungkinan hemoglobinopati pada populasi berisiko. Trombositopenia yang ditemukan pada pemeriksaan rutin memerlukan klasifikasi lebih lanjut antara trombositopenia gestasional yang umumnya ringan dan tidak memerlukan intervensi, dengan trombositopenia imun atau trombositopenia sekunder terhadap gangguan hipertensi kehamilan yang memerlukan tata laksana dan pemantauan berbeda. Kelainan koagulasi bawaan yang telah diketahui sebelum kehamilan memerlukan konsultasi bersama dokter spesialis penyakit dalam konsultan hematologi-onkologi medik sejak trimester pertama untuk perencanaan tata laksana peripartum.</w:t>
      </w:r>
    </w:p>
    <w:p>
      <w:pPr>
        <w:pStyle w:val="Heading3"/>
        <w:spacing w:after="100" w:before="200"/>
      </w:pPr>
      <w:r>
        <w:rPr>
          <w:rFonts w:ascii="Source Serif 4" w:cs="Source Serif 4" w:eastAsia="Source Serif 4" w:hAnsi="Source Serif 4"/>
          <w:b/>
          <w:bCs/>
          <w:color w:val="B45309"/>
        </w:rPr>
        <w:t xml:space="preserve">3.2.2 Prinsip Tata Laksana dan Rujukan</w:t>
      </w:r>
    </w:p>
    <w:p>
      <w:pPr>
        <w:spacing w:after="160" w:line="300"/>
      </w:pPr>
      <w:r>
        <w:rPr>
          <w:rFonts w:ascii="IBM Plex Sans" w:cs="IBM Plex Sans" w:eastAsia="IBM Plex Sans" w:hAnsi="IBM Plex Sans"/>
          <w:color w:val="334155"/>
          <w:sz w:val="22"/>
          <w:szCs w:val="22"/>
        </w:rPr>
        <w:t xml:space="preserve">Tata laksana kelainan darah dalam kehamilan sangat bergantung pada jenis dan derajat keparahan kelainan, sehingga kompetensi SpOG pada tingkat ini difokuskan pada pengenalan dini, stratifikasi risiko awal, dan koordinasi rujukan yang tepat waktu ke subspesialis hematologi-onkologi medik atau ke layanan Fetomaternal untuk kasus dengan risiko komplikasi obstetri signifikan. Perencanaan persalinan pada kelainan darah dengan risiko perdarahan memerlukan kesiapan produk darah dan komponen darah, sementara pada kelainan dengan risiko trombosis memerlukan perencanaan tromboprofilaksis peripartum yang individual.</w:t>
      </w:r>
    </w:p>
    <w:p>
      <w:pPr>
        <w:pStyle w:val="Heading3"/>
        <w:spacing w:after="100" w:before="200"/>
      </w:pPr>
      <w:r>
        <w:rPr>
          <w:rFonts w:ascii="Source Serif 4" w:cs="Source Serif 4" w:eastAsia="Source Serif 4" w:hAnsi="Source Serif 4"/>
          <w:b/>
          <w:bCs/>
          <w:color w:val="B45309"/>
        </w:rPr>
        <w:t xml:space="preserve">3.2.3 Kelompok Kelainan Darah Spesifik yang Perlu Dikenali</w:t>
      </w:r>
    </w:p>
    <w:p>
      <w:pPr>
        <w:spacing w:after="160" w:line="300"/>
      </w:pPr>
      <w:r>
        <w:rPr>
          <w:rFonts w:ascii="IBM Plex Sans" w:cs="IBM Plex Sans" w:eastAsia="IBM Plex Sans" w:hAnsi="IBM Plex Sans"/>
          <w:color w:val="334155"/>
          <w:sz w:val="22"/>
          <w:szCs w:val="22"/>
        </w:rPr>
        <w:t xml:space="preserve">Beberapa kelompok kelainan darah spesifik memerlukan pengenalan pola klinis tersendiri oleh SpOG umum. Thalassemia, baik trait maupun bentuk yang lebih berat, ditandai anemia mikrositik hipokromik yang tidak responsif terhadap suplementasi besi standar dan memerlukan konfirmasi melalui elektroforesis hemoglobin; pada pasangan dengan risiko thalassemia mayor pada janin, konseling genetik dan pertimbangan diagnosis prenatal menjadi relevan. Trombositopenia gestasional, kondisi paling umum penyebab hitung trombosit rendah pada kehamilan, umumnya ringan (di atas ambang tertentu), timbul pada trimester ketiga, dan pulih spontan pascasalin tanpa memerlukan intervensi khusus, namun perlu dibedakan secara cermat dari trombositopenia imun primer maupun trombositopenia sekunder akibat preeklampsia berat atau sindrom HELLP yang memerlukan tata laksana berbeda dan lebih mendesak. Kelainan koagulasi bawaan seperti defisiensi faktor von Willebrand memerlukan perencanaan peripartum khusus mengingat risiko perdarahan pascasalin yang meningkat, sementara kondisi trombofilia bawaan atau didapat (misalnya sindrom antifosfolipid) memerlukan pertimbangan tromboprofilaksis sesuai stratifikasi risiko individual bekerja sama dengan disiplin hematologi.</w:t>
      </w:r>
    </w:p>
    <w:p>
      <w:pPr>
        <w:pStyle w:val="Heading2"/>
        <w:spacing w:after="140" w:before="260"/>
      </w:pPr>
      <w:r>
        <w:rPr>
          <w:rFonts w:ascii="Source Serif 4" w:cs="Source Serif 4" w:eastAsia="Source Serif 4" w:hAnsi="Source Serif 4"/>
          <w:color w:val="4F46E5"/>
        </w:rPr>
        <w:t xml:space="preserve">3.3 Perbandingan dan Pengayaan Standar Internasional</w:t>
      </w:r>
    </w:p>
    <w:p>
      <w:pPr>
        <w:spacing w:after="60" w:before="60"/>
      </w:pPr>
      <w:r>
        <w:rPr>
          <w:rFonts w:ascii="IBM Plex Sans" w:cs="IBM Plex Sans" w:eastAsia="IBM Plex Sans" w:hAnsi="IBM Plex Sans"/>
          <w:b/>
          <w:bCs/>
          <w:i/>
          <w:iCs/>
          <w:color w:val="B45309"/>
          <w:sz w:val="20"/>
          <w:szCs w:val="20"/>
        </w:rPr>
        <w:t xml:space="preserve">Perbandingan dan Pengayaan Standar Internasional</w:t>
      </w:r>
    </w:p>
    <w:tbl>
      <w:tblPr>
        <w:tblW w:type="pct" w:w="100%"/>
        <w:tblBorders>
          <w:top w:val="single" w:color="B45309" w:sz="24"/>
          <w:left w:val="single" w:color="FEF3C7" w:sz="2"/>
          <w:bottom w:val="single" w:color="FEF3C7" w:sz="2"/>
          <w:right w:val="single" w:color="FEF3C7" w:sz="2"/>
          <w:insideH w:val="single" w:color="auto" w:sz="4"/>
          <w:insideV w:val="single" w:color="auto" w:sz="4"/>
        </w:tblBorders>
      </w:tblPr>
      <w:tblGrid>
        <w:gridCol w:w="100"/>
      </w:tblGrid>
      <w:tr>
        <w:tc>
          <w:tcPr>
            <w:shd w:fill="FEF3C7"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B45309"/>
                <w:sz w:val="19"/>
                <w:szCs w:val="19"/>
              </w:rPr>
              <w:t xml:space="preserve">Standar Internasional (Non-superior)</w:t>
            </w:r>
          </w:p>
          <w:p>
            <w:pPr>
              <w:spacing w:after="0" w:line="280"/>
            </w:pPr>
            <w:r>
              <w:rPr>
                <w:rFonts w:ascii="IBM Plex Sans" w:cs="IBM Plex Sans" w:eastAsia="IBM Plex Sans" w:hAnsi="IBM Plex Sans"/>
                <w:color w:val="334155"/>
                <w:sz w:val="20"/>
                <w:szCs w:val="20"/>
              </w:rPr>
              <w:t xml:space="preserve">Standar nasional (Kepkonsil) menetapkan kehamilan dengan anemia dan kelainan darah sebagai kompetensi medis wajib tanpa merinci ambang kadar hemoglobin atau algoritme suplementasi. World Health Organization merekomendasikan suplementasi besi dan asam folat oral harian sebagai bagian standar layanan antenatal untuk mengurangi risiko berat lahir rendah, anemia maternal, dan defisiensi besi, dengan rekomendasi berkekuatan kuat berdasarkan tinjauan bukti Cochrane Pregnancy and Childbirth Group. Royal College of Obstetricians and Gynaecologists (RCOG) melalui pedoman terkait tromboprofilaksis menekankan pentingnya stratifikasi risiko individual pada kelainan koagulasi dan trombositopenia peripartum. Standar internasional tersebut selaras dengan arah kebijakan nasional mengenai suplementasi besi dan asam folat antenatal; standar nasional (Kepkonsil) tetap menjadi acuan kompetensi utama, dengan detail dosis dan durasi mengikuti kebijakan program gizi nasional yang berlaku.</w:t>
            </w:r>
          </w:p>
        </w:tc>
      </w:tr>
    </w:tbl>
    <w:p>
      <w:pPr>
        <w:spacing w:after="160"/>
      </w:pPr>
    </w:p>
    <w:p>
      <w:pPr>
        <w:pStyle w:val="Heading1"/>
        <w:spacing w:after="200" w:before="360"/>
      </w:pPr>
      <w:r>
        <w:rPr>
          <w:rFonts w:ascii="Source Serif 4" w:cs="Source Serif 4" w:eastAsia="Source Serif 4" w:hAnsi="Source Serif 4"/>
          <w:color w:val="3730A3"/>
        </w:rPr>
        <w:t xml:space="preserve">Bab IV — Kehamilan dengan Infeksi Sistemik dan Tropis</w:t>
      </w:r>
    </w:p>
    <w:tbl>
      <w:tblPr>
        <w:tblW w:type="pct" w:w="100%"/>
        <w:tblBorders>
          <w:top w:val="single" w:color="4F46E5" w:sz="24"/>
          <w:left w:val="single" w:color="EEF2FF" w:sz="2"/>
          <w:bottom w:val="single" w:color="EEF2FF" w:sz="2"/>
          <w:right w:val="single" w:color="EEF2FF" w:sz="2"/>
          <w:insideH w:val="single" w:color="auto" w:sz="4"/>
          <w:insideV w:val="single" w:color="auto" w:sz="4"/>
        </w:tblBorders>
      </w:tblPr>
      <w:tblGrid>
        <w:gridCol w:w="100"/>
      </w:tblGrid>
      <w:tr>
        <w:tc>
          <w:tcPr>
            <w:shd w:fill="EEF2FF"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4F46E5"/>
                <w:sz w:val="19"/>
                <w:szCs w:val="19"/>
              </w:rPr>
              <w:t xml:space="preserve">Dasar Regulasi</w:t>
            </w:r>
          </w:p>
          <w:p>
            <w:pPr>
              <w:spacing w:after="0" w:line="280"/>
            </w:pPr>
            <w:r>
              <w:rPr>
                <w:rFonts w:ascii="IBM Plex Sans" w:cs="IBM Plex Sans" w:eastAsia="IBM Plex Sans" w:hAnsi="IBM Plex Sans"/>
                <w:color w:val="334155"/>
                <w:sz w:val="20"/>
                <w:szCs w:val="20"/>
              </w:rPr>
              <w:t xml:space="preserve">Dasar Regulasi Bab IV: Tabel 7 No. 30 (ISK, ICD-10 O23.4, ICD-11 JA62), No. 34 (Dengue tanpa komplikasi, ICD-10 O98.5 &amp; A90, ICD-11 JA6Z + 1D20), No. 35 (Malaria tanpa komplikasi, ICD-10 O98.6 &amp; B54, ICD-11 JB63.60), No. 36 (HIV/AIDS tanpa komplikasi, ICD-10 B20-B24, ICD-11 JB63.7), dan No. 37 (Duh vagina, ICD-10 O26.8; O23.5, ICD-11 MF34 + MF3A), Lampiran Kepkonsil No. HK.01.02/KKI/1318/2026.</w:t>
            </w:r>
          </w:p>
        </w:tc>
      </w:tr>
    </w:tbl>
    <w:p>
      <w:pPr>
        <w:spacing w:after="160"/>
      </w:pPr>
    </w:p>
    <w:p>
      <w:pPr>
        <w:pStyle w:val="Heading2"/>
        <w:spacing w:after="140" w:before="260"/>
      </w:pPr>
      <w:r>
        <w:rPr>
          <w:rFonts w:ascii="Source Serif 4" w:cs="Source Serif 4" w:eastAsia="Source Serif 4" w:hAnsi="Source Serif 4"/>
          <w:color w:val="4F46E5"/>
        </w:rPr>
        <w:t xml:space="preserve">4.1 Kehamilan dengan Infeksi Saluran Kemih</w:t>
      </w:r>
    </w:p>
    <w:p>
      <w:pPr>
        <w:spacing w:after="160" w:line="300"/>
      </w:pPr>
      <w:r>
        <w:rPr>
          <w:rFonts w:ascii="IBM Plex Sans" w:cs="IBM Plex Sans" w:eastAsia="IBM Plex Sans" w:hAnsi="IBM Plex Sans"/>
          <w:color w:val="334155"/>
          <w:sz w:val="22"/>
          <w:szCs w:val="22"/>
        </w:rPr>
        <w:t xml:space="preserve">Kehamilan dengan infeksi saluran kemih (Urinary tract infection in pregnancy; ICD-10 O23.4, ICD-11 JA62) mencakup spektrum mulai dari bakteriuria asimtomatik hingga sistitis simtomatik dan pielonefritis akut. Perubahan anatomis dan fisiologis kehamilan — dilatasi ureter akibat pengaruh hormonal dan penekanan mekanis uterus gravid, serta stasis urin — meningkatkan kerentanan terhadap infeksi saluran kemih dan risiko progresi menjadi pielonefritis apabila tidak ditata laksana.</w:t>
      </w:r>
    </w:p>
    <w:p>
      <w:pPr>
        <w:spacing w:after="160" w:line="300"/>
      </w:pPr>
      <w:r>
        <w:rPr>
          <w:rFonts w:ascii="IBM Plex Sans" w:cs="IBM Plex Sans" w:eastAsia="IBM Plex Sans" w:hAnsi="IBM Plex Sans"/>
          <w:color w:val="334155"/>
          <w:sz w:val="22"/>
          <w:szCs w:val="22"/>
        </w:rPr>
        <w:t xml:space="preserve">Bakteriuria asimtomatik dideteksi melalui kultur urin rutin pada kunjungan antenatal, karena tanpa gejala klinis yang dapat memicu pemeriksaan atas indikasi. Diagnosis ditegakkan berdasarkan pertumbuhan bakteri bermakna pada kultur urin porsi tengah tanpa disertai gejala infeksi saluran kemih. Tata laksana dengan antibiotik yang aman untuk kehamilan diberikan begitu diagnosis ditegakkan, mengingat bakteriuria asimtomatik yang tidak diobati berisiko berkembang menjadi pielonefritis pada proporsi bermakna kasus. Pemilihan antibiotik mempertimbangkan pola kepekaan lokal serta keamanan pada trimester kehamilan yang bersangkutan, dengan kultur ulang pascaterapi untuk memastikan eradikasi. Sistitis simtomatik ditata laksana dengan prinsip serupa disertai terapi simtomatik, sementara pielonefritis akut — meskipun berada di luar cakupan "tanpa komplikasi" pada Tabel 7 No.30 — memerlukan kewaspadaan tinggi karena berpotensi menyebabkan sepsis maternal dan persalinan preterm, sehingga rawat inap dan terapi antibiotik parenteral awal umumnya diperlukan.</w:t>
      </w:r>
    </w:p>
    <w:p>
      <w:pPr>
        <w:spacing w:after="160" w:line="300"/>
      </w:pPr>
      <w:r>
        <w:rPr>
          <w:rFonts w:ascii="IBM Plex Sans" w:cs="IBM Plex Sans" w:eastAsia="IBM Plex Sans" w:hAnsi="IBM Plex Sans"/>
          <w:color w:val="334155"/>
          <w:sz w:val="22"/>
          <w:szCs w:val="22"/>
        </w:rPr>
        <w:t xml:space="preserve">Populasi berisiko lebih tinggi mengalami infeksi saluran kemih berulang selama kehamilan meliputi perempuan dengan riwayat infeksi saluran kemih sebelum kehamilan, diabetes melitus (termasuk DMG sebagaimana dibahas Subbab 2.2), maupun kelainan anatomis traktus urinarius. Pada kelompok berisiko tinggi ini, pertimbangan penapisan kultur urin lebih sering dari jadwal standar, atau bahkan profilaksis antibiotik supresif pada kasus infeksi berulang yang terdokumentasi baik, dapat didiskusikan bersama disiplin urologi atau penyakit dalam sesuai kondisi individual.</w:t>
      </w:r>
    </w:p>
    <w:p>
      <w:pPr>
        <w:pStyle w:val="Heading2"/>
        <w:spacing w:after="140" w:before="260"/>
      </w:pPr>
      <w:r>
        <w:rPr>
          <w:rFonts w:ascii="Source Serif 4" w:cs="Source Serif 4" w:eastAsia="Source Serif 4" w:hAnsi="Source Serif 4"/>
          <w:color w:val="4F46E5"/>
        </w:rPr>
        <w:t xml:space="preserve">4.2 Kehamilan dengan Infeksi Dengue Tanpa Komplikasi</w:t>
      </w:r>
    </w:p>
    <w:p>
      <w:pPr>
        <w:spacing w:after="160" w:line="300"/>
      </w:pPr>
      <w:r>
        <w:rPr>
          <w:rFonts w:ascii="IBM Plex Sans" w:cs="IBM Plex Sans" w:eastAsia="IBM Plex Sans" w:hAnsi="IBM Plex Sans"/>
          <w:color w:val="334155"/>
          <w:sz w:val="22"/>
          <w:szCs w:val="22"/>
        </w:rPr>
        <w:t xml:space="preserve">Kehamilan dengan infeksi dengue tanpa komplikasi (Dengue infection in pregnancy without complication; ICD-10 O98.5 dikombinasikan A90, ICD-11 JA6Z + 1D20) merupakan diagnosis yang relevan tinggi mengingat endemisitas dengue di Indonesia. Manifestasi klinis dengue pada kehamilan pada dasarnya serupa dengan populasi tidak hamil — demam akut, nyeri kepala, mialgia, artralgia, dan pada sebagian kasus ruam — namun diagnosis dapat tersamar oleh kondisi obstetri lain seperti sindrom HELLP, sehingga kewaspadaan klinis tinggi diperlukan.</w:t>
      </w:r>
    </w:p>
    <w:p>
      <w:pPr>
        <w:spacing w:after="160" w:line="300"/>
      </w:pPr>
      <w:r>
        <w:rPr>
          <w:rFonts w:ascii="IBM Plex Sans" w:cs="IBM Plex Sans" w:eastAsia="IBM Plex Sans" w:hAnsi="IBM Plex Sans"/>
          <w:color w:val="334155"/>
          <w:sz w:val="22"/>
          <w:szCs w:val="22"/>
        </w:rPr>
        <w:t xml:space="preserve">Klasifikasi keparahan dengue mengikuti kerangka umum: fase demam, fase kritis, dan fase pemulihan, dengan kewaspadaan terhadap tanda bahaya yang menandakan potensi progresi ke dengue berat. Tata laksana kehamilan dengan dengue tanpa komplikasi bersifat suportif, mencakup rehidrasi adekuat, pemantauan tanda vital dan hitung trombosit secara berkala, serta penghindaran obat antiinflamasi nonsteroid dan asam asetilsalisilat yang berisiko memperberat kecenderungan perdarahan. Ibu hamil dengan dengue dianjurkan mendapat pemantauan intensif mengingat potensi perburukan cepat dan risiko penularan vertikal pada infeksi yang terjadi mendekati waktu persalinan; tindakan obstetri elektif yang tidak mendesak — termasuk induksi persalinan dan seksio sesarea terjadwal — sedapat mungkin ditunda hingga perbaikan klinis, kecuali terdapat indikasi mendesak lain.</w:t>
      </w:r>
    </w:p>
    <w:p>
      <w:pPr>
        <w:spacing w:after="160" w:line="300"/>
      </w:pPr>
      <w:r>
        <w:rPr>
          <w:rFonts w:ascii="IBM Plex Sans" w:cs="IBM Plex Sans" w:eastAsia="IBM Plex Sans" w:hAnsi="IBM Plex Sans"/>
          <w:color w:val="334155"/>
          <w:sz w:val="22"/>
          <w:szCs w:val="22"/>
        </w:rPr>
        <w:t xml:space="preserve">Kewaspadaan diagnosis banding penting ditegakkan mengingat gambaran klinis dengue — trombositopenia, peningkatan enzim hati, dan pada kasus berat, tanda kebocoran plasma — dapat tumpang-tindih dengan sindrom HELLP, perlemakan hati akut kehamilan (acute fatty liver of pregnancy), maupun sepsis dari sumber lain. Anamnesis riwayat perjalanan atau paparan wilayah endemis, pola demam, serta konfirmasi laboratorium spesifik dengue (deteksi antigen NS1 pada fase awal atau serologi IgM pada fase lanjut) membantu membedakan dengue dari kondisi obstetri primer tersebut. Kesalahan diagnosis pada kedua arah berpotensi menghasilkan tata laksana yang tidak sesuai, sehingga kolaborasi dengan disiplin penyakit dalam konsultan tropik-infeksi dianjurkan pada kasus dengan gambaran klinis tumpang-tindih.</w:t>
      </w:r>
    </w:p>
    <w:p>
      <w:pPr>
        <w:pStyle w:val="Heading2"/>
        <w:spacing w:after="140" w:before="260"/>
      </w:pPr>
      <w:r>
        <w:rPr>
          <w:rFonts w:ascii="Source Serif 4" w:cs="Source Serif 4" w:eastAsia="Source Serif 4" w:hAnsi="Source Serif 4"/>
          <w:color w:val="4F46E5"/>
        </w:rPr>
        <w:t xml:space="preserve">4.3 Kehamilan dengan Malaria Tanpa Komplikasi</w:t>
      </w:r>
    </w:p>
    <w:p>
      <w:pPr>
        <w:spacing w:after="160" w:line="300"/>
      </w:pPr>
      <w:r>
        <w:rPr>
          <w:rFonts w:ascii="IBM Plex Sans" w:cs="IBM Plex Sans" w:eastAsia="IBM Plex Sans" w:hAnsi="IBM Plex Sans"/>
          <w:color w:val="334155"/>
          <w:sz w:val="22"/>
          <w:szCs w:val="22"/>
        </w:rPr>
        <w:t xml:space="preserve">Kehamilan dengan malaria tanpa komplikasi (Malaria infection in pregnancy without complication; ICD-10 O98.6 dikombinasikan B54, ICD-11 JB63.60) memerlukan perhatian khusus karena kehamilan menurunkan imunitas relatif terhadap infeksi Plasmodium, meningkatkan risiko anemia berat, keguguran, persalinan preterm, berat lahir rendah, dan pada infeksi Plasmodium falciparum yang tidak tertata laksana, malaria berat.</w:t>
      </w:r>
    </w:p>
    <w:p>
      <w:pPr>
        <w:spacing w:after="160" w:line="300"/>
      </w:pPr>
      <w:r>
        <w:rPr>
          <w:rFonts w:ascii="IBM Plex Sans" w:cs="IBM Plex Sans" w:eastAsia="IBM Plex Sans" w:hAnsi="IBM Plex Sans"/>
          <w:color w:val="334155"/>
          <w:sz w:val="22"/>
          <w:szCs w:val="22"/>
        </w:rPr>
        <w:t xml:space="preserve">Pada wilayah endemis, pencegahan berbasis kemoprevensi diberikan melalui pemberian antimalaria terjadwal pada kunjungan antenatal — dikenal sebagai pengobatan pencegahan intermiten dalam kehamilan (Intermittent Preventive Treatment in pregnancy) — yang direkomendasikan mulai trimester kedua dengan interval antardosis paling sedikit satu bulan, bertujuan memastikan minimal tiga dosis diterima sepanjang kehamilan pada wilayah transmisi sedang hingga tinggi. Diagnosis malaria tanpa komplikasi ditegakkan melalui pemeriksaan mikroskopis apusan darah tebal-tipis atau tes diagnostik cepat, dan tata laksana lini pertama pada trimester kedua dan ketiga mengikuti terapi kombinasi berbasis artemisinin sebagaimana pada populasi dewasa umum, sementara pemilihan regimen pada trimester pertama memerlukan pertimbangan keamanan obat yang lebih ketat. Pemantauan pascaterapi mencakup evaluasi klinis dan parasitologis ulang, serta pemantauan kesejahteraan janin pada kasus dengan gejala sistemik bermakna.</w:t>
      </w:r>
    </w:p>
    <w:p>
      <w:pPr>
        <w:spacing w:after="160" w:line="300"/>
      </w:pPr>
      <w:r>
        <w:rPr>
          <w:rFonts w:ascii="IBM Plex Sans" w:cs="IBM Plex Sans" w:eastAsia="IBM Plex Sans" w:hAnsi="IBM Plex Sans"/>
          <w:color w:val="334155"/>
          <w:sz w:val="22"/>
          <w:szCs w:val="22"/>
        </w:rPr>
        <w:t xml:space="preserve">Pencegahan tambahan meliputi penggunaan kelambu berinsektisida sebagai bagian strategi pencegahan vektor pada wilayah endemis, yang direkomendasikan digunakan sepanjang kehamilan mengingat kerentanan ibu hamil yang meningkat terhadap infeksi malaria maupun keparahannya. Edukasi mengenai tanda bahaya malaria — demam tinggi persisten, penurunan kesadaran, ikterus, atau tanda perdarahan — perlu diberikan pada setiap kunjungan antenatal di wilayah endemis, mengingat progresi ke malaria berat pada ibu hamil dapat terjadi lebih cepat dibandingkan populasi dewasa tidak hamil.</w:t>
      </w:r>
    </w:p>
    <w:p>
      <w:pPr>
        <w:pStyle w:val="Heading2"/>
        <w:spacing w:after="140" w:before="260"/>
      </w:pPr>
      <w:r>
        <w:rPr>
          <w:rFonts w:ascii="Source Serif 4" w:cs="Source Serif 4" w:eastAsia="Source Serif 4" w:hAnsi="Source Serif 4"/>
          <w:color w:val="4F46E5"/>
        </w:rPr>
        <w:t xml:space="preserve">4.4 Kehamilan dengan HIV/AIDS Tanpa Komplikasi</w:t>
      </w:r>
    </w:p>
    <w:p>
      <w:pPr>
        <w:spacing w:after="160" w:line="300"/>
      </w:pPr>
      <w:r>
        <w:rPr>
          <w:rFonts w:ascii="IBM Plex Sans" w:cs="IBM Plex Sans" w:eastAsia="IBM Plex Sans" w:hAnsi="IBM Plex Sans"/>
          <w:color w:val="334155"/>
          <w:sz w:val="22"/>
          <w:szCs w:val="22"/>
        </w:rPr>
        <w:t xml:space="preserve">Kehamilan dengan HIV/AIDS tanpa komplikasi (HIV/AIDS infection in pregnancy; ICD-10 B20-B24, ICD-11 JB63.7) menempatkan SpOG pada posisi kunci dalam upaya pencegahan penularan HIV dari ibu ke anak (Prevention of Mother-to-Child Transmission/PMTCT). Tanpa intervensi, risiko penularan vertikal HIV berkisar cukup tinggi; dengan terapi antiretroviral (ARV) yang adekuat dan tata laksana persalinan yang tepat, risiko tersebut dapat ditekan secara signifikan.</w:t>
      </w:r>
    </w:p>
    <w:p>
      <w:pPr>
        <w:spacing w:after="160" w:line="300"/>
      </w:pPr>
      <w:r>
        <w:rPr>
          <w:rFonts w:ascii="IBM Plex Sans" w:cs="IBM Plex Sans" w:eastAsia="IBM Plex Sans" w:hAnsi="IBM Plex Sans"/>
          <w:color w:val="334155"/>
          <w:sz w:val="22"/>
          <w:szCs w:val="22"/>
        </w:rPr>
        <w:t xml:space="preserve">Penapisan HIV ditawarkan pada seluruh ibu hamil sebagai bagian layanan antenatal terintegrasi, mengikuti prinsip konseling dan persetujuan (opt-out testing sesuai kebijakan program nasional). Pada ibu hamil dengan HIV terkonfirmasi, terapi antiretroviral kombinasi diinisiasi sesegera mungkin setelah diagnosis dan dilanjutkan seumur hidup, sejalan dengan prinsip "pengobatan untuk semua" yang telah menjadi standar global. Pemantauan selama kehamilan mencakup evaluasi kepatuhan terapi, pemantauan jumlah virus (viral load) untuk menilai supresi virologis menjelang persalinan, serta pemantauan efek samping obat dan interaksi dengan kondisi kehamilan.</w:t>
      </w:r>
    </w:p>
    <w:p>
      <w:pPr>
        <w:spacing w:after="160" w:line="300"/>
      </w:pPr>
      <w:r>
        <w:rPr>
          <w:rFonts w:ascii="IBM Plex Sans" w:cs="IBM Plex Sans" w:eastAsia="IBM Plex Sans" w:hAnsi="IBM Plex Sans"/>
          <w:color w:val="334155"/>
          <w:sz w:val="22"/>
          <w:szCs w:val="22"/>
        </w:rPr>
        <w:t xml:space="preserve">Perencanaan cara persalinan mempertimbangkan status virologis ibu: pada ibu dengan supresi virus yang adekuat mendekati persalinan, persalinan pervaginam dapat dipertimbangkan dengan tata laksana standar, sementara pada ibu dengan viral load tidak tersupresi atau tidak diketahui, seksio sesarea elektif dipertimbangkan untuk mengurangi risiko penularan intrapartum. Profilaksis antiretroviral pada bayi baru lahir dan konseling pemberian makan bayi merupakan bagian tidak terpisahkan dari rangkaian layanan PMTCT, dan dilakukan berkoordinasi dengan layanan kesehatan anak sesuai kebijakan program nasional penanggulangan HIV.</w:t>
      </w:r>
    </w:p>
    <w:p>
      <w:pPr>
        <w:spacing w:after="160" w:line="300"/>
      </w:pPr>
      <w:r>
        <w:rPr>
          <w:rFonts w:ascii="IBM Plex Sans" w:cs="IBM Plex Sans" w:eastAsia="IBM Plex Sans" w:hAnsi="IBM Plex Sans"/>
          <w:color w:val="334155"/>
          <w:sz w:val="22"/>
          <w:szCs w:val="22"/>
        </w:rPr>
        <w:t xml:space="preserve">Aspek psikososial memegang peran penting dalam layanan kehamilan dengan HIV. Stigma dan diskriminasi tetap menjadi hambatan signifikan terhadap keterbukaan status dan kepatuhan terapi pada sebagian ibu hamil, sehingga konseling yang suportif dan konfidensial, dukungan sebaya bila tersedia, serta keterlibatan pasangan dalam proses konseling dan penapisan (dengan persetujuan ibu) dianjurkan sebagai bagian layanan komprehensif. Dokumentasi status HIV dan rencana tata laksana dijaga kerahasiaannya sesuai prinsip etika kedokteran dan peraturan perlindungan data kesehatan yang berlaku.</w:t>
      </w:r>
    </w:p>
    <w:p>
      <w:pPr>
        <w:pStyle w:val="Heading2"/>
        <w:spacing w:after="140" w:before="260"/>
      </w:pPr>
      <w:r>
        <w:rPr>
          <w:rFonts w:ascii="Source Serif 4" w:cs="Source Serif 4" w:eastAsia="Source Serif 4" w:hAnsi="Source Serif 4"/>
          <w:color w:val="4F46E5"/>
        </w:rPr>
        <w:t xml:space="preserve">4.5 Kehamilan dengan Duh Vagina</w:t>
      </w:r>
    </w:p>
    <w:p>
      <w:pPr>
        <w:spacing w:after="160" w:line="300"/>
      </w:pPr>
      <w:r>
        <w:rPr>
          <w:rFonts w:ascii="IBM Plex Sans" w:cs="IBM Plex Sans" w:eastAsia="IBM Plex Sans" w:hAnsi="IBM Plex Sans"/>
          <w:color w:val="334155"/>
          <w:sz w:val="22"/>
          <w:szCs w:val="22"/>
        </w:rPr>
        <w:t xml:space="preserve">Kehamilan dengan duh vagina (Vaginal discharge in pregnancy; ICD-10 O26.8 disertai O23.5, ICD-11 MF34 + MF3A) merupakan keluhan yang sangat sering dijumpai pada layanan antenatal, dengan spektrum etiologi mulai dari perubahan fisiologis kehamilan hingga infeksi yang memerlukan tata laksana spesifik seperti vaginosis bakterial, kandidiasis vulvovaginal, dan trikomoniasis.</w:t>
      </w:r>
    </w:p>
    <w:p>
      <w:pPr>
        <w:spacing w:after="160" w:line="300"/>
      </w:pPr>
      <w:r>
        <w:rPr>
          <w:rFonts w:ascii="IBM Plex Sans" w:cs="IBM Plex Sans" w:eastAsia="IBM Plex Sans" w:hAnsi="IBM Plex Sans"/>
          <w:color w:val="334155"/>
          <w:sz w:val="22"/>
          <w:szCs w:val="22"/>
        </w:rPr>
        <w:t xml:space="preserve">Pendekatan klinis dimulai dari anamnesis karakteristik duh (warna, konsistensi, bau) dan gejala penyerta (gatal, nyeri, disuria) untuk mengarahkan kecurigaan etiologi, dilanjutkan pemeriksaan spekulum dan, bila tersedia, pemeriksaan mikroskopis sederhana atau uji pH untuk membedakan etiologi. Duh vagina fisiologis kehamilan — akibat peningkatan sekresi serviks dan vaskularisasi vagina di bawah pengaruh hormonal — tidak memerlukan terapi selain edukasi. Vaginosis bakterial dan trikomoniasis, terutama bila simtomatik atau disertai faktor risiko persalinan preterm, ditata laksana dengan antimikroba yang aman untuk kehamilan. Kandidiasis vulvovaginal ditata laksana dengan antijamur topikal lini pertama pada kehamilan. Duh vagina yang menetap atau berulang, atau disertai tanda infeksi menular seksual lain, memerlukan evaluasi lebih lanjut termasuk penapisan infeksi menular seksual sesuai indikasi klinis dan epidemiologis setempat.</w:t>
      </w:r>
    </w:p>
    <w:p>
      <w:pPr>
        <w:spacing w:after="100" w:before="120"/>
      </w:pPr>
      <w:r>
        <w:rPr>
          <w:rFonts w:ascii="IBM Plex Sans" w:cs="IBM Plex Sans" w:eastAsia="IBM Plex Sans" w:hAnsi="IBM Plex Sans"/>
          <w:b/>
          <w:bCs/>
          <w:color w:val="334155"/>
          <w:sz w:val="20"/>
          <w:szCs w:val="20"/>
        </w:rPr>
        <w:t xml:space="preserve">Tabel 4.1 — Ringkasan Perbandingan Lima Entri Infeksi pada Tabel 7 No.30, 34-37</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116"/>
        <w:gridCol w:w="3116"/>
        <w:gridCol w:w="3116"/>
      </w:tblGrid>
      <w:tr>
        <w:trPr>
          <w:tblHeader/>
        </w:trPr>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Diagnosis</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Manifestasi Kunci</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Prinsip Tata Laksana Awal</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Infeksi saluran kemih (No.30)</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Asimtomatik hingga disuria, nyeri pinggang</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Antibiotik aman kehamilan; kultur ulang pascaterapi</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Dengue tanpa komplikasi (No.34)</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Demam akut, mialgia, trombositopenia</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Suportif; rehidrasi; hindari NSAID/aspirin</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Malaria tanpa komplikasi (No.35)</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Demam periodik, anemia, di wilayah endemis</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IPTp pencegahan; ACT sesuai trimester</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HIV/AIDS tanpa komplikasi (No.36)</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Umumnya asimtomatik; deteksi via skrining</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ARV kombinasi seumur hidup; PMTCT terintegrasi</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Duh vagina (No.37)</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Keputihan dengan/tanpa gejala penyerta</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Terapi sesuai etiologi setelah evaluasi klinis</w:t>
            </w:r>
          </w:p>
        </w:tc>
      </w:tr>
    </w:tbl>
    <w:p>
      <w:pPr>
        <w:spacing w:after="200"/>
      </w:pPr>
    </w:p>
    <w:p>
      <w:pPr>
        <w:pStyle w:val="Heading2"/>
        <w:spacing w:after="140" w:before="260"/>
      </w:pPr>
      <w:r>
        <w:rPr>
          <w:rFonts w:ascii="Source Serif 4" w:cs="Source Serif 4" w:eastAsia="Source Serif 4" w:hAnsi="Source Serif 4"/>
          <w:color w:val="4F46E5"/>
        </w:rPr>
        <w:t xml:space="preserve">4.6 Perbandingan dan Pengayaan Standar Internasional</w:t>
      </w:r>
    </w:p>
    <w:p>
      <w:pPr>
        <w:spacing w:after="60" w:before="60"/>
      </w:pPr>
      <w:r>
        <w:rPr>
          <w:rFonts w:ascii="IBM Plex Sans" w:cs="IBM Plex Sans" w:eastAsia="IBM Plex Sans" w:hAnsi="IBM Plex Sans"/>
          <w:b/>
          <w:bCs/>
          <w:i/>
          <w:iCs/>
          <w:color w:val="B45309"/>
          <w:sz w:val="20"/>
          <w:szCs w:val="20"/>
        </w:rPr>
        <w:t xml:space="preserve">Perbandingan dan Pengayaan Standar Internasional</w:t>
      </w:r>
    </w:p>
    <w:tbl>
      <w:tblPr>
        <w:tblW w:type="pct" w:w="100%"/>
        <w:tblBorders>
          <w:top w:val="single" w:color="B45309" w:sz="24"/>
          <w:left w:val="single" w:color="FEF3C7" w:sz="2"/>
          <w:bottom w:val="single" w:color="FEF3C7" w:sz="2"/>
          <w:right w:val="single" w:color="FEF3C7" w:sz="2"/>
          <w:insideH w:val="single" w:color="auto" w:sz="4"/>
          <w:insideV w:val="single" w:color="auto" w:sz="4"/>
        </w:tblBorders>
      </w:tblPr>
      <w:tblGrid>
        <w:gridCol w:w="100"/>
      </w:tblGrid>
      <w:tr>
        <w:tc>
          <w:tcPr>
            <w:shd w:fill="FEF3C7"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B45309"/>
                <w:sz w:val="19"/>
                <w:szCs w:val="19"/>
              </w:rPr>
              <w:t xml:space="preserve">Standar Internasional (Non-superior)</w:t>
            </w:r>
          </w:p>
          <w:p>
            <w:pPr>
              <w:spacing w:after="0" w:line="280"/>
            </w:pPr>
            <w:r>
              <w:rPr>
                <w:rFonts w:ascii="IBM Plex Sans" w:cs="IBM Plex Sans" w:eastAsia="IBM Plex Sans" w:hAnsi="IBM Plex Sans"/>
                <w:color w:val="334155"/>
                <w:sz w:val="20"/>
                <w:szCs w:val="20"/>
              </w:rPr>
              <w:t xml:space="preserve">Standar nasional (Kepkonsil) menetapkan kelima entri infeksi pada bab ini sebagai kompetensi medis wajib tanpa merinci algoritme diagnostik-terapeutik teknis. Untuk infeksi saluran kemih, World Health Organization dan tinjauan Cochrane merekomendasikan penapisan dan terapi bakteriuria asimtomatik pada seluruh ibu hamil sebagai bagian layanan antenatal standar untuk mengurangi risiko pielonefritis dan luaran kehamilan yang merugikan. Untuk malaria, World Health Organization merekomendasikan pengobatan pencegahan intermiten dalam kehamilan (IPTp) dengan sulfadoksin-pirimetamin pada wilayah endemis, dimulai awal trimester kedua dengan interval antardosis minimal satu bulan, serta terapi kombinasi berbasis artemisinin untuk malaria tanpa komplikasi pada trimester kedua dan ketiga. Untuk HIV, World Health Organization melalui pedoman konsolidasi penggunaan obat antiretroviral merekomendasikan inisiasi terapi antiretroviral seumur hidup segera setelah diagnosis pada seluruh ibu hamil dengan HIV, terlepas dari jumlah CD4, sebagai bagian strategi eliminasi penularan HIV dari ibu ke anak. Ketiga rekomendasi internasional tersebut selaras dengan arah kebijakan program nasional Indonesia untuk penyakit infeksi terkait kehamilan; standar nasional (Kepkonsil) dan program nasional pengendalian penyakit tetap menjadi acuan utama pelaksanaan operasional di fasilitas kesehatan Indonesia.</w:t>
            </w:r>
          </w:p>
        </w:tc>
      </w:tr>
    </w:tbl>
    <w:p>
      <w:pPr>
        <w:spacing w:after="160"/>
      </w:pPr>
    </w:p>
    <w:p>
      <w:pPr>
        <w:pStyle w:val="Heading1"/>
        <w:spacing w:after="200" w:before="360"/>
      </w:pPr>
      <w:r>
        <w:rPr>
          <w:rFonts w:ascii="Source Serif 4" w:cs="Source Serif 4" w:eastAsia="Source Serif 4" w:hAnsi="Source Serif 4"/>
          <w:color w:val="3730A3"/>
        </w:rPr>
        <w:t xml:space="preserve">Bab V — Prinsip Kolaborasi Multidisiplin pada Kehamilan Risiko Tinggi dengan Komorbiditas</w:t>
      </w:r>
    </w:p>
    <w:p>
      <w:pPr>
        <w:spacing w:after="160" w:line="300"/>
      </w:pPr>
      <w:r>
        <w:rPr>
          <w:rFonts w:ascii="IBM Plex Sans" w:cs="IBM Plex Sans" w:eastAsia="IBM Plex Sans" w:hAnsi="IBM Plex Sans"/>
          <w:color w:val="334155"/>
          <w:sz w:val="22"/>
          <w:szCs w:val="22"/>
        </w:rPr>
        <w:t xml:space="preserve">Kesembilan entri diagnosis yang dibahas dalam buku tematik ini memiliki satu benang merah yang sama: tidak satu pun dapat ditata laksana secara optimal oleh SpOG bekerja sendiri. Model layanan kolaboratif multidisiplin bukan sekadar praktik terbaik yang dianjurkan, melainkan kebutuhan struktural yang timbul dari sifat lintas-sistem komorbiditas medis dalam kehamilan.</w:t>
      </w:r>
    </w:p>
    <w:p>
      <w:pPr>
        <w:pStyle w:val="Heading2"/>
        <w:spacing w:after="140" w:before="260"/>
      </w:pPr>
      <w:r>
        <w:rPr>
          <w:rFonts w:ascii="Source Serif 4" w:cs="Source Serif 4" w:eastAsia="Source Serif 4" w:hAnsi="Source Serif 4"/>
          <w:color w:val="4F46E5"/>
        </w:rPr>
        <w:t xml:space="preserve">5.1 Struktur Kolaborasi Berdasarkan Rumpun Komorbiditas</w:t>
      </w:r>
    </w:p>
    <w:p>
      <w:pPr>
        <w:spacing w:after="160" w:line="300"/>
      </w:pPr>
      <w:r>
        <w:rPr>
          <w:rFonts w:ascii="IBM Plex Sans" w:cs="IBM Plex Sans" w:eastAsia="IBM Plex Sans" w:hAnsi="IBM Plex Sans"/>
          <w:color w:val="334155"/>
          <w:sz w:val="22"/>
          <w:szCs w:val="22"/>
        </w:rPr>
        <w:t xml:space="preserve">Pada rumpun gangguan metabolik dan nutrisi, kolaborasi inti melibatkan dokter spesialis penyakit dalam konsultan endokrin metabolik diabetes, ahli gizi klinik, dan pada kasus obesitas berat dengan komorbiditas kardiorespirasi, dokter spesialis penyakit dalam konsultan lain sesuai kebutuhan. Pada rumpun kelainan hematologi, kolaborasi inti melibatkan dokter spesialis penyakit dalam konsultan hematologi-onkologi medik, dengan keterlibatan bank darah dalam perencanaan persalinan pada kasus berisiko perdarahan tinggi. Pada rumpun infeksi sistemik dan tropis, kolaborasi inti melibatkan dokter spesialis penyakit dalam konsultan tropik-infeksi untuk dengue dan malaria, serta tim layanan HIV terpadu (mencakup konselor, dokter penanggung jawab program ARV, dan layanan kesehatan anak) untuk kasus HIV/AIDS.</w:t>
      </w:r>
    </w:p>
    <w:p>
      <w:pPr>
        <w:pStyle w:val="Heading2"/>
        <w:spacing w:after="140" w:before="260"/>
      </w:pPr>
      <w:r>
        <w:rPr>
          <w:rFonts w:ascii="Source Serif 4" w:cs="Source Serif 4" w:eastAsia="Source Serif 4" w:hAnsi="Source Serif 4"/>
          <w:color w:val="4F46E5"/>
        </w:rPr>
        <w:t xml:space="preserve">5.2 Peran SpOG sebagai Koordinator Layanan</w:t>
      </w:r>
    </w:p>
    <w:p>
      <w:pPr>
        <w:spacing w:after="160" w:line="300"/>
      </w:pPr>
      <w:r>
        <w:rPr>
          <w:rFonts w:ascii="IBM Plex Sans" w:cs="IBM Plex Sans" w:eastAsia="IBM Plex Sans" w:hAnsi="IBM Plex Sans"/>
          <w:color w:val="334155"/>
          <w:sz w:val="22"/>
          <w:szCs w:val="22"/>
        </w:rPr>
        <w:t xml:space="preserve">Dalam struktur kolaborasi tersebut, SpOG memegang peran koordinator layanan (care coordinator) yang bertanggung jawab memastikan kesinambungan informasi klinis antardisiplin, penjadwalan kunjungan terintegrasi agar tidak membebani pasien dengan kunjungan berulang yang tidak perlu, serta pengambilan keputusan akhir mengenai waktu dan cara persalinan dengan mempertimbangkan masukan seluruh disiplin terkait. Dokumentasi rekam medis yang terstruktur — mencakup ringkasan kondisi komorbiditas, rencana tata laksana bersama, dan kriteria rujukan — menjadi instrumen penting keberhasilan kolaborasi ini.</w:t>
      </w:r>
    </w:p>
    <w:p>
      <w:pPr>
        <w:pStyle w:val="Heading2"/>
        <w:spacing w:after="140" w:before="260"/>
      </w:pPr>
      <w:r>
        <w:rPr>
          <w:rFonts w:ascii="Source Serif 4" w:cs="Source Serif 4" w:eastAsia="Source Serif 4" w:hAnsi="Source Serif 4"/>
          <w:color w:val="4F46E5"/>
        </w:rPr>
        <w:t xml:space="preserve">5.3 Kriteria Rujukan ke Layanan Fetomaternal</w:t>
      </w:r>
    </w:p>
    <w:p>
      <w:pPr>
        <w:spacing w:after="160" w:line="300"/>
      </w:pPr>
      <w:r>
        <w:rPr>
          <w:rFonts w:ascii="IBM Plex Sans" w:cs="IBM Plex Sans" w:eastAsia="IBM Plex Sans" w:hAnsi="IBM Plex Sans"/>
          <w:color w:val="334155"/>
          <w:sz w:val="22"/>
          <w:szCs w:val="22"/>
        </w:rPr>
        <w:t xml:space="preserve">Rujukan ke layanan subspesialis Fetomaternal dipertimbangkan pada kondisi berikut: komorbiditas dengan komplikasi berat yang berada di luar cakupan "tanpa komplikasi" pada Tabel 7 (misalnya dengue dengan tanda bahaya, malaria berat, atau HIV dengan infeksi oportunistik), kehamilan dengan lebih dari satu komorbiditas berinteraksi, kegagalan respons terhadap tata laksana lini pertama, atau ditemukannya kelainan pertumbuhan maupun kesejahteraan janin yang memerlukan pemantauan intensif. Kriteria rujukan ini bersifat indikatif dan disesuaikan dengan ketersediaan sumber daya serta jejaring rujukan berjenjang di masing-masing wilayah.</w:t>
      </w:r>
    </w:p>
    <w:p>
      <w:pPr>
        <w:pStyle w:val="Heading2"/>
        <w:spacing w:after="140" w:before="260"/>
      </w:pPr>
      <w:r>
        <w:rPr>
          <w:rFonts w:ascii="Source Serif 4" w:cs="Source Serif 4" w:eastAsia="Source Serif 4" w:hAnsi="Source Serif 4"/>
          <w:color w:val="4F46E5"/>
        </w:rPr>
        <w:t xml:space="preserve">5.4 Indikator Keberhasilan Kolaborasi</w:t>
      </w:r>
    </w:p>
    <w:p>
      <w:pPr>
        <w:spacing w:after="160" w:line="300"/>
      </w:pPr>
      <w:r>
        <w:rPr>
          <w:rFonts w:ascii="IBM Plex Sans" w:cs="IBM Plex Sans" w:eastAsia="IBM Plex Sans" w:hAnsi="IBM Plex Sans"/>
          <w:color w:val="334155"/>
          <w:sz w:val="22"/>
          <w:szCs w:val="22"/>
        </w:rPr>
        <w:t xml:space="preserve">Keberhasilan model kolaborasi multidisiplin pada kehamilan dengan komorbiditas dapat dinilai melalui beberapa indikator proses dan luaran. Indikator proses meliputi kelengkapan dokumentasi rencana tata laksana bersama pada rekam medis, ketepatan waktu rujukan sesuai kriteria yang ditetapkan, dan kehadiran seluruh disiplin terkait pada pertemuan kasus terjadwal bila tersedia forum tersebut di fasilitas kesehatan. Indikator luaran meliputi tercapainya target klinis spesifik per komorbiditas — misalnya kendali glikemik pada diabetes, koreksi hemoglobin pada anemia, atau supresi virologis pada HIV menjelang persalinan — serta tidak terjadinya komplikasi maternal-fetal berat yang seharusnya dapat dicegah melalui deteksi dan tata laksana dini. Audit berkala terhadap indikator ini, sejalan dengan mekanisme audit mutu klinis di fasilitas kesehatan masing-masing, membantu perbaikan berkelanjutan model layanan kolaboratif.</w:t>
      </w:r>
    </w:p>
    <w:p>
      <w:pPr>
        <w:pStyle w:val="Heading1"/>
        <w:spacing w:after="200" w:before="360"/>
      </w:pPr>
      <w:r>
        <w:rPr>
          <w:rFonts w:ascii="Source Serif 4" w:cs="Source Serif 4" w:eastAsia="Source Serif 4" w:hAnsi="Source Serif 4"/>
          <w:color w:val="3730A3"/>
        </w:rPr>
        <w:t xml:space="preserve">Bab VI — Perbandingan dan Pengayaan Standar Internasional</w:t>
      </w:r>
    </w:p>
    <w:p>
      <w:pPr>
        <w:spacing w:after="160" w:line="300"/>
      </w:pPr>
      <w:r>
        <w:rPr>
          <w:rFonts w:ascii="IBM Plex Sans" w:cs="IBM Plex Sans" w:eastAsia="IBM Plex Sans" w:hAnsi="IBM Plex Sans"/>
          <w:color w:val="334155"/>
          <w:sz w:val="22"/>
          <w:szCs w:val="22"/>
        </w:rPr>
        <w:t xml:space="preserve">Bab ini menyajikan sintesis lintas-diagnosis atas perbandingan standar nasional dan internasional yang telah dibahas secara spesifik pada masing-masing subbab Bab II hingga Bab IV, dengan penekanan pada pola umum yang berulang di seluruh entri Tabel 7 No.29-37.</w:t>
      </w:r>
    </w:p>
    <w:p>
      <w:pPr>
        <w:pStyle w:val="Heading2"/>
        <w:spacing w:after="140" w:before="260"/>
      </w:pPr>
      <w:r>
        <w:rPr>
          <w:rFonts w:ascii="Source Serif 4" w:cs="Source Serif 4" w:eastAsia="Source Serif 4" w:hAnsi="Source Serif 4"/>
          <w:color w:val="4F46E5"/>
        </w:rPr>
        <w:t xml:space="preserve">6.1 Pola Umum Konvergensi Standar</w:t>
      </w:r>
    </w:p>
    <w:p>
      <w:pPr>
        <w:spacing w:after="160" w:line="300"/>
      </w:pPr>
      <w:r>
        <w:rPr>
          <w:rFonts w:ascii="IBM Plex Sans" w:cs="IBM Plex Sans" w:eastAsia="IBM Plex Sans" w:hAnsi="IBM Plex Sans"/>
          <w:color w:val="334155"/>
          <w:sz w:val="22"/>
          <w:szCs w:val="22"/>
        </w:rPr>
        <w:t xml:space="preserve">Penelusuran terhadap sembilan entri diagnosis dalam buku ini menunjukkan pola konvergensi yang konsisten antara pendekatan berbasis kompetensi Kepkonsil dengan pedoman teknis internasional WHO, FIGO, ACOG, RCOG, ISUOG, ICM, dan tinjauan Cochrane: standar nasional menetapkan cakupan kompetensi (apa yang wajib dikuasai), sementara pedoman internasional umumnya memberikan detail teknis operasional (bagaimana kompetensi tersebut dilaksanakan pada tingkat klinis). Pola ini konsisten dengan Aturan 2 Perintah Umum ekosistem literatur ini, yang memposisikan standar internasional sebagai lapisan pengayaan non-superior terhadap standar nasional.</w:t>
      </w:r>
    </w:p>
    <w:p>
      <w:pPr>
        <w:spacing w:after="100" w:before="120"/>
      </w:pPr>
      <w:r>
        <w:rPr>
          <w:rFonts w:ascii="IBM Plex Sans" w:cs="IBM Plex Sans" w:eastAsia="IBM Plex Sans" w:hAnsi="IBM Plex Sans"/>
          <w:b/>
          <w:bCs/>
          <w:color w:val="334155"/>
          <w:sz w:val="20"/>
          <w:szCs w:val="20"/>
        </w:rPr>
        <w:t xml:space="preserve">Tabel 6.1 — Matriks Perbandingan Standar Nasional dan Internasional per Rumpun Komorbiditas</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116"/>
        <w:gridCol w:w="3116"/>
        <w:gridCol w:w="3116"/>
      </w:tblGrid>
      <w:tr>
        <w:trPr>
          <w:tblHeader/>
        </w:trPr>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Rumpun</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Fokus Standar Nasional (Kepkonsil)</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Pengayaan Standar Internasional</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Metabolik dan nutrisi</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Kompetensi penapisan dan tata laksana obesitas serta diabetes tanpa komplikasi</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ACOG (obesitas); WHO/FIGO/IADPSG (ambang diagnostik diabetes gestasional)</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Hematologi</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Kompetensi penapisan dan tata laksana anemia serta kelainan darah</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WHO (suplementasi besi-asam folat); RCOG (tromboprofilaksis peripartum)</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Infeksi sistemik dan tropis</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Kompetensi penapisan dan tata laksana awal lima entri infeksi</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WHO (ISK, malaria, HIV); Cochrane (bakteriuria asimtomatik)</w:t>
            </w:r>
          </w:p>
        </w:tc>
      </w:tr>
    </w:tbl>
    <w:p>
      <w:pPr>
        <w:spacing w:after="200"/>
      </w:pPr>
    </w:p>
    <w:p>
      <w:pPr>
        <w:pStyle w:val="Heading2"/>
        <w:spacing w:after="140" w:before="260"/>
      </w:pPr>
      <w:r>
        <w:rPr>
          <w:rFonts w:ascii="Source Serif 4" w:cs="Source Serif 4" w:eastAsia="Source Serif 4" w:hAnsi="Source Serif 4"/>
          <w:color w:val="4F46E5"/>
        </w:rPr>
        <w:t xml:space="preserve">6.2 Area yang Memerlukan Kewaspadaan Adaptasi Lokal</w:t>
      </w:r>
    </w:p>
    <w:p>
      <w:pPr>
        <w:spacing w:after="160" w:line="300"/>
      </w:pPr>
      <w:r>
        <w:rPr>
          <w:rFonts w:ascii="IBM Plex Sans" w:cs="IBM Plex Sans" w:eastAsia="IBM Plex Sans" w:hAnsi="IBM Plex Sans"/>
          <w:color w:val="334155"/>
          <w:sz w:val="22"/>
          <w:szCs w:val="22"/>
        </w:rPr>
        <w:t xml:space="preserve">Meskipun pola konvergensi umum ditemukan, beberapa area memerlukan kewaspadaan adaptasi terhadap konteks lokal Indonesia. Pertama, ambang diagnostik diabetes gestasional pada beberapa pedoman internasional (misalnya NICE) berbeda dari kerangka IADPSG/WHO yang lebih luas diadopsi, sehingga fasilitas kesehatan perlu konsisten menggunakan satu kerangka acuan yang telah disepakati dalam kebijakan program nasional. Kedua, rekomendasi kemoprevensi malaria (IPTp) bersifat spesifik-endemisitas dan tidak seragam berlaku pada seluruh wilayah Indonesia, sehingga penerapannya mengikuti stratifikasi endemisitas wilayah oleh program pengendalian malaria nasional. Ketiga, regimen antiretroviral dan kriteria cara persalinan pada HIV mengikuti pedoman program nasional penanggulangan HIV yang diperbarui secara berkala mengikuti perkembangan bukti dan ketersediaan obat, sehingga SpOG perlu memastikan kepatuhan pada versi pedoman program nasional terkini, bukan semata pedoman internasional.</w:t>
      </w:r>
    </w:p>
    <w:p>
      <w:pPr>
        <w:spacing w:after="160" w:line="300"/>
      </w:pPr>
      <w:r>
        <w:rPr>
          <w:rFonts w:ascii="IBM Plex Sans" w:cs="IBM Plex Sans" w:eastAsia="IBM Plex Sans" w:hAnsi="IBM Plex Sans"/>
          <w:color w:val="334155"/>
          <w:sz w:val="22"/>
          <w:szCs w:val="22"/>
        </w:rPr>
        <w:t xml:space="preserve">Keempat, aspek dokumentasi kode diagnosis memerlukan kewaspadaan tersendiri: Tabel 7 Kepkonsil pada beberapa entri menggabungkan lebih dari satu kode ICD-10 maupun ICD-11 dalam satu entri diagnosis (misalnya kombinasi kode obesitas dan kode kehamilan, atau kombinasi kode infeksi dengue dengan kode komplikasi kehamilan terkait). Praktik pengodean yang konsisten dengan pola kombinasi ini penting dijaga pada rekam medis elektronik maupun sistem pelaporan layanan kesehatan, agar data epidemiologis yang dihasilkan dapat dibandingkan secara valid antarfasilitas dan digunakan untuk perencanaan program kesehatan maternal berbasis bukti.</w:t>
      </w:r>
    </w:p>
    <w:p>
      <w:pPr>
        <w:pStyle w:val="Heading2"/>
        <w:spacing w:after="140" w:before="260"/>
      </w:pPr>
      <w:r>
        <w:rPr>
          <w:rFonts w:ascii="Source Serif 4" w:cs="Source Serif 4" w:eastAsia="Source Serif 4" w:hAnsi="Source Serif 4"/>
          <w:color w:val="4F46E5"/>
        </w:rPr>
        <w:t xml:space="preserve">6.3 Sumber Rujukan Internasional yang Digunakan</w:t>
      </w:r>
    </w:p>
    <w:p>
      <w:pPr>
        <w:pStyle w:val="ListParagraph"/>
        <w:numPr>
          <w:ilvl w:val="0"/>
          <w:numId w:val="2"/>
        </w:numPr>
        <w:spacing w:after="80" w:line="280"/>
      </w:pPr>
      <w:r>
        <w:rPr>
          <w:rFonts w:ascii="IBM Plex Sans" w:cs="IBM Plex Sans" w:eastAsia="IBM Plex Sans" w:hAnsi="IBM Plex Sans"/>
          <w:color w:val="334155"/>
          <w:sz w:val="21"/>
          <w:szCs w:val="21"/>
        </w:rPr>
        <w:t xml:space="preserve">World Health Organization (WHO) — pedoman antenatal care, suplementasi besi-asam folat, pedoman malaria, dan pedoman konsolidasi antiretroviral.</w:t>
      </w:r>
    </w:p>
    <w:p>
      <w:pPr>
        <w:pStyle w:val="ListParagraph"/>
        <w:numPr>
          <w:ilvl w:val="0"/>
          <w:numId w:val="2"/>
        </w:numPr>
        <w:spacing w:after="80" w:line="280"/>
      </w:pPr>
      <w:r>
        <w:rPr>
          <w:rFonts w:ascii="IBM Plex Sans" w:cs="IBM Plex Sans" w:eastAsia="IBM Plex Sans" w:hAnsi="IBM Plex Sans"/>
          <w:color w:val="334155"/>
          <w:sz w:val="21"/>
          <w:szCs w:val="21"/>
        </w:rPr>
        <w:t xml:space="preserve">FIGO (International Federation of Gynecology and Obstetrics) — pedoman diabetes gestasional dan inisiatif kesehatan maternal global.</w:t>
      </w:r>
    </w:p>
    <w:p>
      <w:pPr>
        <w:pStyle w:val="ListParagraph"/>
        <w:numPr>
          <w:ilvl w:val="0"/>
          <w:numId w:val="2"/>
        </w:numPr>
        <w:spacing w:after="80" w:line="280"/>
      </w:pPr>
      <w:r>
        <w:rPr>
          <w:rFonts w:ascii="IBM Plex Sans" w:cs="IBM Plex Sans" w:eastAsia="IBM Plex Sans" w:hAnsi="IBM Plex Sans"/>
          <w:color w:val="334155"/>
          <w:sz w:val="21"/>
          <w:szCs w:val="21"/>
        </w:rPr>
        <w:t xml:space="preserve">ACOG (American College of Obstetricians and Gynecologists) — Practice Bulletin mengenai obesitas dalam kehamilan.</w:t>
      </w:r>
    </w:p>
    <w:p>
      <w:pPr>
        <w:pStyle w:val="ListParagraph"/>
        <w:numPr>
          <w:ilvl w:val="0"/>
          <w:numId w:val="2"/>
        </w:numPr>
        <w:spacing w:after="80" w:line="280"/>
      </w:pPr>
      <w:r>
        <w:rPr>
          <w:rFonts w:ascii="IBM Plex Sans" w:cs="IBM Plex Sans" w:eastAsia="IBM Plex Sans" w:hAnsi="IBM Plex Sans"/>
          <w:color w:val="334155"/>
          <w:sz w:val="21"/>
          <w:szCs w:val="21"/>
        </w:rPr>
        <w:t xml:space="preserve">RCOG (Royal College of Obstetricians and Gynaecologists) — Green-top Guidelines terkait tromboprofilaksis dan kondisi hematologi peripartum.</w:t>
      </w:r>
    </w:p>
    <w:p>
      <w:pPr>
        <w:pStyle w:val="ListParagraph"/>
        <w:numPr>
          <w:ilvl w:val="0"/>
          <w:numId w:val="2"/>
        </w:numPr>
        <w:spacing w:after="80" w:line="280"/>
      </w:pPr>
      <w:r>
        <w:rPr>
          <w:rFonts w:ascii="IBM Plex Sans" w:cs="IBM Plex Sans" w:eastAsia="IBM Plex Sans" w:hAnsi="IBM Plex Sans"/>
          <w:color w:val="334155"/>
          <w:sz w:val="21"/>
          <w:szCs w:val="21"/>
        </w:rPr>
        <w:t xml:space="preserve">Cochrane Pregnancy and Childbirth Group — tinjauan sistematis suplementasi besi-asam folat dan bakteriuria asimtomatik dalam kehamilan.</w:t>
      </w:r>
    </w:p>
    <w:p>
      <w:pPr>
        <w:spacing w:after="120"/>
      </w:pPr>
    </w:p>
    <w:p>
      <w:pPr>
        <w:pStyle w:val="Heading1"/>
        <w:spacing w:after="200" w:before="360"/>
      </w:pPr>
      <w:r>
        <w:rPr>
          <w:rFonts w:ascii="Source Serif 4" w:cs="Source Serif 4" w:eastAsia="Source Serif 4" w:hAnsi="Source Serif 4"/>
          <w:color w:val="3730A3"/>
        </w:rPr>
        <w:t xml:space="preserve">Bab VII — Kontribusi Divisi Fetomaternal</w:t>
      </w:r>
    </w:p>
    <w:p>
      <w:pPr>
        <w:spacing w:after="100" w:before="120"/>
      </w:pPr>
      <w:r>
        <w:rPr>
          <w:rFonts w:ascii="Source Serif 4" w:cs="Source Serif 4" w:eastAsia="Source Serif 4" w:hAnsi="Source Serif 4"/>
          <w:b/>
          <w:bCs/>
          <w:color w:val="3730A3"/>
          <w:sz w:val="26"/>
          <w:szCs w:val="26"/>
        </w:rPr>
        <w:t xml:space="preserve">Kontribusi Divisi Pengampu — Fetomaternal</w:t>
      </w:r>
    </w:p>
    <w:p>
      <w:pPr>
        <w:spacing w:after="60"/>
      </w:pPr>
      <w:r>
        <w:rPr>
          <w:rFonts w:ascii="IBM Plex Sans" w:cs="IBM Plex Sans" w:eastAsia="IBM Plex Sans" w:hAnsi="IBM Plex Sans"/>
          <w:b/>
          <w:bCs/>
          <w:color w:val="B45309"/>
          <w:sz w:val="21"/>
          <w:szCs w:val="21"/>
        </w:rPr>
        <w:t xml:space="preserve">A. Deskripsi</w:t>
      </w:r>
    </w:p>
    <w:p>
      <w:pPr>
        <w:spacing w:after="160" w:line="300"/>
      </w:pPr>
      <w:r>
        <w:rPr>
          <w:rFonts w:ascii="IBM Plex Sans" w:cs="IBM Plex Sans" w:eastAsia="IBM Plex Sans" w:hAnsi="IBM Plex Sans"/>
          <w:color w:val="334155"/>
          <w:sz w:val="22"/>
          <w:szCs w:val="22"/>
        </w:rPr>
        <w:t xml:space="preserve">Divisi Fetomaternal memiliki relevansi sentral terhadap topik kehamilan dengan penyakit penyerta karena mandat keilmuannya secara spesifik mencakup interaksi antara kondisi medis maternal dan kesejahteraan janin. Kesembilan entri diagnosis dalam buku ini — mulai dari gangguan metabolik, kelainan hematologi, hingga infeksi sistemik — seluruhnya berpotensi memengaruhi pertumbuhan, oksigenasi, dan kesejahteraan janin melalui mekanisme yang berbeda-beda, sehingga pemahaman perspektif Fetomaternal menjadi penting bagi SpOG umum dalam menentukan kapan pemantauan janin perlu diintensifkan atau kapan rujukan subspesialis diperlukan.</w:t>
      </w:r>
    </w:p>
    <w:p>
      <w:pPr>
        <w:spacing w:after="60" w:before="100"/>
      </w:pPr>
      <w:r>
        <w:rPr>
          <w:rFonts w:ascii="IBM Plex Sans" w:cs="IBM Plex Sans" w:eastAsia="IBM Plex Sans" w:hAnsi="IBM Plex Sans"/>
          <w:b/>
          <w:bCs/>
          <w:color w:val="B45309"/>
          <w:sz w:val="21"/>
          <w:szCs w:val="21"/>
        </w:rPr>
        <w:t xml:space="preserve">B. Prinsip Pemantauan Janin pada Kehamilan dengan Komorbiditas Maternal</w:t>
      </w:r>
    </w:p>
    <w:p>
      <w:pPr>
        <w:spacing w:after="160" w:line="300"/>
      </w:pPr>
      <w:r>
        <w:rPr>
          <w:rFonts w:ascii="IBM Plex Sans" w:cs="IBM Plex Sans" w:eastAsia="IBM Plex Sans" w:hAnsi="IBM Plex Sans"/>
          <w:color w:val="334155"/>
          <w:sz w:val="22"/>
          <w:szCs w:val="22"/>
        </w:rPr>
        <w:t xml:space="preserve">Dari perspektif Fetomaternal, pemantauan janin pada kehamilan dengan komorbiditas maternal mengikuti kerangka stratifikasi risiko yang mempertimbangkan mekanisme spesifik setiap komorbiditas terhadap unit fetoplasenta. Pada gangguan metabolik seperti diabetes dan obesitas, risiko utama terhadap janin adalah pertumbuhan janin berlebih (makrosomia) akibat transfer glukosa transplasenta yang berlebihan, sehingga pemantauan berfokus pada evaluasi pertumbuhan janin serial menggunakan ultrasonografi biometri. Pada kelainan hematologi seperti anemia berat, risiko utama adalah gangguan oksigenasi janin kronik yang dapat bermanifestasi sebagai pertumbuhan janin terhambat, sehingga pemantauan mencakup evaluasi Doppler arteri umbilikalis pada kasus anemia berat yang tidak segera terkoreksi. Pada infeksi sistemik seperti dengue dan malaria, risiko utama bersifat akut — insufisiensi plasenta mendadak akibat demam tinggi, dehidrasi, atau invasi parasit pada plasenta (khususnya malaria plasenta) — sehingga pemantauan kesejahteraan janin diintensifkan selama fase akut penyakit. Pada HIV, perhatian Fetomaternal berfokus bukan pada gangguan pertumbuhan primer, melainkan pada optimalisasi waktu dan cara persalinan untuk meminimalkan risiko penularan vertikal tanpa mengorbankan keselamatan maternal-janin secara keseluruhan. Kerangka berpikir berbasis mekanisme ini membantu SpOG umum menentukan modalitas dan frekuensi pemantauan janin yang proporsional terhadap risiko aktual, tanpa pemeriksaan berlebihan yang tidak memberikan nilai tambah klinis maupun pemeriksaan yang terlalu jarang sehingga melewatkan tanda perburukan dini.</w:t>
      </w:r>
    </w:p>
    <w:p>
      <w:pPr>
        <w:spacing w:after="60" w:before="100"/>
      </w:pPr>
      <w:r>
        <w:rPr>
          <w:rFonts w:ascii="IBM Plex Sans" w:cs="IBM Plex Sans" w:eastAsia="IBM Plex Sans" w:hAnsi="IBM Plex Sans"/>
          <w:b/>
          <w:bCs/>
          <w:color w:val="B45309"/>
          <w:sz w:val="21"/>
          <w:szCs w:val="21"/>
        </w:rPr>
        <w:t xml:space="preserve">C. Ilustrasi Kasus Lapangan</w:t>
      </w:r>
    </w:p>
    <w:p>
      <w:pPr>
        <w:spacing w:after="160" w:line="300"/>
      </w:pPr>
      <w:r>
        <w:rPr>
          <w:rFonts w:ascii="IBM Plex Sans" w:cs="IBM Plex Sans" w:eastAsia="IBM Plex Sans" w:hAnsi="IBM Plex Sans"/>
          <w:color w:val="334155"/>
          <w:sz w:val="22"/>
          <w:szCs w:val="22"/>
        </w:rPr>
        <w:t xml:space="preserve">Seorang perempuan G2P1A0 usia 32 tahun dengan IMT pra-kehamilan 33 kg/m² (obesitas Kelas I) dirujuk pada usia kehamilan 30 minggu dengan hasil TTGO 75 gram yang baru dilakukan menunjukkan glukosa puasa 96 mg/dL dan dua jam 165 mg/dL, memenuhi kriteria diabetes gestasional yang terlambat terdiagnosis karena penapisan awal pada kunjungan antenatal pertama tidak dilakukan. Ultrasonografi biometri menunjukkan estimasi berat janin pada persentil 88 untuk usia kehamilan, mengindikasikan kecenderungan pertumbuhan berlebih. Tim kolaboratif — SpOG, dokter spesialis penyakit dalam konsultan endokrin metabolik diabetes, dan ahli gizi — menyusun rencana tata laksana meliputi terapi nutrisi medis ketat, pemantauan glukosa mandiri empat kali sehari, dan evaluasi pertumbuhan janin ulang setiap dua minggu. Setelah empat minggu terapi nutrisi medis, kendali glikemik tercapai tanpa memerlukan insulin, namun estimasi berat janin pada usia kehamilan 36 minggu tetap berada pada persentil 91, sehingga perspektif Fetomaternal memberikan rekomendasi persalinan terencana pada usia kehamilan 39 minggu dengan mempertimbangkan risiko distosia bahu akibat kecenderungan makrosomia, dikomunikasikan kepada pasien sebagai bagian pengambilan keputusan bersama. Kasus ini mengilustrasikan bagaimana keterlambatan penapisan awal dapat memengaruhi lintasan pertumbuhan janin, dan bagaimana kolaborasi terjadwal antara SpOG, disiplin penyakit dalam, dan perspektif Fetomaternal menghasilkan keputusan tata laksana yang proporsional terhadap risiko aktual tanpa intervensi berlebihan.</w:t>
      </w:r>
    </w:p>
    <w:p>
      <w:pPr>
        <w:pStyle w:val="Heading1"/>
        <w:spacing w:after="200" w:before="360"/>
      </w:pPr>
      <w:r>
        <w:rPr>
          <w:rFonts w:ascii="Source Serif 4" w:cs="Source Serif 4" w:eastAsia="Source Serif 4" w:hAnsi="Source Serif 4"/>
          <w:color w:val="3730A3"/>
        </w:rPr>
        <w:t xml:space="preserve">Bab VIII — Ringkasan</w:t>
      </w:r>
    </w:p>
    <w:p>
      <w:pPr>
        <w:spacing w:after="160" w:line="300"/>
      </w:pPr>
      <w:r>
        <w:rPr>
          <w:rFonts w:ascii="IBM Plex Sans" w:cs="IBM Plex Sans" w:eastAsia="IBM Plex Sans" w:hAnsi="IBM Plex Sans"/>
          <w:color w:val="334155"/>
          <w:sz w:val="22"/>
          <w:szCs w:val="22"/>
        </w:rPr>
        <w:t xml:space="preserve">Buku tematik ini membahas sembilan entri diagnosis kehamilan dengan penyakit penyerta sebagaimana tercantum pada Tabel 7 No.29-37 Lampiran Kepkonsil No. HK.01.02/KKI/1318/2026, dikelompokkan dalam tiga rumpun tematik: gangguan metabolik dan nutrisi (obesitas, diabetes tanpa komplikasi), kelainan hematologi (anemia, kelainan darah), serta infeksi sistemik dan tropis (infeksi saluran kemih, dengue tanpa komplikasi, malaria tanpa komplikasi, HIV/AIDS tanpa komplikasi, duh vagina).</w:t>
      </w:r>
    </w:p>
    <w:p>
      <w:pPr>
        <w:spacing w:after="100" w:before="120"/>
      </w:pPr>
      <w:r>
        <w:rPr>
          <w:rFonts w:ascii="IBM Plex Sans" w:cs="IBM Plex Sans" w:eastAsia="IBM Plex Sans" w:hAnsi="IBM Plex Sans"/>
          <w:b/>
          <w:bCs/>
          <w:color w:val="334155"/>
          <w:sz w:val="20"/>
          <w:szCs w:val="20"/>
        </w:rPr>
        <w:t xml:space="preserve">Tabel 8.1 — Ringkasan Kompetensi dan Indikator Kunci per Entri Diagnosis</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116"/>
        <w:gridCol w:w="3116"/>
        <w:gridCol w:w="3116"/>
      </w:tblGrid>
      <w:tr>
        <w:trPr>
          <w:tblHeader/>
        </w:trPr>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Diagnosis (Tabel 7 No.)</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 ICD-10 / ICD-11</w:t>
            </w:r>
          </w:p>
        </w:tc>
        <w:tc>
          <w:tcPr>
            <w:tcW w:type="dxa" w:w="3116"/>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Indikator Kunci Kompetensi Minimal</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Obesitas (29)</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O99.8 &amp; E66 / JB64.2; KA00.61; 5B81.Z</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Penapisan IMT dan glukosa awal; konseling gizi dan aktivitas fisik</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Infeksi saluran kemih (30)</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O23.4 / JA62</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Skrining kultur urin rutin; terapi bakteriuria asimtomatik</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Anemia (31)</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O99.0 / JB64.0</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Skrining hemoglobin trimester I dan III; suplementasi besi-asam folat</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Kelainan darah (32)</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O99.1 / JB64.1</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Pengenalan dini dan rujukan tepat waktu ke hematologi-onkologi medik</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Diabetes tanpa komplikasi (33)</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O24.4 / JA63</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TTGO 75 g usia 24-28 minggu; terapi nutrisi medis lini pertama</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Dengue tanpa komplikasi (34)</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O98.5 &amp; A90 / JA6Z + 1D20</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Tata laksana suportif; kewaspadaan tanda bahaya</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Malaria tanpa komplikasi (35)</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O98.6 &amp; B54 / JB63.60</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IPTp pada wilayah endemis; terapi kombinasi artemisinin</w:t>
            </w:r>
          </w:p>
        </w:tc>
      </w:tr>
      <w:tr>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HIV/AIDS tanpa komplikasi (36)</w:t>
            </w:r>
          </w:p>
        </w:tc>
        <w:tc>
          <w:tcPr>
            <w:tcW w:type="dxa" w:w="3116"/>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B20-B24 / JB63.7</w:t>
            </w:r>
          </w:p>
        </w:tc>
        <w:tc>
          <w:tcPr>
            <w:tcW w:type="dxa" w:w="3116"/>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Penapisan universal; inisiasi ARV segera; PMTCT terintegrasi</w:t>
            </w:r>
          </w:p>
        </w:tc>
      </w:tr>
      <w:tr>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Duh vagina (37)</w:t>
            </w:r>
          </w:p>
        </w:tc>
        <w:tc>
          <w:tcPr>
            <w:tcW w:type="dxa" w:w="3116"/>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O26.8; O23.5 / MF34 + MF3A</w:t>
            </w:r>
          </w:p>
        </w:tc>
        <w:tc>
          <w:tcPr>
            <w:tcW w:type="dxa" w:w="3116"/>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Pembedaan etiologi klinis; terapi sesuai etiologi</w:t>
            </w:r>
          </w:p>
        </w:tc>
      </w:tr>
    </w:tbl>
    <w:p>
      <w:pPr>
        <w:spacing w:after="200"/>
      </w:pPr>
    </w:p>
    <w:p>
      <w:pPr>
        <w:spacing w:after="160" w:line="300"/>
      </w:pPr>
      <w:r>
        <w:rPr>
          <w:rFonts w:ascii="IBM Plex Sans" w:cs="IBM Plex Sans" w:eastAsia="IBM Plex Sans" w:hAnsi="IBM Plex Sans"/>
          <w:color w:val="334155"/>
          <w:sz w:val="22"/>
          <w:szCs w:val="22"/>
        </w:rPr>
        <w:t xml:space="preserve">Prinsip lintas-diagnosis yang berlaku pada seluruh entri meliputi skrining terjadwal sesuai kalender antenatal, stratifikasi risiko untuk membedakan kasus tanpa komplikasi yang dapat ditata laksana SpOG dari kasus dengan komplikasi yang memerlukan rujukan, kolaborasi multidisiplin sebagai kebutuhan struktural bukan pilihan tambahan, serta kontinuitas layanan yang melampaui batas waktu persalinan. Perspektif Fetomaternal, sebagaimana diuraikan pada Bab VII, memperkuat kerangka berpikir berbasis mekanisme dalam menentukan modalitas dan intensitas pemantauan janin yang proporsional terhadap risiko aktual setiap komorbiditas.</w:t>
      </w:r>
    </w:p>
    <w:p>
      <w:pPr>
        <w:spacing w:after="160" w:line="300"/>
      </w:pPr>
      <w:r>
        <w:rPr>
          <w:rFonts w:ascii="IBM Plex Sans" w:cs="IBM Plex Sans" w:eastAsia="IBM Plex Sans" w:hAnsi="IBM Plex Sans"/>
          <w:color w:val="334155"/>
          <w:sz w:val="22"/>
          <w:szCs w:val="22"/>
        </w:rPr>
        <w:t xml:space="preserve">Peserta didik PPDS diharapkan menggunakan buku tematik ini sebagai fondasi pemahaman konseptual, dan melengkapinya dengan pembelajaran pada Pedoman Praktik Klinis (PPK) terkait yang membahas masing-masing entri diagnosis secara lebih rinci dan operasional pada tingkat kasus individual, sesuai rujukan silang yang berlaku dalam ekosistem literatur standar SpOG ini.</w:t>
      </w:r>
    </w:p>
    <w:p>
      <w:pPr>
        <w:pStyle w:val="Heading1"/>
        <w:spacing w:after="200" w:before="360"/>
      </w:pPr>
      <w:r>
        <w:rPr>
          <w:rFonts w:ascii="Source Serif 4" w:cs="Source Serif 4" w:eastAsia="Source Serif 4" w:hAnsi="Source Serif 4"/>
          <w:color w:val="3730A3"/>
        </w:rPr>
        <w:t xml:space="preserve">Glosarium</w:t>
      </w:r>
    </w:p>
    <w:p>
      <w:pPr>
        <w:spacing w:after="160" w:line="300"/>
      </w:pPr>
      <w:r>
        <w:rPr>
          <w:rFonts w:ascii="IBM Plex Sans" w:cs="IBM Plex Sans" w:eastAsia="IBM Plex Sans" w:hAnsi="IBM Plex Sans"/>
          <w:color w:val="334155"/>
          <w:sz w:val="22"/>
          <w:szCs w:val="22"/>
        </w:rPr>
        <w:t xml:space="preserve">Daftar berikut menjelaskan istilah klinis kunci yang digunakan dalam buku ini dengan bahasa yang ringkas, sebagai pelengkap Daftar Singkatan pada bagian sebelumnya.</w:t>
      </w:r>
    </w:p>
    <w:p>
      <w:pPr>
        <w:spacing w:after="20" w:before="100"/>
      </w:pPr>
      <w:r>
        <w:rPr>
          <w:rFonts w:ascii="IBM Plex Sans" w:cs="IBM Plex Sans" w:eastAsia="IBM Plex Sans" w:hAnsi="IBM Plex Sans"/>
          <w:b/>
          <w:bCs/>
          <w:color w:val="3730A3"/>
          <w:sz w:val="21"/>
          <w:szCs w:val="21"/>
        </w:rPr>
        <w:t xml:space="preserve">Bakteriuria asimtomatik</w:t>
      </w:r>
    </w:p>
    <w:p>
      <w:pPr>
        <w:spacing w:after="100" w:line="280"/>
        <w:ind w:left="200"/>
      </w:pPr>
      <w:r>
        <w:rPr>
          <w:rFonts w:ascii="IBM Plex Sans" w:cs="IBM Plex Sans" w:eastAsia="IBM Plex Sans" w:hAnsi="IBM Plex Sans"/>
          <w:color w:val="334155"/>
          <w:sz w:val="20"/>
          <w:szCs w:val="20"/>
        </w:rPr>
        <w:t xml:space="preserve">Pertumbuhan bakteri bermakna pada kultur urin tanpa disertai gejala infeksi saluran kemih seperti disuria atau nyeri pinggang.</w:t>
      </w:r>
    </w:p>
    <w:p>
      <w:pPr>
        <w:spacing w:after="20" w:before="100"/>
      </w:pPr>
      <w:r>
        <w:rPr>
          <w:rFonts w:ascii="IBM Plex Sans" w:cs="IBM Plex Sans" w:eastAsia="IBM Plex Sans" w:hAnsi="IBM Plex Sans"/>
          <w:b/>
          <w:bCs/>
          <w:color w:val="3730A3"/>
          <w:sz w:val="21"/>
          <w:szCs w:val="21"/>
        </w:rPr>
        <w:t xml:space="preserve">Diabetes melitus gestasional (DMG)</w:t>
      </w:r>
    </w:p>
    <w:p>
      <w:pPr>
        <w:spacing w:after="100" w:line="280"/>
        <w:ind w:left="200"/>
      </w:pPr>
      <w:r>
        <w:rPr>
          <w:rFonts w:ascii="IBM Plex Sans" w:cs="IBM Plex Sans" w:eastAsia="IBM Plex Sans" w:hAnsi="IBM Plex Sans"/>
          <w:color w:val="334155"/>
          <w:sz w:val="20"/>
          <w:szCs w:val="20"/>
        </w:rPr>
        <w:t xml:space="preserve">Hiperglikemia yang pertama kali dikenali atau muncul selama kehamilan, biasanya terdeteksi melalui skrining pada usia kehamilan 24-28 minggu.</w:t>
      </w:r>
    </w:p>
    <w:p>
      <w:pPr>
        <w:spacing w:after="20" w:before="100"/>
      </w:pPr>
      <w:r>
        <w:rPr>
          <w:rFonts w:ascii="IBM Plex Sans" w:cs="IBM Plex Sans" w:eastAsia="IBM Plex Sans" w:hAnsi="IBM Plex Sans"/>
          <w:b/>
          <w:bCs/>
          <w:color w:val="3730A3"/>
          <w:sz w:val="21"/>
          <w:szCs w:val="21"/>
        </w:rPr>
        <w:t xml:space="preserve">Hemoglobinopati</w:t>
      </w:r>
    </w:p>
    <w:p>
      <w:pPr>
        <w:spacing w:after="100" w:line="280"/>
        <w:ind w:left="200"/>
      </w:pPr>
      <w:r>
        <w:rPr>
          <w:rFonts w:ascii="IBM Plex Sans" w:cs="IBM Plex Sans" w:eastAsia="IBM Plex Sans" w:hAnsi="IBM Plex Sans"/>
          <w:color w:val="334155"/>
          <w:sz w:val="20"/>
          <w:szCs w:val="20"/>
        </w:rPr>
        <w:t xml:space="preserve">Kelompok kelainan genetik pada struktur atau produksi hemoglobin, misalnya thalassemia dan anemia sel sabit.</w:t>
      </w:r>
    </w:p>
    <w:p>
      <w:pPr>
        <w:spacing w:after="20" w:before="100"/>
      </w:pPr>
      <w:r>
        <w:rPr>
          <w:rFonts w:ascii="IBM Plex Sans" w:cs="IBM Plex Sans" w:eastAsia="IBM Plex Sans" w:hAnsi="IBM Plex Sans"/>
          <w:b/>
          <w:bCs/>
          <w:color w:val="3730A3"/>
          <w:sz w:val="21"/>
          <w:szCs w:val="21"/>
        </w:rPr>
        <w:t xml:space="preserve">Indeks massa tubuh (IMT)</w:t>
      </w:r>
    </w:p>
    <w:p>
      <w:pPr>
        <w:spacing w:after="100" w:line="280"/>
        <w:ind w:left="200"/>
      </w:pPr>
      <w:r>
        <w:rPr>
          <w:rFonts w:ascii="IBM Plex Sans" w:cs="IBM Plex Sans" w:eastAsia="IBM Plex Sans" w:hAnsi="IBM Plex Sans"/>
          <w:color w:val="334155"/>
          <w:sz w:val="20"/>
          <w:szCs w:val="20"/>
        </w:rPr>
        <w:t xml:space="preserve">Ukuran status berat badan yang dihitung dari berat badan (kg) dibagi kuadrat tinggi badan (m²), digunakan untuk mengklasifikasikan kategori berat badan termasuk obesitas.</w:t>
      </w:r>
    </w:p>
    <w:p>
      <w:pPr>
        <w:spacing w:after="20" w:before="100"/>
      </w:pPr>
      <w:r>
        <w:rPr>
          <w:rFonts w:ascii="IBM Plex Sans" w:cs="IBM Plex Sans" w:eastAsia="IBM Plex Sans" w:hAnsi="IBM Plex Sans"/>
          <w:b/>
          <w:bCs/>
          <w:color w:val="3730A3"/>
          <w:sz w:val="21"/>
          <w:szCs w:val="21"/>
        </w:rPr>
        <w:t xml:space="preserve">Insufisiensi plasenta</w:t>
      </w:r>
    </w:p>
    <w:p>
      <w:pPr>
        <w:spacing w:after="100" w:line="280"/>
        <w:ind w:left="200"/>
      </w:pPr>
      <w:r>
        <w:rPr>
          <w:rFonts w:ascii="IBM Plex Sans" w:cs="IBM Plex Sans" w:eastAsia="IBM Plex Sans" w:hAnsi="IBM Plex Sans"/>
          <w:color w:val="334155"/>
          <w:sz w:val="20"/>
          <w:szCs w:val="20"/>
        </w:rPr>
        <w:t xml:space="preserve">Kondisi ketika plasenta tidak mampu menyalurkan oksigen dan nutrisi secara adekuat kepada janin, dapat bersifat akut maupun kronik.</w:t>
      </w:r>
    </w:p>
    <w:p>
      <w:pPr>
        <w:spacing w:after="20" w:before="100"/>
      </w:pPr>
      <w:r>
        <w:rPr>
          <w:rFonts w:ascii="IBM Plex Sans" w:cs="IBM Plex Sans" w:eastAsia="IBM Plex Sans" w:hAnsi="IBM Plex Sans"/>
          <w:b/>
          <w:bCs/>
          <w:color w:val="3730A3"/>
          <w:sz w:val="21"/>
          <w:szCs w:val="21"/>
        </w:rPr>
        <w:t xml:space="preserve">Kemoprevensi</w:t>
      </w:r>
    </w:p>
    <w:p>
      <w:pPr>
        <w:spacing w:after="100" w:line="280"/>
        <w:ind w:left="200"/>
      </w:pPr>
      <w:r>
        <w:rPr>
          <w:rFonts w:ascii="IBM Plex Sans" w:cs="IBM Plex Sans" w:eastAsia="IBM Plex Sans" w:hAnsi="IBM Plex Sans"/>
          <w:color w:val="334155"/>
          <w:sz w:val="20"/>
          <w:szCs w:val="20"/>
        </w:rPr>
        <w:t xml:space="preserve">Pemberian obat secara terjadwal kepada populasi berisiko untuk mencegah timbulnya penyakit, misalnya pemberian antimalaria terjadwal pada kehamilan di wilayah endemis.</w:t>
      </w:r>
    </w:p>
    <w:p>
      <w:pPr>
        <w:spacing w:after="20" w:before="100"/>
      </w:pPr>
      <w:r>
        <w:rPr>
          <w:rFonts w:ascii="IBM Plex Sans" w:cs="IBM Plex Sans" w:eastAsia="IBM Plex Sans" w:hAnsi="IBM Plex Sans"/>
          <w:b/>
          <w:bCs/>
          <w:color w:val="3730A3"/>
          <w:sz w:val="21"/>
          <w:szCs w:val="21"/>
        </w:rPr>
        <w:t xml:space="preserve">Makrosomia</w:t>
      </w:r>
    </w:p>
    <w:p>
      <w:pPr>
        <w:spacing w:after="100" w:line="280"/>
        <w:ind w:left="200"/>
      </w:pPr>
      <w:r>
        <w:rPr>
          <w:rFonts w:ascii="IBM Plex Sans" w:cs="IBM Plex Sans" w:eastAsia="IBM Plex Sans" w:hAnsi="IBM Plex Sans"/>
          <w:color w:val="334155"/>
          <w:sz w:val="20"/>
          <w:szCs w:val="20"/>
        </w:rPr>
        <w:t xml:space="preserve">Kondisi janin dengan estimasi atau berat lahir yang jauh melebihi rata-rata untuk usia kehamilannya, sering dikaitkan dengan diabetes maternal.</w:t>
      </w:r>
    </w:p>
    <w:p>
      <w:pPr>
        <w:spacing w:after="20" w:before="100"/>
      </w:pPr>
      <w:r>
        <w:rPr>
          <w:rFonts w:ascii="IBM Plex Sans" w:cs="IBM Plex Sans" w:eastAsia="IBM Plex Sans" w:hAnsi="IBM Plex Sans"/>
          <w:b/>
          <w:bCs/>
          <w:color w:val="3730A3"/>
          <w:sz w:val="21"/>
          <w:szCs w:val="21"/>
        </w:rPr>
        <w:t xml:space="preserve">Pengobatan pencegahan intermiten dalam kehamilan (IPTp)</w:t>
      </w:r>
    </w:p>
    <w:p>
      <w:pPr>
        <w:spacing w:after="100" w:line="280"/>
        <w:ind w:left="200"/>
      </w:pPr>
      <w:r>
        <w:rPr>
          <w:rFonts w:ascii="IBM Plex Sans" w:cs="IBM Plex Sans" w:eastAsia="IBM Plex Sans" w:hAnsi="IBM Plex Sans"/>
          <w:color w:val="334155"/>
          <w:sz w:val="20"/>
          <w:szCs w:val="20"/>
        </w:rPr>
        <w:t xml:space="preserve">Strategi pemberian obat antimalaria terjadwal pada ibu hamil di wilayah endemis malaria, terlepas dari ada tidaknya gejala atau hasil pemeriksaan parasitologis, untuk mencegah infeksi dan komplikasinya.</w:t>
      </w:r>
    </w:p>
    <w:p>
      <w:pPr>
        <w:spacing w:after="20" w:before="100"/>
      </w:pPr>
      <w:r>
        <w:rPr>
          <w:rFonts w:ascii="IBM Plex Sans" w:cs="IBM Plex Sans" w:eastAsia="IBM Plex Sans" w:hAnsi="IBM Plex Sans"/>
          <w:b/>
          <w:bCs/>
          <w:color w:val="3730A3"/>
          <w:sz w:val="21"/>
          <w:szCs w:val="21"/>
        </w:rPr>
        <w:t xml:space="preserve">Sindrom HELLP</w:t>
      </w:r>
    </w:p>
    <w:p>
      <w:pPr>
        <w:spacing w:after="100" w:line="280"/>
        <w:ind w:left="200"/>
      </w:pPr>
      <w:r>
        <w:rPr>
          <w:rFonts w:ascii="IBM Plex Sans" w:cs="IBM Plex Sans" w:eastAsia="IBM Plex Sans" w:hAnsi="IBM Plex Sans"/>
          <w:color w:val="334155"/>
          <w:sz w:val="20"/>
          <w:szCs w:val="20"/>
        </w:rPr>
        <w:t xml:space="preserve">Komplikasi kehamilan berat ditandai hemolisis, peningkatan enzim hati, dan trombosit rendah, sering tumpang tindih secara klinis dengan preeklampsia berat.</w:t>
      </w:r>
    </w:p>
    <w:p>
      <w:pPr>
        <w:spacing w:after="20" w:before="100"/>
      </w:pPr>
      <w:r>
        <w:rPr>
          <w:rFonts w:ascii="IBM Plex Sans" w:cs="IBM Plex Sans" w:eastAsia="IBM Plex Sans" w:hAnsi="IBM Plex Sans"/>
          <w:b/>
          <w:bCs/>
          <w:color w:val="3730A3"/>
          <w:sz w:val="21"/>
          <w:szCs w:val="21"/>
        </w:rPr>
        <w:t xml:space="preserve">Skrining terjadwal</w:t>
      </w:r>
    </w:p>
    <w:p>
      <w:pPr>
        <w:spacing w:after="100" w:line="280"/>
        <w:ind w:left="200"/>
      </w:pPr>
      <w:r>
        <w:rPr>
          <w:rFonts w:ascii="IBM Plex Sans" w:cs="IBM Plex Sans" w:eastAsia="IBM Plex Sans" w:hAnsi="IBM Plex Sans"/>
          <w:color w:val="334155"/>
          <w:sz w:val="20"/>
          <w:szCs w:val="20"/>
        </w:rPr>
        <w:t xml:space="preserve">Pemeriksaan yang dilakukan secara rutin pada titik waktu tertentu selama kehamilan tanpa menunggu munculnya gejala, misalnya kultur urin rutin atau tes toleransi glukosa oral pada usia kehamilan tertentu.</w:t>
      </w:r>
    </w:p>
    <w:p>
      <w:pPr>
        <w:spacing w:after="20" w:before="100"/>
      </w:pPr>
      <w:r>
        <w:rPr>
          <w:rFonts w:ascii="IBM Plex Sans" w:cs="IBM Plex Sans" w:eastAsia="IBM Plex Sans" w:hAnsi="IBM Plex Sans"/>
          <w:b/>
          <w:bCs/>
          <w:color w:val="3730A3"/>
          <w:sz w:val="21"/>
          <w:szCs w:val="21"/>
        </w:rPr>
        <w:t xml:space="preserve">Stratifikasi risiko</w:t>
      </w:r>
    </w:p>
    <w:p>
      <w:pPr>
        <w:spacing w:after="100" w:line="280"/>
        <w:ind w:left="200"/>
      </w:pPr>
      <w:r>
        <w:rPr>
          <w:rFonts w:ascii="IBM Plex Sans" w:cs="IBM Plex Sans" w:eastAsia="IBM Plex Sans" w:hAnsi="IBM Plex Sans"/>
          <w:color w:val="334155"/>
          <w:sz w:val="20"/>
          <w:szCs w:val="20"/>
        </w:rPr>
        <w:t xml:space="preserve">Proses pengelompokan pasien berdasarkan tingkat risiko komplikasi untuk menentukan intensitas pemantauan dan jenis tata laksana yang sesuai.</w:t>
      </w:r>
    </w:p>
    <w:p>
      <w:pPr>
        <w:spacing w:after="20" w:before="100"/>
      </w:pPr>
      <w:r>
        <w:rPr>
          <w:rFonts w:ascii="IBM Plex Sans" w:cs="IBM Plex Sans" w:eastAsia="IBM Plex Sans" w:hAnsi="IBM Plex Sans"/>
          <w:b/>
          <w:bCs/>
          <w:color w:val="3730A3"/>
          <w:sz w:val="21"/>
          <w:szCs w:val="21"/>
        </w:rPr>
        <w:t xml:space="preserve">Supresi virologis</w:t>
      </w:r>
    </w:p>
    <w:p>
      <w:pPr>
        <w:spacing w:after="100" w:line="280"/>
        <w:ind w:left="200"/>
      </w:pPr>
      <w:r>
        <w:rPr>
          <w:rFonts w:ascii="IBM Plex Sans" w:cs="IBM Plex Sans" w:eastAsia="IBM Plex Sans" w:hAnsi="IBM Plex Sans"/>
          <w:color w:val="334155"/>
          <w:sz w:val="20"/>
          <w:szCs w:val="20"/>
        </w:rPr>
        <w:t xml:space="preserve">Kondisi ketika jumlah virus (viral load) dalam darah seseorang dengan HIV telah ditekan hingga di bawah ambang deteksi standar melalui terapi antiretroviral yang efektif.</w:t>
      </w:r>
    </w:p>
    <w:p>
      <w:pPr>
        <w:spacing w:after="20" w:before="100"/>
      </w:pPr>
      <w:r>
        <w:rPr>
          <w:rFonts w:ascii="IBM Plex Sans" w:cs="IBM Plex Sans" w:eastAsia="IBM Plex Sans" w:hAnsi="IBM Plex Sans"/>
          <w:b/>
          <w:bCs/>
          <w:color w:val="3730A3"/>
          <w:sz w:val="21"/>
          <w:szCs w:val="21"/>
        </w:rPr>
        <w:t xml:space="preserve">Tes toleransi glukosa oral (TTGO)</w:t>
      </w:r>
    </w:p>
    <w:p>
      <w:pPr>
        <w:spacing w:after="100" w:line="280"/>
        <w:ind w:left="200"/>
      </w:pPr>
      <w:r>
        <w:rPr>
          <w:rFonts w:ascii="IBM Plex Sans" w:cs="IBM Plex Sans" w:eastAsia="IBM Plex Sans" w:hAnsi="IBM Plex Sans"/>
          <w:color w:val="334155"/>
          <w:sz w:val="20"/>
          <w:szCs w:val="20"/>
        </w:rPr>
        <w:t xml:space="preserve">Pemeriksaan yang mengukur kadar glukosa darah puasa dan pada interval waktu tertentu setelah pemberian larutan glukosa oral, digunakan untuk mendiagnosis diabetes gestasional.</w:t>
      </w:r>
    </w:p>
    <w:p>
      <w:pPr>
        <w:spacing w:after="20" w:before="100"/>
      </w:pPr>
      <w:r>
        <w:rPr>
          <w:rFonts w:ascii="IBM Plex Sans" w:cs="IBM Plex Sans" w:eastAsia="IBM Plex Sans" w:hAnsi="IBM Plex Sans"/>
          <w:b/>
          <w:bCs/>
          <w:color w:val="3730A3"/>
          <w:sz w:val="21"/>
          <w:szCs w:val="21"/>
        </w:rPr>
        <w:t xml:space="preserve">Tromboprofilaksis</w:t>
      </w:r>
    </w:p>
    <w:p>
      <w:pPr>
        <w:spacing w:after="100" w:line="280"/>
        <w:ind w:left="200"/>
      </w:pPr>
      <w:r>
        <w:rPr>
          <w:rFonts w:ascii="IBM Plex Sans" w:cs="IBM Plex Sans" w:eastAsia="IBM Plex Sans" w:hAnsi="IBM Plex Sans"/>
          <w:color w:val="334155"/>
          <w:sz w:val="20"/>
          <w:szCs w:val="20"/>
        </w:rPr>
        <w:t xml:space="preserve">Tindakan pencegahan pembentukan bekuan darah (trombosis), baik secara mekanis (misalnya stoking kompresi) maupun farmakologis (misalnya heparin), pada individu berisiko tinggi.</w:t>
      </w:r>
    </w:p>
    <w:p>
      <w:pPr>
        <w:spacing w:after="20" w:before="100"/>
      </w:pPr>
      <w:r>
        <w:rPr>
          <w:rFonts w:ascii="IBM Plex Sans" w:cs="IBM Plex Sans" w:eastAsia="IBM Plex Sans" w:hAnsi="IBM Plex Sans"/>
          <w:b/>
          <w:bCs/>
          <w:color w:val="3730A3"/>
          <w:sz w:val="21"/>
          <w:szCs w:val="21"/>
        </w:rPr>
        <w:t xml:space="preserve">Viral load</w:t>
      </w:r>
    </w:p>
    <w:p>
      <w:pPr>
        <w:spacing w:after="100" w:line="280"/>
        <w:ind w:left="200"/>
      </w:pPr>
      <w:r>
        <w:rPr>
          <w:rFonts w:ascii="IBM Plex Sans" w:cs="IBM Plex Sans" w:eastAsia="IBM Plex Sans" w:hAnsi="IBM Plex Sans"/>
          <w:color w:val="334155"/>
          <w:sz w:val="20"/>
          <w:szCs w:val="20"/>
        </w:rPr>
        <w:t xml:space="preserve">Jumlah salinan virus yang terdeteksi dalam volume darah tertentu, digunakan untuk memantau efektivitas terapi antiretroviral pada HIV.</w:t>
      </w:r>
    </w:p>
    <w:p>
      <w:pPr>
        <w:pStyle w:val="Heading1"/>
        <w:spacing w:after="200" w:before="360"/>
      </w:pPr>
      <w:r>
        <w:rPr>
          <w:rFonts w:ascii="Source Serif 4" w:cs="Source Serif 4" w:eastAsia="Source Serif 4" w:hAnsi="Source Serif 4"/>
          <w:color w:val="3730A3"/>
        </w:rPr>
        <w:t xml:space="preserve">Daftar Singkatan</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4675"/>
        <w:gridCol w:w="4675"/>
      </w:tblGrid>
      <w:tr>
        <w:trPr>
          <w:tblHeader/>
        </w:trPr>
        <w:tc>
          <w:tcPr>
            <w:tcW w:type="dxa" w:w="4675"/>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Singkatan</w:t>
            </w:r>
          </w:p>
        </w:tc>
        <w:tc>
          <w:tcPr>
            <w:tcW w:type="dxa" w:w="4675"/>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Kepanjangan</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ACT</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Artemisinin-based Combination Therapy</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ARV</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Antiretroviral</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ASB</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Asymptomatic Bacteriuria (bakteriuria asimtomatik)</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BKKBN</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Badan Kependudukan dan Keluarga Berencana Nasional</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DMG</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Diabetes Melitus Gestasional</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FIGO</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International Federation of Gynecology and Obstetrics</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HELLP</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Hemolysis, Elevated Liver enzymes, Low Platelet count</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IADPSG</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International Association of Diabetes and Pregnancy Study Groups</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ICM</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International Confederation of Midwives</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IMT</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Indeks Massa Tubuh</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IPTp</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Intermittent Preventive Treatment in pregnancy</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ISUOG</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International Society of Ultrasound in Obstetrics and Gynecology</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Kepkonsil</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Keputusan Ketua Konsil Kesehatan Indonesia</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KKI</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Konsil Kesehatan Indonesia</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NSAID</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Non-Steroidal Anti-Inflammatory Drug</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PMTCT</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Prevention of Mother-to-Child Transmission</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POGI</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Perkumpulan Obstetri dan Ginekologi Indonesia</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PPDS</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Program Pendidikan Dokter Spesialis</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PPK</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Pedoman Praktik Klinis</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PPKK</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Pedoman Praktik Klinis Kelompok/Komunitas</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RCOG</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Royal College of Obstetricians and Gynaecologists</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SP</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Sulfadoksin-Pirimetamin</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SpOG</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Spesialis Obstetri dan Ginekologi</w:t>
            </w:r>
          </w:p>
        </w:tc>
      </w:tr>
      <w:tr>
        <w:tc>
          <w:tcPr>
            <w:tcW w:type="dxa" w:w="4675"/>
            <w:shd w:fill="F1F5F9"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TTGO</w:t>
            </w:r>
          </w:p>
        </w:tc>
        <w:tc>
          <w:tcPr>
            <w:tcW w:type="dxa" w:w="4675"/>
            <w:shd w:fill="F1F5F9"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Tes Toleransi Glukosa Oral</w:t>
            </w:r>
          </w:p>
        </w:tc>
      </w:tr>
      <w:tr>
        <w:tc>
          <w:tcPr>
            <w:tcW w:type="dxa" w:w="4675"/>
            <w:shd w:fill="FFFFFF" w:color="auto" w:val="clear"/>
            <w:tcMar>
              <w:top w:type="dxa" w:w="90"/>
              <w:left w:type="dxa" w:w="120"/>
              <w:bottom w:type="dxa" w:w="90"/>
              <w:right w:type="dxa" w:w="120"/>
            </w:tcMar>
            <w:vAlign w:val="center"/>
          </w:tcPr>
          <w:p>
            <w:r>
              <w:rPr>
                <w:rFonts w:ascii="IBM Plex Sans" w:cs="IBM Plex Sans" w:eastAsia="IBM Plex Sans" w:hAnsi="IBM Plex Sans"/>
                <w:color w:val="334155"/>
                <w:sz w:val="18"/>
                <w:szCs w:val="18"/>
              </w:rPr>
              <w:t xml:space="preserve">WHO</w:t>
            </w:r>
          </w:p>
        </w:tc>
        <w:tc>
          <w:tcPr>
            <w:tcW w:type="dxa" w:w="4675"/>
            <w:shd w:fill="FFFFFF" w:color="auto" w:val="clear"/>
            <w:tcMar>
              <w:top w:type="dxa" w:w="90"/>
              <w:left w:type="dxa" w:w="120"/>
              <w:bottom w:type="dxa" w:w="90"/>
              <w:right w:type="dxa" w:w="120"/>
            </w:tcMar>
            <w:vAlign w:val="center"/>
          </w:tcPr>
          <w:p>
            <w:r>
              <w:rPr>
                <w:rFonts w:ascii="IBM Plex Mono" w:cs="IBM Plex Mono" w:eastAsia="IBM Plex Mono" w:hAnsi="IBM Plex Mono"/>
                <w:color w:val="334155"/>
                <w:sz w:val="18"/>
                <w:szCs w:val="18"/>
              </w:rPr>
              <w:t xml:space="preserve">World Health Organization</w:t>
            </w:r>
          </w:p>
        </w:tc>
      </w:tr>
    </w:tbl>
    <w:p>
      <w:pPr>
        <w:spacing w:after="200"/>
      </w:pPr>
    </w:p>
    <w:p>
      <w:pPr>
        <w:pStyle w:val="Heading1"/>
        <w:spacing w:after="200" w:before="360"/>
      </w:pPr>
      <w:r>
        <w:rPr>
          <w:rFonts w:ascii="Source Serif 4" w:cs="Source Serif 4" w:eastAsia="Source Serif 4" w:hAnsi="Source Serif 4"/>
          <w:color w:val="3730A3"/>
        </w:rPr>
        <w:t xml:space="preserve">Kepustakaan</w:t>
      </w:r>
    </w:p>
    <w:p>
      <w:pPr>
        <w:spacing w:after="160" w:line="300"/>
      </w:pPr>
      <w:r>
        <w:rPr>
          <w:rFonts w:ascii="IBM Plex Sans" w:cs="IBM Plex Sans" w:eastAsia="IBM Plex Sans" w:hAnsi="IBM Plex Sans"/>
          <w:color w:val="334155"/>
          <w:sz w:val="22"/>
          <w:szCs w:val="22"/>
        </w:rPr>
        <w:t xml:space="preserve">Seluruh rujukan berikut telah ditelusuri ulang ke sumber aslinya. Tautan mengarah ke halaman resmi penerbit atau basis data pengindeks (PubMed/NCBI Bookshelf) per Agustus 2026.</w:t>
      </w:r>
    </w:p>
    <w:p>
      <w:pPr>
        <w:pStyle w:val="ListParagraph"/>
        <w:numPr>
          <w:ilvl w:val="0"/>
          <w:numId w:val="2"/>
        </w:numPr>
        <w:spacing w:after="100" w:line="280"/>
      </w:pPr>
      <w:r>
        <w:rPr>
          <w:rFonts w:ascii="IBM Plex Sans" w:cs="IBM Plex Sans" w:eastAsia="IBM Plex Sans" w:hAnsi="IBM Plex Sans"/>
          <w:color w:val="334155"/>
          <w:sz w:val="20"/>
          <w:szCs w:val="20"/>
        </w:rPr>
        <w:t xml:space="preserve">Konsil Kesehatan Indonesia. Keputusan Ketua Konsil Kesehatan Indonesia No. HK.01.02/KKI/1318/2026 tentang Standar Kompetensi Dokter Spesialis dan Subspesialis Bidang Obstetri dan Ginekologi. Jakarta: KKI; 2026.</w:t>
      </w:r>
    </w:p>
    <w:p>
      <w:pPr>
        <w:pStyle w:val="ListParagraph"/>
        <w:numPr>
          <w:ilvl w:val="0"/>
          <w:numId w:val="2"/>
        </w:numPr>
        <w:spacing w:after="100" w:line="280"/>
      </w:pPr>
      <w:r>
        <w:rPr>
          <w:rFonts w:ascii="IBM Plex Sans" w:cs="IBM Plex Sans" w:eastAsia="IBM Plex Sans" w:hAnsi="IBM Plex Sans"/>
          <w:color w:val="334155"/>
          <w:sz w:val="20"/>
          <w:szCs w:val="20"/>
        </w:rPr>
        <w:t xml:space="preserve">World Health Organization. WHO Recommendations on Antenatal Care for a Positive Pregnancy Experience. Geneva: WHO; 2016.  </w:t>
      </w:r>
      <w:hyperlink w:history="1" r:id="rIdn8abkuzg1c0aygcbz2mcf">
        <w:r>
          <w:rPr>
            <w:rFonts w:ascii="IBM Plex Mono" w:cs="IBM Plex Mono" w:eastAsia="IBM Plex Mono" w:hAnsi="IBM Plex Mono"/>
            <w:color w:val="4F46E5"/>
            <w:sz w:val="17"/>
            <w:szCs w:val="17"/>
            <w:u w:val="single"/>
          </w:rPr>
          <w:t xml:space="preserve">https://www.who.int/publications/i/item/9789241549912</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World Health Organization. Guideline: Daily Iron and Folic Acid Supplementation in Pregnant Women. Geneva: WHO; 2012.  </w:t>
      </w:r>
      <w:hyperlink w:history="1" r:id="rId_mpaljwi9fejddzuhevf8">
        <w:r>
          <w:rPr>
            <w:rFonts w:ascii="IBM Plex Mono" w:cs="IBM Plex Mono" w:eastAsia="IBM Plex Mono" w:hAnsi="IBM Plex Mono"/>
            <w:color w:val="4F46E5"/>
            <w:sz w:val="17"/>
            <w:szCs w:val="17"/>
            <w:u w:val="single"/>
          </w:rPr>
          <w:t xml:space="preserve">https://www.ncbi.nlm.nih.gov/books/NBK132263/</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World Health Organization. WHO Guidelines for Malaria, 13 August 2025. Geneva: WHO; 2025. https://doi.org/10.2471/B09514  </w:t>
      </w:r>
      <w:hyperlink w:history="1" r:id="rIddpsvu8a3dwuyihx5bgukr">
        <w:r>
          <w:rPr>
            <w:rFonts w:ascii="IBM Plex Mono" w:cs="IBM Plex Mono" w:eastAsia="IBM Plex Mono" w:hAnsi="IBM Plex Mono"/>
            <w:color w:val="4F46E5"/>
            <w:sz w:val="17"/>
            <w:szCs w:val="17"/>
            <w:u w:val="single"/>
          </w:rPr>
          <w:t xml:space="preserve">https://www.who.int/publications/i/item/guidelines-for-malaria</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World Health Organization. Consolidated Guidelines on HIV Prevention, Testing, Treatment, Service Delivery and Monitoring: Recommendations for a Public Health Approach. Geneva: WHO; 2021.  </w:t>
      </w:r>
      <w:hyperlink w:history="1" r:id="rIdmqx3cct_rhi6bjob4fkaf">
        <w:r>
          <w:rPr>
            <w:rFonts w:ascii="IBM Plex Mono" w:cs="IBM Plex Mono" w:eastAsia="IBM Plex Mono" w:hAnsi="IBM Plex Mono"/>
            <w:color w:val="4F46E5"/>
            <w:sz w:val="17"/>
            <w:szCs w:val="17"/>
            <w:u w:val="single"/>
          </w:rPr>
          <w:t xml:space="preserve">https://www.who.int/publications-detail-redirect/9789240031593</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World Health Organization. Diagnostic Criteria and Classification of Hyperglycaemia First Detected in Pregnancy: Report of a WHO Consultation. Diabetes Research and Clinical Practice. 2014;103(3):341-363.  </w:t>
      </w:r>
      <w:hyperlink w:history="1" r:id="rId1q_jshgfce1awxtwmznjt">
        <w:r>
          <w:rPr>
            <w:rFonts w:ascii="IBM Plex Mono" w:cs="IBM Plex Mono" w:eastAsia="IBM Plex Mono" w:hAnsi="IBM Plex Mono"/>
            <w:color w:val="4F46E5"/>
            <w:sz w:val="17"/>
            <w:szCs w:val="17"/>
            <w:u w:val="single"/>
          </w:rPr>
          <w:t xml:space="preserve">https://www.ncbi.nlm.nih.gov/books/NBK169050/</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American College of Obstetricians and Gynecologists. Obesity in Pregnancy: ACOG Practice Bulletin No. 230. Obstetrics &amp; Gynecology. 2021;137(6):e128-e144. doi:10.1097/AOG.0000000000004395  </w:t>
      </w:r>
      <w:hyperlink w:history="1" r:id="rIdacnuhogft2jo-gfs-bwki">
        <w:r>
          <w:rPr>
            <w:rFonts w:ascii="IBM Plex Mono" w:cs="IBM Plex Mono" w:eastAsia="IBM Plex Mono" w:hAnsi="IBM Plex Mono"/>
            <w:color w:val="4F46E5"/>
            <w:sz w:val="17"/>
            <w:szCs w:val="17"/>
            <w:u w:val="single"/>
          </w:rPr>
          <w:t xml:space="preserve">https://pubmed.ncbi.nlm.nih.gov/34011882/</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Sweeting A, Hannah W, Backman H, et al. Epidemiology and management of gestational diabetes. The Lancet. 2024;404(10448):175-192. doi:10.1016/S0140-6736(24)00825-0  </w:t>
      </w:r>
      <w:hyperlink w:history="1" r:id="rIdzf2i0cgriowvub0cmthek">
        <w:r>
          <w:rPr>
            <w:rFonts w:ascii="IBM Plex Mono" w:cs="IBM Plex Mono" w:eastAsia="IBM Plex Mono" w:hAnsi="IBM Plex Mono"/>
            <w:color w:val="4F46E5"/>
            <w:sz w:val="17"/>
            <w:szCs w:val="17"/>
            <w:u w:val="single"/>
          </w:rPr>
          <w:t xml:space="preserve">https://pubmed.ncbi.nlm.nih.gov/38909620/</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Metzger BE, Lowe LP, Dyer AR, et al. (HAPO Study Cooperative Research Group). Hyperglycemia and adverse pregnancy outcomes. New England Journal of Medicine. 2008;358:1991-2002.  </w:t>
      </w:r>
      <w:hyperlink w:history="1" r:id="rIdy_bsu28crhunt2dr8tykp">
        <w:r>
          <w:rPr>
            <w:rFonts w:ascii="IBM Plex Mono" w:cs="IBM Plex Mono" w:eastAsia="IBM Plex Mono" w:hAnsi="IBM Plex Mono"/>
            <w:color w:val="4F46E5"/>
            <w:sz w:val="17"/>
            <w:szCs w:val="17"/>
            <w:u w:val="single"/>
          </w:rPr>
          <w:t xml:space="preserve">https://pmc.ncbi.nlm.nih.gov/articles/PMC4173731/</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Smaill FM. Antibiotics for asymptomatic bacteriuria in pregnancy. Cochrane Database of Systematic Reviews. 2019;(11):CD000490. doi:10.1002/14651858.CD000490.pub4  </w:t>
      </w:r>
      <w:hyperlink w:history="1" r:id="rIdppcxzskwkp5kntkwqik09">
        <w:r>
          <w:rPr>
            <w:rFonts w:ascii="IBM Plex Mono" w:cs="IBM Plex Mono" w:eastAsia="IBM Plex Mono" w:hAnsi="IBM Plex Mono"/>
            <w:color w:val="4F46E5"/>
            <w:sz w:val="17"/>
            <w:szCs w:val="17"/>
            <w:u w:val="single"/>
          </w:rPr>
          <w:t xml:space="preserve">https://www.cochranelibrary.com/cdsr/doi/10.1002/14651858.CD000490.pub4/full</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Royal College of Obstetricians and Gynaecologists. Care of Women with Obesity in Pregnancy. Green-top Guideline No. 72. London: RCOG; 2018.  </w:t>
      </w:r>
      <w:hyperlink w:history="1" r:id="rId6uf_-5ruqagoc1kbpilae">
        <w:r>
          <w:rPr>
            <w:rFonts w:ascii="IBM Plex Mono" w:cs="IBM Plex Mono" w:eastAsia="IBM Plex Mono" w:hAnsi="IBM Plex Mono"/>
            <w:color w:val="4F46E5"/>
            <w:sz w:val="17"/>
            <w:szCs w:val="17"/>
            <w:u w:val="single"/>
          </w:rPr>
          <w:t xml:space="preserve">https://www.rcog.org.uk/guidance/browse-all-guidance/green-top-guidelines/care-of-women-with-obesity-in-pregnancy-green-top-guideline-no-72/</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Royal College of Obstetricians and Gynaecologists. Reducing the Risk of Thrombosis and Embolism during Pregnancy and the Puerperium. Green-top Guideline No. 37a. London: RCOG.  </w:t>
      </w:r>
      <w:hyperlink w:history="1" r:id="rIdolfauzjdkljvrgiryzghn">
        <w:r>
          <w:rPr>
            <w:rFonts w:ascii="IBM Plex Mono" w:cs="IBM Plex Mono" w:eastAsia="IBM Plex Mono" w:hAnsi="IBM Plex Mono"/>
            <w:color w:val="4F46E5"/>
            <w:sz w:val="17"/>
            <w:szCs w:val="17"/>
            <w:u w:val="single"/>
          </w:rPr>
          <w:t xml:space="preserve">https://www.rcog.org.uk/guidance/browse-all-guidance/green-top-guidelines/reducing-the-risk-of-thrombosis-and-embolism-during-pregnancy-and-the-puerperium-green-top-guideline-no-37a/</w:t>
        </w:r>
      </w:hyperlink>
    </w:p>
    <w:p>
      <w:pPr>
        <w:pStyle w:val="ListParagraph"/>
        <w:numPr>
          <w:ilvl w:val="0"/>
          <w:numId w:val="2"/>
        </w:numPr>
        <w:spacing w:after="100" w:line="280"/>
      </w:pPr>
      <w:r>
        <w:rPr>
          <w:rFonts w:ascii="IBM Plex Sans" w:cs="IBM Plex Sans" w:eastAsia="IBM Plex Sans" w:hAnsi="IBM Plex Sans"/>
          <w:color w:val="334155"/>
          <w:sz w:val="20"/>
          <w:szCs w:val="20"/>
        </w:rPr>
        <w:t xml:space="preserve">Perkumpulan Obstetri dan Ginekologi Indonesia (POGI). [DATA: rujuk laporan/registri resmi terbaru — untuk data prevalensi nasional anemia, diabetes gestasional, dan obesitas pada ibu hamil Indonesia].</w:t>
      </w:r>
    </w:p>
    <w:p>
      <w:pPr>
        <w:pStyle w:val="ListParagraph"/>
        <w:numPr>
          <w:ilvl w:val="0"/>
          <w:numId w:val="2"/>
        </w:numPr>
        <w:spacing w:after="100" w:line="280"/>
      </w:pPr>
      <w:r>
        <w:rPr>
          <w:rFonts w:ascii="IBM Plex Sans" w:cs="IBM Plex Sans" w:eastAsia="IBM Plex Sans" w:hAnsi="IBM Plex Sans"/>
          <w:color w:val="334155"/>
          <w:sz w:val="20"/>
          <w:szCs w:val="20"/>
        </w:rPr>
        <w:t xml:space="preserve">Kementerian Kesehatan Republik Indonesia. [DATA: rujuk laporan/registri resmi terbaru — untuk data surveilans dengue, malaria, dan HIV pada ibu hamil di Indonesia].</w:t>
      </w:r>
    </w:p>
    <w:p>
      <w:pPr>
        <w:spacing w:after="120"/>
      </w:pPr>
    </w:p>
    <w:p>
      <w:pPr>
        <w:spacing w:before="400"/>
      </w:pPr>
      <w:r>
        <w:br w:type="page"/>
      </w:r>
    </w:p>
    <w:p>
      <w:pPr>
        <w:pStyle w:val="Heading1"/>
      </w:pPr>
      <w:r>
        <w:rPr>
          <w:rFonts w:ascii="Source Serif 4" w:cs="Source Serif 4" w:eastAsia="Source Serif 4" w:hAnsi="Source Serif 4"/>
          <w:color w:val="3730A3"/>
        </w:rPr>
        <w:t xml:space="preserve">Tentang Penerbitan</w:t>
      </w:r>
    </w:p>
    <w:tbl>
      <w:tblPr>
        <w:tblW w:type="pct" w:w="100%"/>
        <w:tblBorders>
          <w:top w:val="single" w:color="4F46E5" w:sz="24"/>
          <w:left w:val="single" w:color="EEF2FF" w:sz="2"/>
          <w:bottom w:val="single" w:color="EEF2FF" w:sz="2"/>
          <w:right w:val="single" w:color="EEF2FF" w:sz="2"/>
          <w:insideH w:val="single" w:color="auto" w:sz="4"/>
          <w:insideV w:val="single" w:color="auto" w:sz="4"/>
        </w:tblBorders>
      </w:tblPr>
      <w:tblGrid>
        <w:gridCol w:w="100"/>
      </w:tblGrid>
      <w:tr>
        <w:tc>
          <w:tcPr>
            <w:shd w:fill="EEF2FF" w:color="auto" w:val="clear"/>
            <w:tcMar>
              <w:top w:type="dxa" w:w="160"/>
              <w:left w:type="dxa" w:w="200"/>
              <w:bottom w:type="dxa" w:w="160"/>
              <w:right w:type="dxa" w:w="200"/>
            </w:tcMar>
          </w:tcPr>
          <w:p>
            <w:pPr>
              <w:spacing w:after="60"/>
            </w:pPr>
            <w:r>
              <w:rPr>
                <w:rFonts w:ascii="IBM Plex Sans" w:cs="IBM Plex Sans" w:eastAsia="IBM Plex Sans" w:hAnsi="IBM Plex Sans"/>
                <w:b/>
                <w:bCs/>
                <w:caps/>
                <w:color w:val="4F46E5"/>
                <w:sz w:val="19"/>
                <w:szCs w:val="19"/>
              </w:rPr>
              <w:t xml:space="preserve">Identitas Terbitan</w:t>
            </w:r>
          </w:p>
          <w:p>
            <w:pPr>
              <w:spacing w:after="0" w:line="280"/>
            </w:pPr>
            <w:r>
              <w:rPr>
                <w:rFonts w:ascii="IBM Plex Sans" w:cs="IBM Plex Sans" w:eastAsia="IBM Plex Sans" w:hAnsi="IBM Plex Sans"/>
                <w:color w:val="334155"/>
                <w:sz w:val="20"/>
                <w:szCs w:val="20"/>
              </w:rPr>
              <w:t xml:space="preserve">Kehamilan dengan Penyakit Penyerta (Komorbiditas Medis dan Infeksi) — Buku Tematik B4, Dokumen 5 dari 15 dalam Ekosistem Literatur Standar Spesialis Obstetri dan Ginekologi.</w:t>
            </w:r>
          </w:p>
        </w:tc>
      </w:tr>
    </w:tbl>
    <w:p>
      <w:pPr>
        <w:spacing w:after="40" w:before="200"/>
      </w:pPr>
      <w:r>
        <w:rPr>
          <w:rFonts w:ascii="IBM Plex Sans" w:cs="IBM Plex Sans" w:eastAsia="IBM Plex Sans" w:hAnsi="IBM Plex Sans"/>
          <w:b/>
          <w:bCs/>
          <w:color w:val="B45309"/>
          <w:sz w:val="21"/>
          <w:szCs w:val="21"/>
        </w:rPr>
        <w:t xml:space="preserve">Penulis</w:t>
      </w:r>
    </w:p>
    <w:p>
      <w:pPr>
        <w:spacing w:after="160" w:line="300"/>
      </w:pPr>
      <w:r>
        <w:rPr>
          <w:rFonts w:ascii="IBM Plex Sans" w:cs="IBM Plex Sans" w:eastAsia="IBM Plex Sans" w:hAnsi="IBM Plex Sans"/>
          <w:color w:val="334155"/>
          <w:sz w:val="22"/>
          <w:szCs w:val="22"/>
        </w:rPr>
        <w:t xml:space="preserve">Dr.dr. Budi Siswanto, Sp.OG., Subsp.Obginsos., SH., S.Kom.</w:t>
      </w:r>
    </w:p>
    <w:p>
      <w:pPr>
        <w:spacing w:after="40" w:before="140"/>
      </w:pPr>
      <w:r>
        <w:rPr>
          <w:rFonts w:ascii="IBM Plex Sans" w:cs="IBM Plex Sans" w:eastAsia="IBM Plex Sans" w:hAnsi="IBM Plex Sans"/>
          <w:b/>
          <w:bCs/>
          <w:color w:val="B45309"/>
          <w:sz w:val="21"/>
          <w:szCs w:val="21"/>
        </w:rPr>
        <w:t xml:space="preserve">Penerbit</w:t>
      </w:r>
    </w:p>
    <w:p>
      <w:pPr>
        <w:spacing w:after="160" w:line="300"/>
      </w:pPr>
      <w:r>
        <w:rPr>
          <w:rFonts w:ascii="IBM Plex Sans" w:cs="IBM Plex Sans" w:eastAsia="IBM Plex Sans" w:hAnsi="IBM Plex Sans"/>
          <w:color w:val="334155"/>
          <w:sz w:val="22"/>
          <w:szCs w:val="22"/>
        </w:rPr>
        <w:t xml:space="preserve">Perpustakaan Digital ABBA, Jl. Kerinci Raya No. 9, Malang 65138.</w:t>
      </w:r>
    </w:p>
    <w:p>
      <w:pPr>
        <w:spacing w:after="40" w:before="140"/>
      </w:pPr>
      <w:r>
        <w:rPr>
          <w:rFonts w:ascii="IBM Plex Sans" w:cs="IBM Plex Sans" w:eastAsia="IBM Plex Sans" w:hAnsi="IBM Plex Sans"/>
          <w:b/>
          <w:bCs/>
          <w:color w:val="B45309"/>
          <w:sz w:val="21"/>
          <w:szCs w:val="21"/>
        </w:rPr>
        <w:t xml:space="preserve">Tahun Terbit</w:t>
      </w:r>
    </w:p>
    <w:p>
      <w:pPr>
        <w:spacing w:after="160" w:line="300"/>
      </w:pPr>
      <w:r>
        <w:rPr>
          <w:rFonts w:ascii="IBM Plex Sans" w:cs="IBM Plex Sans" w:eastAsia="IBM Plex Sans" w:hAnsi="IBM Plex Sans"/>
          <w:color w:val="334155"/>
          <w:sz w:val="22"/>
          <w:szCs w:val="22"/>
        </w:rPr>
        <w:t xml:space="preserve">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IBM Plex Sans" w:cs="IBM Plex Sans" w:eastAsia="IBM Plex Sans" w:hAnsi="IBM Plex Sans"/>
        <w:color w:val="64748B"/>
        <w:sz w:val="15"/>
        <w:szCs w:val="15"/>
      </w:rPr>
      <w:t xml:space="preserve">Dokumen 5 dari 15 — Kategori Buku Tematik</w:t>
    </w:r>
    <w:r>
      <w:rPr>
        <w:rFonts w:ascii="IBM Plex Sans" w:cs="IBM Plex Sans" w:eastAsia="IBM Plex Sans" w:hAnsi="IBM Plex Sans"/>
        <w:color w:val="64748B"/>
        <w:sz w:val="15"/>
        <w:szCs w:val="15"/>
      </w:rPr>
      <w:t xml:space="preserve">	Halaman </w:t>
    </w:r>
    <w:r>
      <w:rPr>
        <w:rFonts w:ascii="IBM Plex Sans" w:cs="IBM Plex Sans" w:eastAsia="IBM Plex Sans" w:hAnsi="IBM Plex Sans"/>
        <w:color w:val="64748B"/>
        <w:sz w:val="15"/>
        <w:szCs w:val="15"/>
      </w:rPr>
      <w:fldChar w:fldCharType="begin"/>
      <w:instrText xml:space="preserve">PAGE</w:instrText>
      <w:fldChar w:fldCharType="separate"/>
      <w:fldChar w:fldCharType="end"/>
    </w:r>
    <w:r>
      <w:rPr>
        <w:rFonts w:ascii="IBM Plex Sans" w:cs="IBM Plex Sans" w:eastAsia="IBM Plex Sans" w:hAnsi="IBM Plex Sans"/>
        <w:color w:val="64748B"/>
        <w:sz w:val="15"/>
        <w:szCs w:val="15"/>
      </w:rPr>
      <w:t xml:space="preserve"> dari </w:t>
    </w:r>
    <w:r>
      <w:rPr>
        <w:rFonts w:ascii="IBM Plex Sans" w:cs="IBM Plex Sans" w:eastAsia="IBM Plex Sans" w:hAnsi="IBM Plex Sans"/>
        <w:color w:val="64748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4"/>
      </w:pBdr>
      <w:tabs>
        <w:tab w:val="right" w:pos="9026"/>
      </w:tabs>
    </w:pPr>
    <w:r>
      <w:rPr>
        <w:rFonts w:ascii="IBM Plex Sans" w:cs="IBM Plex Sans" w:eastAsia="IBM Plex Sans" w:hAnsi="IBM Plex Sans"/>
        <w:color w:val="64748B"/>
        <w:sz w:val="15"/>
        <w:szCs w:val="15"/>
      </w:rPr>
      <w:t xml:space="preserve">Buku Tematik B4 — Kehamilan dengan Penyakit Penyerta (Komorbiditas Medis dan Infeksi)</w:t>
    </w:r>
    <w:r>
      <w:rPr>
        <w:rFonts w:ascii="IBM Plex Sans" w:cs="IBM Plex Sans" w:eastAsia="IBM Plex Sans" w:hAnsi="IBM Plex Sans"/>
        <w:color w:val="64748B"/>
        <w:sz w:val="15"/>
        <w:szCs w:val="15"/>
      </w:rPr>
      <w:t xml:space="preserve">	Perpustakaan Digital ABBA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outlineLvl w:val="0"/>
    </w:pPr>
    <w:rPr>
      <w:rFonts w:ascii="Source Serif 4" w:cs="Source Serif 4" w:eastAsia="Source Serif 4" w:hAnsi="Source Serif 4"/>
      <w:b/>
      <w:bCs/>
      <w:color w:val="3730A3"/>
      <w:sz w:val="34"/>
      <w:szCs w:val="34"/>
    </w:rPr>
  </w:style>
  <w:style w:type="paragraph" w:styleId="Heading2">
    <w:name w:val="Heading 2"/>
    <w:basedOn w:val="Normal"/>
    <w:next w:val="Normal"/>
    <w:qFormat/>
    <w:pPr>
      <w:spacing w:after="140" w:before="260"/>
      <w:outlineLvl w:val="1"/>
    </w:pPr>
    <w:rPr>
      <w:rFonts w:ascii="Source Serif 4" w:cs="Source Serif 4" w:eastAsia="Source Serif 4" w:hAnsi="Source Serif 4"/>
      <w:b/>
      <w:bCs/>
      <w:color w:val="4F46E5"/>
      <w:sz w:val="27"/>
      <w:szCs w:val="27"/>
    </w:rPr>
  </w:style>
  <w:style w:type="paragraph" w:styleId="Heading3">
    <w:name w:val="Heading 3"/>
    <w:basedOn w:val="Normal"/>
    <w:next w:val="Normal"/>
    <w:qFormat/>
    <w:pPr>
      <w:spacing w:after="100" w:before="200"/>
      <w:outlineLvl w:val="2"/>
    </w:pPr>
    <w:rPr>
      <w:rFonts w:ascii="Source Serif 4" w:cs="Source Serif 4" w:eastAsia="Source Serif 4" w:hAnsi="Source Serif 4"/>
      <w:b/>
      <w:bCs/>
      <w:color w:val="B45309"/>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8abkuzg1c0aygcbz2mcf" Type="http://schemas.openxmlformats.org/officeDocument/2006/relationships/hyperlink" Target="https://www.who.int/publications/i/item/9789241549912" TargetMode="External"/><Relationship Id="rId_mpaljwi9fejddzuhevf8" Type="http://schemas.openxmlformats.org/officeDocument/2006/relationships/hyperlink" Target="https://www.ncbi.nlm.nih.gov/books/NBK132263/" TargetMode="External"/><Relationship Id="rIddpsvu8a3dwuyihx5bgukr" Type="http://schemas.openxmlformats.org/officeDocument/2006/relationships/hyperlink" Target="https://www.who.int/publications/i/item/guidelines-for-malaria" TargetMode="External"/><Relationship Id="rIdmqx3cct_rhi6bjob4fkaf" Type="http://schemas.openxmlformats.org/officeDocument/2006/relationships/hyperlink" Target="https://www.who.int/publications-detail-redirect/9789240031593" TargetMode="External"/><Relationship Id="rId1q_jshgfce1awxtwmznjt" Type="http://schemas.openxmlformats.org/officeDocument/2006/relationships/hyperlink" Target="https://www.ncbi.nlm.nih.gov/books/NBK169050/" TargetMode="External"/><Relationship Id="rIdacnuhogft2jo-gfs-bwki" Type="http://schemas.openxmlformats.org/officeDocument/2006/relationships/hyperlink" Target="https://pubmed.ncbi.nlm.nih.gov/34011882/" TargetMode="External"/><Relationship Id="rIdzf2i0cgriowvub0cmthek" Type="http://schemas.openxmlformats.org/officeDocument/2006/relationships/hyperlink" Target="https://pubmed.ncbi.nlm.nih.gov/38909620/" TargetMode="External"/><Relationship Id="rIdy_bsu28crhunt2dr8tykp" Type="http://schemas.openxmlformats.org/officeDocument/2006/relationships/hyperlink" Target="https://pmc.ncbi.nlm.nih.gov/articles/PMC4173731/" TargetMode="External"/><Relationship Id="rIdppcxzskwkp5kntkwqik09" Type="http://schemas.openxmlformats.org/officeDocument/2006/relationships/hyperlink" Target="https://www.cochranelibrary.com/cdsr/doi/10.1002/14651858.CD000490.pub4/full" TargetMode="External"/><Relationship Id="rId6uf_-5ruqagoc1kbpilae" Type="http://schemas.openxmlformats.org/officeDocument/2006/relationships/hyperlink" Target="https://www.rcog.org.uk/guidance/browse-all-guidance/green-top-guidelines/care-of-women-with-obesity-in-pregnancy-green-top-guideline-no-72/" TargetMode="External"/><Relationship Id="rIdolfauzjdkljvrgiryzghn" Type="http://schemas.openxmlformats.org/officeDocument/2006/relationships/hyperlink" Target="https://www.rcog.org.uk/guidance/browse-all-guidance/green-top-guidelines/reducing-the-risk-of-thrombosis-and-embolism-during-pregnancy-and-the-puerperium-green-top-guideline-no-37a/"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Kehamilan dengan Penyakit Penyerta (Komorbiditas Medis dan Infeksi)</dc:title>
  <dc:creator>Dr.dr. Budi Siswanto, Sp.OG., Subsp.Obginsos., SH., S.Kom.</dc:creator>
  <dc:description>Perpustakaan Digital ABBA — Jl. Kerinci Raya No. 9, Malang 65138</dc:description>
  <cp:lastModifiedBy>Un-named</cp:lastModifiedBy>
  <cp:revision>1</cp:revision>
  <dcterms:created xsi:type="dcterms:W3CDTF">2026-08-16T22:58:43.350Z</dcterms:created>
  <dcterms:modified xsi:type="dcterms:W3CDTF">2026-08-16T22:58:43.351Z</dcterms:modified>
</cp:coreProperties>
</file>

<file path=docProps/custom.xml><?xml version="1.0" encoding="utf-8"?>
<Properties xmlns="http://schemas.openxmlformats.org/officeDocument/2006/custom-properties" xmlns:vt="http://schemas.openxmlformats.org/officeDocument/2006/docPropsVTypes"/>
</file>