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1200"/>
        <w:jc w:val="center"/>
      </w:pPr>
      <w:r>
        <w:rPr>
          <w:rFonts w:ascii="IBM Plex Sans" w:cs="IBM Plex Sans" w:eastAsia="IBM Plex Sans" w:hAnsi="IBM Plex Sans"/>
          <w:b/>
          <w:bCs/>
          <w:caps/>
          <w:color w:val="B45309"/>
          <w:sz w:val="20"/>
          <w:szCs w:val="20"/>
        </w:rPr>
        <w:t xml:space="preserve">PERPUSTAKAAN DIGITAL ABBA</w:t>
      </w:r>
    </w:p>
    <w:p>
      <w:pPr>
        <w:spacing w:after="60" w:before="60"/>
        <w:jc w:val="center"/>
      </w:pPr>
      <w:r>
        <w:rPr>
          <w:rFonts w:ascii="IBM Plex Mono" w:cs="IBM Plex Mono" w:eastAsia="IBM Plex Mono" w:hAnsi="IBM Plex Mono"/>
          <w:color w:val="64748B"/>
          <w:sz w:val="18"/>
          <w:szCs w:val="18"/>
        </w:rPr>
        <w:t xml:space="preserve">BUKU TEMATIK · B5 · DOKUMEN 6 DARI 15</w:t>
      </w:r>
    </w:p>
    <w:p>
      <w:pPr>
        <w:spacing w:after="200" w:before="500"/>
        <w:jc w:val="center"/>
      </w:pPr>
      <w:r>
        <w:rPr>
          <w:rFonts w:ascii="Source Serif 4" w:cs="Source Serif 4" w:eastAsia="Source Serif 4" w:hAnsi="Source Serif 4"/>
          <w:b/>
          <w:bCs/>
          <w:color w:val="4F46E5"/>
          <w:sz w:val="56"/>
          <w:szCs w:val="56"/>
        </w:rPr>
        <w:t xml:space="preserve">Persalinan, Masa Nifas, dan Laktasi</w:t>
      </w:r>
    </w:p>
    <w:p>
      <w:pPr>
        <w:spacing w:after="700" w:before="0"/>
        <w:jc w:val="center"/>
      </w:pPr>
      <w:r>
        <w:rPr>
          <w:rFonts w:ascii="IBM Plex Sans" w:cs="IBM Plex Sans" w:eastAsia="IBM Plex Sans" w:hAnsi="IBM Plex Sans"/>
          <w:i/>
          <w:iCs/>
          <w:color w:val="334155"/>
          <w:sz w:val="24"/>
          <w:szCs w:val="24"/>
        </w:rPr>
        <w:t xml:space="preserve">Buku Tematik — Ekosistem Literatur Standar Spesialis Obstetri dan Ginekologi</w:t>
      </w:r>
    </w:p>
    <w:p>
      <w:pPr>
        <w:spacing w:after="60" w:before="300"/>
        <w:jc w:val="center"/>
      </w:pPr>
      <w:r>
        <w:rPr>
          <w:rFonts w:ascii="IBM Plex Sans" w:cs="IBM Plex Sans" w:eastAsia="IBM Plex Sans" w:hAnsi="IBM Plex Sans"/>
          <w:b/>
          <w:bCs/>
          <w:color w:val="B45309"/>
          <w:sz w:val="20"/>
          <w:szCs w:val="20"/>
        </w:rPr>
        <w:t xml:space="preserve">Audiens</w:t>
      </w:r>
    </w:p>
    <w:p>
      <w:pPr>
        <w:spacing w:after="300"/>
        <w:jc w:val="center"/>
      </w:pPr>
      <w:r>
        <w:rPr>
          <w:rFonts w:ascii="IBM Plex Sans" w:cs="IBM Plex Sans" w:eastAsia="IBM Plex Sans" w:hAnsi="IBM Plex Sans"/>
          <w:color w:val="334155"/>
          <w:sz w:val="20"/>
          <w:szCs w:val="20"/>
        </w:rPr>
        <w:t xml:space="preserve">Peserta Didik Program Pendidikan Dokter Spesialis (PPDS) Obstetri dan Ginekologi, tahun I–III</w:t>
      </w:r>
    </w:p>
    <w:p>
      <w:pPr>
        <w:spacing w:after="60"/>
        <w:jc w:val="center"/>
      </w:pPr>
      <w:r>
        <w:rPr>
          <w:rFonts w:ascii="IBM Plex Sans" w:cs="IBM Plex Sans" w:eastAsia="IBM Plex Sans" w:hAnsi="IBM Plex Sans"/>
          <w:b/>
          <w:bCs/>
          <w:color w:val="B45309"/>
          <w:sz w:val="20"/>
          <w:szCs w:val="20"/>
        </w:rPr>
        <w:t xml:space="preserve">Divisi Pengampu Bab Kontribusi</w:t>
      </w:r>
    </w:p>
    <w:p>
      <w:pPr>
        <w:spacing w:after="300"/>
        <w:jc w:val="center"/>
      </w:pPr>
      <w:r>
        <w:rPr>
          <w:rFonts w:ascii="IBM Plex Sans" w:cs="IBM Plex Sans" w:eastAsia="IBM Plex Sans" w:hAnsi="IBM Plex Sans"/>
          <w:color w:val="334155"/>
          <w:sz w:val="20"/>
          <w:szCs w:val="20"/>
        </w:rPr>
        <w:t xml:space="preserve">Fetomaternal</w:t>
      </w:r>
    </w:p>
    <w:p>
      <w:pPr>
        <w:spacing w:after="60"/>
        <w:jc w:val="center"/>
      </w:pPr>
      <w:r>
        <w:rPr>
          <w:rFonts w:ascii="IBM Plex Sans" w:cs="IBM Plex Sans" w:eastAsia="IBM Plex Sans" w:hAnsi="IBM Plex Sans"/>
          <w:b/>
          <w:bCs/>
          <w:color w:val="B45309"/>
          <w:sz w:val="20"/>
          <w:szCs w:val="20"/>
        </w:rPr>
        <w:t xml:space="preserve">Dasar Regulasi</w:t>
      </w:r>
    </w:p>
    <w:p>
      <w:pPr>
        <w:spacing w:after="500"/>
        <w:jc w:val="center"/>
      </w:pPr>
      <w:r>
        <w:rPr>
          <w:rFonts w:ascii="IBM Plex Sans" w:cs="IBM Plex Sans" w:eastAsia="IBM Plex Sans" w:hAnsi="IBM Plex Sans"/>
          <w:color w:val="64748B"/>
          <w:sz w:val="18"/>
          <w:szCs w:val="18"/>
        </w:rPr>
        <w:t xml:space="preserve">Keputusan Ketua Konsil Kesehatan Indonesia Nomor HK.01.02/KKI/1318/2026 tentang Standar Kompetensi Dokter Spesialis dan Subspesialis Bidang Obstetri dan Ginekologi, Lampiran Tabel 7 Nomor 17–18, 20–23, 38–40</w:t>
      </w:r>
    </w:p>
    <w:p>
      <w:pPr>
        <w:pBdr>
          <w:top w:val="single" w:color="CBD5E1" w:sz="4"/>
        </w:pBdr>
        <w:spacing w:after="200" w:before="200"/>
      </w:pPr>
    </w:p>
    <w:p>
      <w:pPr>
        <w:spacing w:after="40"/>
        <w:jc w:val="center"/>
      </w:pPr>
      <w:r>
        <w:rPr>
          <w:rFonts w:ascii="IBM Plex Sans" w:cs="IBM Plex Sans" w:eastAsia="IBM Plex Sans" w:hAnsi="IBM Plex Sans"/>
          <w:b/>
          <w:bCs/>
          <w:color w:val="B45309"/>
          <w:sz w:val="18"/>
          <w:szCs w:val="18"/>
        </w:rPr>
        <w:t xml:space="preserve">Penulis</w:t>
      </w:r>
    </w:p>
    <w:p>
      <w:pPr>
        <w:spacing w:after="160"/>
        <w:jc w:val="center"/>
      </w:pPr>
      <w:r>
        <w:rPr>
          <w:rFonts w:ascii="IBM Plex Sans" w:cs="IBM Plex Sans" w:eastAsia="IBM Plex Sans" w:hAnsi="IBM Plex Sans"/>
          <w:color w:val="334155"/>
          <w:sz w:val="20"/>
          <w:szCs w:val="20"/>
        </w:rPr>
        <w:t xml:space="preserve">Dr.dr. Budi Siswanto, Sp.OG., Subsp.Obginsos., SH., S.Kom.</w:t>
      </w:r>
    </w:p>
    <w:p>
      <w:pPr>
        <w:spacing w:after="40"/>
        <w:jc w:val="center"/>
      </w:pPr>
      <w:r>
        <w:rPr>
          <w:rFonts w:ascii="IBM Plex Sans" w:cs="IBM Plex Sans" w:eastAsia="IBM Plex Sans" w:hAnsi="IBM Plex Sans"/>
          <w:b/>
          <w:bCs/>
          <w:color w:val="B45309"/>
          <w:sz w:val="18"/>
          <w:szCs w:val="18"/>
        </w:rPr>
        <w:t xml:space="preserve">Penerbit</w:t>
      </w:r>
    </w:p>
    <w:p>
      <w:pPr>
        <w:spacing w:after="10"/>
        <w:jc w:val="center"/>
      </w:pPr>
      <w:r>
        <w:rPr>
          <w:rFonts w:ascii="IBM Plex Sans" w:cs="IBM Plex Sans" w:eastAsia="IBM Plex Sans" w:hAnsi="IBM Plex Sans"/>
          <w:color w:val="334155"/>
          <w:sz w:val="20"/>
          <w:szCs w:val="20"/>
        </w:rPr>
        <w:t xml:space="preserve">Perpustakaan Digital ABBA</w:t>
      </w:r>
    </w:p>
    <w:p>
      <w:pPr>
        <w:spacing w:after="160"/>
        <w:jc w:val="center"/>
      </w:pPr>
      <w:r>
        <w:rPr>
          <w:rFonts w:ascii="IBM Plex Sans" w:cs="IBM Plex Sans" w:eastAsia="IBM Plex Sans" w:hAnsi="IBM Plex Sans"/>
          <w:color w:val="64748B"/>
          <w:sz w:val="18"/>
          <w:szCs w:val="18"/>
        </w:rPr>
        <w:t xml:space="preserve">Jl. Kerinci Raya No. 9, Malang 65138</w:t>
      </w:r>
    </w:p>
    <w:p>
      <w:pPr>
        <w:spacing w:after="0"/>
        <w:jc w:val="center"/>
      </w:pPr>
      <w:r>
        <w:rPr>
          <w:rFonts w:ascii="IBM Plex Mono" w:cs="IBM Plex Mono" w:eastAsia="IBM Plex Mono" w:hAnsi="IBM Plex Mono"/>
          <w:color w:val="64748B"/>
          <w:sz w:val="16"/>
          <w:szCs w:val="16"/>
        </w:rPr>
        <w:t xml:space="preserve">Cetakan pertama, 2026</w:t>
      </w:r>
    </w:p>
    <w:p>
      <w:r>
        <w:br w:type="page"/>
      </w:r>
    </w:p>
    <w:p>
      <w:pPr>
        <w:sectPr>
          <w:pgSz w:w="11906" w:h="16838" w:orient="portrait"/>
          <w:pgMar w:top="1440" w:right="1440" w:bottom="1440" w:left="1440" w:header="708" w:footer="708" w:gutter="0"/>
          <w:pgNumType/>
          <w:docGrid w:linePitch="360"/>
        </w:sectPr>
      </w:pPr>
    </w:p>
    <w:p>
      <w:pPr>
        <w:pStyle w:val="Heading1"/>
        <w:spacing w:after="200"/>
      </w:pPr>
      <w:r>
        <w:rPr>
          <w:rFonts w:ascii="Source Serif 4" w:cs="Source Serif 4" w:eastAsia="Source Serif 4" w:hAnsi="Source Serif 4"/>
          <w:color w:val="4F46E5"/>
        </w:rPr>
        <w:t xml:space="preserve">Daftar Isi</w:t>
      </w:r>
    </w:p>
    <w:sdt>
      <w:sdtPr>
        <w:alias w:val="Daftar Isi"/>
      </w:sdtPr>
      <w:sdtContent>
        <w:p>
          <w:r>
            <w:fldChar w:fldCharType="begin" w:dirty="true"/>
            <w:instrText xml:space="preserve">TOC \h \o "1-3"</w:instrText>
            <w:fldChar w:fldCharType="separate"/>
          </w:r>
        </w:p>
        <w:p>
          <w:r>
            <w:fldChar w:fldCharType="end"/>
          </w:r>
        </w:p>
      </w:sdtContent>
    </w:sdt>
    <w:p>
      <w:r>
        <w:br w:type="page"/>
      </w:r>
    </w:p>
    <w:p>
      <w:pPr>
        <w:sectPr>
          <w:pgSz w:w="11906" w:h="16838" w:orient="portrait"/>
          <w:pgMar w:top="1440" w:right="1440" w:bottom="1440" w:left="1440" w:header="708" w:footer="708" w:gutter="0"/>
          <w:pgNumType/>
          <w:docGrid w:linePitch="360"/>
        </w:sectPr>
      </w:pPr>
    </w:p>
    <w:p>
      <w:pPr>
        <w:pStyle w:val="Heading1"/>
        <w:spacing w:after="200" w:before="200"/>
      </w:pPr>
      <w:r>
        <w:rPr>
          <w:rFonts w:ascii="Source Serif 4" w:cs="Source Serif 4" w:eastAsia="Source Serif 4" w:hAnsi="Source Serif 4"/>
          <w:b/>
          <w:bCs/>
          <w:color w:val="4F46E5"/>
        </w:rPr>
        <w:t xml:space="preserve">Bab I. Pendahuluan</w:t>
      </w:r>
    </w:p>
    <w:tbl>
      <w:tblPr>
        <w:tblW w:type="pct" w:w="100%"/>
        <w:tblBorders>
          <w:top w:val="single" w:color="4F46E5" w:sz="4"/>
          <w:left w:val="single" w:color="4F46E5" w:sz="24"/>
          <w:bottom w:val="single" w:color="4F46E5" w:sz="4"/>
          <w:right w:val="single" w:color="4F46E5" w:sz="4"/>
          <w:insideH w:val="none" w:color="FFFFFF" w:sz="0"/>
          <w:insideV w:val="none" w:color="FFFFFF" w:sz="0"/>
        </w:tblBorders>
      </w:tblPr>
      <w:tblGrid>
        <w:gridCol w:w="100"/>
      </w:tblGrid>
      <w:tr>
        <w:tc>
          <w:tcPr>
            <w:tcW w:type="pct" w:w="100%"/>
            <w:shd w:fill="EEF2FF" w:color="auto" w:val="clear"/>
            <w:tcMar>
              <w:top w:type="dxa" w:w="160"/>
              <w:left w:type="dxa" w:w="220"/>
              <w:bottom w:type="dxa" w:w="160"/>
              <w:right w:type="dxa" w:w="220"/>
            </w:tcMar>
          </w:tcPr>
          <w:p>
            <w:pPr>
              <w:spacing w:after="60"/>
            </w:pPr>
            <w:r>
              <w:rPr>
                <w:rFonts w:ascii="IBM Plex Sans" w:cs="IBM Plex Sans" w:eastAsia="IBM Plex Sans" w:hAnsi="IBM Plex Sans"/>
                <w:b/>
                <w:bCs/>
                <w:color w:val="4F46E5"/>
                <w:sz w:val="20"/>
                <w:szCs w:val="20"/>
              </w:rPr>
              <w:t xml:space="preserve">DASAR REGULASI</w:t>
            </w:r>
          </w:p>
          <w:p>
            <w:pPr>
              <w:spacing w:after="0" w:line="280"/>
            </w:pPr>
            <w:r>
              <w:rPr>
                <w:rFonts w:ascii="IBM Plex Sans" w:cs="IBM Plex Sans" w:eastAsia="IBM Plex Sans" w:hAnsi="IBM Plex Sans"/>
                <w:color w:val="334155"/>
                <w:sz w:val="20"/>
                <w:szCs w:val="20"/>
              </w:rPr>
              <w:t xml:space="preserve">Bab ini mengacu pada Tabel 7 Nomor 17–18, 20–23, dan 38–40, Lampiran Keputusan Ketua Konsil Kesehatan Indonesia Nomor HK.01.02/KKI/1318/2026, yang menetapkan spektrum penyakit dan kondisi klinis pada masa persalinan, nifas, dan laktasi yang wajib dikuasai dokter spesialis obstetri dan ginekologi [1].</w:t>
            </w:r>
          </w:p>
        </w:tc>
      </w:tr>
    </w:tbl>
    <w:p>
      <w:pPr>
        <w:spacing w:after="120"/>
      </w:pPr>
    </w:p>
    <w:p>
      <w:pPr>
        <w:pStyle w:val="Heading2"/>
        <w:spacing w:after="140" w:before="240"/>
      </w:pPr>
      <w:r>
        <w:rPr>
          <w:rFonts w:ascii="Source Serif 4" w:cs="Source Serif 4" w:eastAsia="Source Serif 4" w:hAnsi="Source Serif 4"/>
          <w:b/>
          <w:bCs/>
          <w:color w:val="334155"/>
        </w:rPr>
        <w:t xml:space="preserve">1.1 Latar Belakang dan Ruang Lingkup</w:t>
      </w:r>
    </w:p>
    <w:p>
      <w:pPr>
        <w:spacing w:after="160" w:line="300"/>
      </w:pPr>
      <w:r>
        <w:rPr>
          <w:rFonts w:ascii="IBM Plex Sans" w:cs="IBM Plex Sans" w:eastAsia="IBM Plex Sans" w:hAnsi="IBM Plex Sans"/>
          <w:color w:val="334155"/>
          <w:sz w:val="22"/>
          <w:szCs w:val="22"/>
        </w:rPr>
        <w:t xml:space="preserve">Persalinan (labor), masa nifas (puerperium), dan laktasi (lactation) merupakan satu rangkaian klinis yang berkesinambungan dan menandai transisi fisiologis terbesar yang dialami tubuh perempuan dalam siklus reproduksinya. Kompetensi pada ketiga fase ini menjadi inti dari praktik klinis dokter spesialis obstetri dan ginekologi karena periode ini menyumbang proporsi terbesar morbiditas dan mortalitas maternal serta perinatal apabila tidak dikelola dengan standar yang tepat.</w:t>
      </w:r>
    </w:p>
    <w:p>
      <w:pPr>
        <w:spacing w:after="160" w:line="300"/>
      </w:pPr>
      <w:r>
        <w:rPr>
          <w:rFonts w:ascii="IBM Plex Sans" w:cs="IBM Plex Sans" w:eastAsia="IBM Plex Sans" w:hAnsi="IBM Plex Sans"/>
          <w:color w:val="334155"/>
          <w:sz w:val="22"/>
          <w:szCs w:val="22"/>
        </w:rPr>
        <w:t xml:space="preserve">Buku tematik ini disusun sebagai rujukan terstandar bagi peserta didik Program Pendidikan Dokter Spesialis (PPDS) tahun I sampai III dalam memahami fisiologi persalinan normal, mengenali dan menatalaksana penyulit persalinan (distosia, persalinan preterm, ketuban pecah dini), memastikan keselamatan masa nifas normal maupun terkomplikasi, serta mendukung keberhasilan laktasi sesuai standar nasional dan internasional yang berlaku.</w:t>
      </w:r>
    </w:p>
    <w:p>
      <w:pPr>
        <w:spacing w:after="160" w:line="300"/>
      </w:pPr>
      <w:r>
        <w:rPr>
          <w:rFonts w:ascii="IBM Plex Sans" w:cs="IBM Plex Sans" w:eastAsia="IBM Plex Sans" w:hAnsi="IBM Plex Sans"/>
          <w:color w:val="334155"/>
          <w:sz w:val="22"/>
          <w:szCs w:val="22"/>
        </w:rPr>
        <w:t xml:space="preserve">Kesinambungan antara ketiga fase ini penting ditekankan sejak awal: keputusan klinis pada persalinan — misalnya cara persalinan, durasi kala II, atau tindakan operatif pervaginam — memengaruhi lintasan pemulihan nifas dan kesiapan fisiologis ibu untuk menyusui. Sebaliknya, komplikasi nifas yang tidak terdeteksi dini dapat menghambat inisiasi dan keberlangsungan laktasi, yang pada gilirannya berdampak pada kesehatan neonatus. Pendekatan buku ini karenanya bersifat longitudinal, bukan mengelola tiga fase secara terpisah.</w:t>
      </w:r>
    </w:p>
    <w:p>
      <w:pPr>
        <w:spacing w:after="160" w:line="300"/>
      </w:pPr>
      <w:r>
        <w:rPr>
          <w:rFonts w:ascii="IBM Plex Sans" w:cs="IBM Plex Sans" w:eastAsia="IBM Plex Sans" w:hAnsi="IBM Plex Sans"/>
          <w:color w:val="334155"/>
          <w:sz w:val="22"/>
          <w:szCs w:val="22"/>
        </w:rPr>
        <w:t xml:space="preserve">Ruang lingkup buku ini mencakup sembilan entitas klinis dalam Tabel 7 Kepkonsil sebagaimana tercantum pada kotak Dasar Regulasi berikut, ditambah landasan fisiologis dan mekanisme persalinan normal yang menjadi prasyarat pemahaman sebelum penyulit dibahas.</w:t>
      </w:r>
    </w:p>
    <w:p>
      <w:pPr>
        <w:pStyle w:val="Heading2"/>
        <w:spacing w:after="140" w:before="240"/>
      </w:pPr>
      <w:r>
        <w:rPr>
          <w:rFonts w:ascii="Source Serif 4" w:cs="Source Serif 4" w:eastAsia="Source Serif 4" w:hAnsi="Source Serif 4"/>
          <w:b/>
          <w:bCs/>
          <w:color w:val="334155"/>
        </w:rPr>
        <w:t xml:space="preserve">1.2 Tujuan dan Sasaran Kompetensi</w:t>
      </w:r>
    </w:p>
    <w:p>
      <w:pPr>
        <w:spacing w:after="160" w:line="300"/>
      </w:pPr>
      <w:r>
        <w:rPr>
          <w:rFonts w:ascii="IBM Plex Sans" w:cs="IBM Plex Sans" w:eastAsia="IBM Plex Sans" w:hAnsi="IBM Plex Sans"/>
          <w:color w:val="334155"/>
          <w:sz w:val="22"/>
          <w:szCs w:val="22"/>
        </w:rPr>
        <w:t xml:space="preserve">Setelah mempelajari buku tematik ini, peserta didik diharapkan mampu: (1) menjelaskan fisiologi dan mekanisme persalinan normal termasuk gerakan kardinal janin; (2) mengenali dan menatalaksana distosia, persalinan preterm, serta ketuban pecah dini maupun preterm sesuai clinical pathway yang berlaku; (3) mendiagnosis dan menatalaksana trauma jalan lahir derajat ringan hingga berat; (4) memantau masa nifas normal dan mendeteksi dini komplikasi termasuk infeksi puerperium; dan (5) memberikan edukasi serta dukungan laktasi berbasis bukti sesuai standar WHO/UNICEF.</w:t>
      </w:r>
    </w:p>
    <w:p>
      <w:pPr>
        <w:spacing w:after="160" w:line="300"/>
      </w:pPr>
      <w:r>
        <w:rPr>
          <w:rFonts w:ascii="IBM Plex Sans" w:cs="IBM Plex Sans" w:eastAsia="IBM Plex Sans" w:hAnsi="IBM Plex Sans"/>
          <w:color w:val="334155"/>
          <w:sz w:val="22"/>
          <w:szCs w:val="22"/>
        </w:rPr>
        <w:t xml:space="preserve">Capaian kompetensi ini bersifat minimal dan wajib bagi seluruh dokter spesialis obstetri dan ginekologi, sebagaimana ditegaskan dalam Diktum KEDUA Kepkonsil Nomor HK.01.02/KKI/1318/2026, tanpa terkecuali subspesialisasi yang ditempuh kemudian [1].</w:t>
      </w:r>
    </w:p>
    <w:p>
      <w:pPr>
        <w:pStyle w:val="Heading1"/>
        <w:spacing w:after="200" w:before="200"/>
      </w:pPr>
      <w:r>
        <w:rPr>
          <w:rFonts w:ascii="Source Serif 4" w:cs="Source Serif 4" w:eastAsia="Source Serif 4" w:hAnsi="Source Serif 4"/>
          <w:b/>
          <w:bCs/>
          <w:color w:val="4F46E5"/>
        </w:rPr>
        <w:t xml:space="preserve">Bab II. Fisiologi dan Mekanisme Persalinan Normal</w:t>
      </w:r>
    </w:p>
    <w:p>
      <w:pPr>
        <w:pStyle w:val="Heading2"/>
        <w:spacing w:after="140" w:before="240"/>
      </w:pPr>
      <w:r>
        <w:rPr>
          <w:rFonts w:ascii="Source Serif 4" w:cs="Source Serif 4" w:eastAsia="Source Serif 4" w:hAnsi="Source Serif 4"/>
          <w:b/>
          <w:bCs/>
          <w:color w:val="334155"/>
        </w:rPr>
        <w:t xml:space="preserve">2.1 Fisiologi Onset Persalinan</w:t>
      </w:r>
    </w:p>
    <w:p>
      <w:pPr>
        <w:spacing w:after="160" w:line="300"/>
      </w:pPr>
      <w:r>
        <w:rPr>
          <w:rFonts w:ascii="IBM Plex Sans" w:cs="IBM Plex Sans" w:eastAsia="IBM Plex Sans" w:hAnsi="IBM Plex Sans"/>
          <w:color w:val="334155"/>
          <w:sz w:val="22"/>
          <w:szCs w:val="22"/>
        </w:rPr>
        <w:t xml:space="preserve">Persalinan (labor; partus) didefinisikan sebagai serangkaian kontraksi uterus yang progresif dan teratur, disertai pendataran (effacement) dan pembukaan (dilatation) serviks, yang berujung pada kelahiran janin dan plasenta. Onset persalinan dipicu oleh interaksi kompleks antara sinyal maternal, fetal, dan plasenta — melibatkan peningkatan rasio estrogen terhadap progesteron, pelepasan prostaglandin lokal, aktivasi reseptor oksitosin miometrium, serta pematangan sumbu hipotalamus-hipofisis-adrenal janin yang meningkatkan kortisol fetal sebagai salah satu pemicu penting persalinan aterm.</w:t>
      </w:r>
    </w:p>
    <w:p>
      <w:pPr>
        <w:spacing w:after="160" w:line="300"/>
      </w:pPr>
      <w:r>
        <w:rPr>
          <w:rFonts w:ascii="IBM Plex Sans" w:cs="IBM Plex Sans" w:eastAsia="IBM Plex Sans" w:hAnsi="IBM Plex Sans"/>
          <w:color w:val="334155"/>
          <w:sz w:val="22"/>
          <w:szCs w:val="22"/>
        </w:rPr>
        <w:t xml:space="preserve">Secara klinis, onset persalinan sejati (true labor) dibedakan dari persalinan palsu (false labor; Braxton Hicks) berdasarkan keteraturan interval kontraksi, peningkatan intensitas seiring waktu, serta perubahan serviks yang progresif dan terukur — bukan sekadar keluhan subjektif nyeri.</w:t>
      </w:r>
    </w:p>
    <w:p>
      <w:pPr>
        <w:spacing w:after="160" w:line="300"/>
      </w:pPr>
      <w:r>
        <w:rPr>
          <w:rFonts w:ascii="IBM Plex Sans" w:cs="IBM Plex Sans" w:eastAsia="IBM Plex Sans" w:hAnsi="IBM Plex Sans"/>
          <w:color w:val="334155"/>
          <w:sz w:val="22"/>
          <w:szCs w:val="22"/>
        </w:rPr>
        <w:t xml:space="preserve">Konsep 'show' — keluarnya lendir bercampur darah dari kanalis servikalis akibat lepasnya sumbat mukus (mucus plug) seiring pendataran serviks — sering menyertai onset persalinan namun bukan merupakan kriteria diagnostik tunggal, karena dapat pula muncul beberapa hari sebelum kontraksi teratur dimulai. Anamnesis dan pemeriksaan serviks berulang tetap menjadi standar untuk memastikan onset persalinan sejati, khususnya pada pasien nulipara yang gambaran klinisnya sering kurang tegas dibanding multipara.</w:t>
      </w:r>
    </w:p>
    <w:p>
      <w:pPr>
        <w:pStyle w:val="Heading2"/>
        <w:spacing w:after="140" w:before="240"/>
      </w:pPr>
      <w:r>
        <w:rPr>
          <w:rFonts w:ascii="Source Serif 4" w:cs="Source Serif 4" w:eastAsia="Source Serif 4" w:hAnsi="Source Serif 4"/>
          <w:b/>
          <w:bCs/>
          <w:color w:val="334155"/>
        </w:rPr>
        <w:t xml:space="preserve">2.2 Tahapan Persalinan (Kala I–IV)</w:t>
      </w:r>
    </w:p>
    <w:p>
      <w:pPr>
        <w:spacing w:after="160" w:line="300"/>
      </w:pPr>
      <w:r>
        <w:rPr>
          <w:rFonts w:ascii="IBM Plex Sans" w:cs="IBM Plex Sans" w:eastAsia="IBM Plex Sans" w:hAnsi="IBM Plex Sans"/>
          <w:color w:val="334155"/>
          <w:sz w:val="22"/>
          <w:szCs w:val="22"/>
        </w:rPr>
        <w:t xml:space="preserve">Persalinan secara konvensional dibagi menjadi empat kala. Kala I dimulai sejak onset kontraksi teratur hingga pembukaan lengkap (10 cm), terbagi atas fase laten (pembukaan hingga 6 cm, berlangsung lambat dan variabel) dan fase aktif (pembukaan 6 cm hingga lengkap, dengan laju dilatasi yang lebih cepat dan konsisten). Kala II berlangsung sejak pembukaan lengkap hingga lahirnya bayi, ditandai oleh dorongan mengejan (bearing-down effort) ibu yang terkoordinasi dengan kontraksi uterus. Kala III adalah periode antara kelahiran bayi hingga lahirnya plasenta secara lengkap, melibatkan mekanisme separasi plasenta (tanda Schultze atau Duncan) dan kontraksi uterus lanjutan untuk hemostasis. Kala IV merupakan periode observasi ketat dua jam pascapersalinan untuk memantau kontraksi uterus, perdarahan, dan tanda vital ibu guna mendeteksi dini perdarahan pascapersalinan.</w:t>
      </w:r>
    </w:p>
    <w:p>
      <w:pPr>
        <w:spacing w:after="160" w:line="300"/>
      </w:pPr>
      <w:r>
        <w:rPr>
          <w:rFonts w:ascii="IBM Plex Sans" w:cs="IBM Plex Sans" w:eastAsia="IBM Plex Sans" w:hAnsi="IBM Plex Sans"/>
          <w:color w:val="334155"/>
          <w:sz w:val="22"/>
          <w:szCs w:val="22"/>
        </w:rPr>
        <w:t xml:space="preserve">Durasi kala II bervariasi menurut paritas dan penggunaan analgesia regional: pada nulipara tanpa epidural umumnya dianggap wajar hingga sekitar dua jam, dan hingga tiga jam dengan epidural; pada multipara batas ini lebih pendek. Pemantauan denyut jantung janin intermiten atau kontinu, kondisi ibu, serta penurunan bagian terendah janin harus dilakukan berkala sepanjang kala II untuk memastikan keputusan meneruskan usaha pervaginam atau beralih ke persalinan operatif diambil tepat waktu.</w:t>
      </w:r>
    </w:p>
    <w:p>
      <w:pPr>
        <w:pStyle w:val="Heading2"/>
        <w:spacing w:after="140" w:before="240"/>
      </w:pPr>
      <w:r>
        <w:rPr>
          <w:rFonts w:ascii="Source Serif 4" w:cs="Source Serif 4" w:eastAsia="Source Serif 4" w:hAnsi="Source Serif 4"/>
          <w:b/>
          <w:bCs/>
          <w:color w:val="334155"/>
        </w:rPr>
        <w:t xml:space="preserve">2.3 Mekanisme Persalinan: Gerakan Kardinal Janin</w:t>
      </w:r>
    </w:p>
    <w:p>
      <w:pPr>
        <w:spacing w:after="160" w:line="300"/>
      </w:pPr>
      <w:r>
        <w:rPr>
          <w:rFonts w:ascii="IBM Plex Sans" w:cs="IBM Plex Sans" w:eastAsia="IBM Plex Sans" w:hAnsi="IBM Plex Sans"/>
          <w:color w:val="334155"/>
          <w:sz w:val="22"/>
          <w:szCs w:val="22"/>
        </w:rPr>
        <w:t xml:space="preserve">Pada presentasi kepala (vertex), janin menjalani serangkaian gerakan kardinal (cardinal movements of labor) untuk menyesuaikan diameter terkecil kepala dan bahu terhadap panggul ibu, yaitu: engagement (masuknya diameter biparietal ke pintu atas panggul), descent (penurunan bagian terendah janin), flexion (fleksi kepala untuk menyajikan diameter suboksipito-bregmatika yang paling kecil), internal rotation (rotasi kepala menyesuaikan sumbu panjang panggul tengah), extension (ekstensi kepala saat crowning di introitus vagina), external rotation atau restitution (rotasi eksternal kepala menyesuaikan posisi bahu), dan expulsion (kelahiran bahu depan lalu belakang, diikuti seluruh tubuh janin).</w:t>
      </w:r>
    </w:p>
    <w:p>
      <w:pPr>
        <w:spacing w:after="160" w:line="300"/>
      </w:pPr>
      <w:r>
        <w:rPr>
          <w:rFonts w:ascii="IBM Plex Sans" w:cs="IBM Plex Sans" w:eastAsia="IBM Plex Sans" w:hAnsi="IBM Plex Sans"/>
          <w:color w:val="334155"/>
          <w:sz w:val="22"/>
          <w:szCs w:val="22"/>
        </w:rPr>
        <w:t xml:space="preserve">Pemahaman mendalam atas mekanisme ini menjadi dasar untuk mengenali malposisi maupun malpresentasi yang menjadi salah satu penyebab distosia, yang dibahas pada Bab III.</w:t>
      </w:r>
    </w:p>
    <w:p>
      <w:pPr>
        <w:pStyle w:val="Heading2"/>
        <w:spacing w:after="140" w:before="240"/>
      </w:pPr>
      <w:r>
        <w:rPr>
          <w:rFonts w:ascii="Source Serif 4" w:cs="Source Serif 4" w:eastAsia="Source Serif 4" w:hAnsi="Source Serif 4"/>
          <w:b/>
          <w:bCs/>
          <w:color w:val="334155"/>
        </w:rPr>
        <w:t xml:space="preserve">2.4 Partograf dan Dokumentasi Kemajuan Persalinan</w:t>
      </w:r>
    </w:p>
    <w:p>
      <w:pPr>
        <w:spacing w:after="160" w:line="300"/>
      </w:pPr>
      <w:r>
        <w:rPr>
          <w:rFonts w:ascii="IBM Plex Sans" w:cs="IBM Plex Sans" w:eastAsia="IBM Plex Sans" w:hAnsi="IBM Plex Sans"/>
          <w:color w:val="334155"/>
          <w:sz w:val="22"/>
          <w:szCs w:val="22"/>
        </w:rPr>
        <w:t xml:space="preserve">Partograf adalah alat pemantauan grafis yang mencatat dilatasi serviks dan penurunan bagian terendah janin terhadap waktu, disertai parameter kontraksi uterus, denyut jantung janin, dan tanda vital ibu dalam satu lembar dokumentasi. Penggunaan partograf secara konsisten memungkinkan identifikasi dini penyimpangan pola persalinan normal — baik perlambatan (protraction) maupun kemacetan (arrest) — sehingga keputusan augmentasi atau persalinan operatif dapat diambil sebelum komplikasi timbul.</w:t>
      </w:r>
    </w:p>
    <w:p>
      <w:pPr>
        <w:spacing w:after="160" w:line="300"/>
      </w:pPr>
      <w:r>
        <w:rPr>
          <w:rFonts w:ascii="IBM Plex Sans" w:cs="IBM Plex Sans" w:eastAsia="IBM Plex Sans" w:hAnsi="IBM Plex Sans"/>
          <w:color w:val="334155"/>
          <w:sz w:val="22"/>
          <w:szCs w:val="22"/>
        </w:rPr>
        <w:t xml:space="preserve">Pembaruan partograf WHO tahun 2018 menyederhanakan format sebelumnya yang memuat garis waspada dan garis bertindak ganda menjadi satu garis acuan tunggal, dengan penekanan bahwa laju dilatasi serviks lebih lambat dari 1 cm per jam pada fase aktif tidak serta-merta dianggap abnormal apabila kondisi ibu dan janin tetap baik [2]. Prinsip ini konsisten dengan semangat Kepkonsil bahwa evaluasi tiga komponen persalinan (power, passenger, passage) harus dilakukan menyeluruh sebelum menegakkan diagnosis distosia, bukan berdasarkan satu titik data dilatasi semata.</w:t>
      </w:r>
    </w:p>
    <w:p>
      <w:pPr>
        <w:pStyle w:val="Heading1"/>
        <w:spacing w:after="200" w:before="200"/>
      </w:pPr>
      <w:r>
        <w:rPr>
          <w:rFonts w:ascii="Source Serif 4" w:cs="Source Serif 4" w:eastAsia="Source Serif 4" w:hAnsi="Source Serif 4"/>
          <w:b/>
          <w:bCs/>
          <w:color w:val="4F46E5"/>
        </w:rPr>
        <w:t xml:space="preserve">Bab III. Distosia dan Penyulit Persalinan</w:t>
      </w:r>
    </w:p>
    <w:tbl>
      <w:tblPr>
        <w:tblW w:type="pct" w:w="100%"/>
        <w:tblBorders>
          <w:top w:val="single" w:color="4F46E5" w:sz="4"/>
          <w:left w:val="single" w:color="4F46E5" w:sz="24"/>
          <w:bottom w:val="single" w:color="4F46E5" w:sz="4"/>
          <w:right w:val="single" w:color="4F46E5" w:sz="4"/>
          <w:insideH w:val="none" w:color="FFFFFF" w:sz="0"/>
          <w:insideV w:val="none" w:color="FFFFFF" w:sz="0"/>
        </w:tblBorders>
      </w:tblPr>
      <w:tblGrid>
        <w:gridCol w:w="100"/>
      </w:tblGrid>
      <w:tr>
        <w:tc>
          <w:tcPr>
            <w:tcW w:type="pct" w:w="100%"/>
            <w:shd w:fill="EEF2FF" w:color="auto" w:val="clear"/>
            <w:tcMar>
              <w:top w:type="dxa" w:w="160"/>
              <w:left w:type="dxa" w:w="220"/>
              <w:bottom w:type="dxa" w:w="160"/>
              <w:right w:type="dxa" w:w="220"/>
            </w:tcMar>
          </w:tcPr>
          <w:p>
            <w:pPr>
              <w:spacing w:after="60"/>
            </w:pPr>
            <w:r>
              <w:rPr>
                <w:rFonts w:ascii="IBM Plex Sans" w:cs="IBM Plex Sans" w:eastAsia="IBM Plex Sans" w:hAnsi="IBM Plex Sans"/>
                <w:b/>
                <w:bCs/>
                <w:color w:val="4F46E5"/>
                <w:sz w:val="20"/>
                <w:szCs w:val="20"/>
              </w:rPr>
              <w:t xml:space="preserve">DASAR REGULASI</w:t>
            </w:r>
          </w:p>
          <w:p>
            <w:pPr>
              <w:spacing w:after="0" w:line="280"/>
            </w:pPr>
            <w:r>
              <w:rPr>
                <w:rFonts w:ascii="IBM Plex Sans" w:cs="IBM Plex Sans" w:eastAsia="IBM Plex Sans" w:hAnsi="IBM Plex Sans"/>
                <w:color w:val="334155"/>
                <w:sz w:val="20"/>
                <w:szCs w:val="20"/>
              </w:rPr>
              <w:t xml:space="preserve">Dasar Tabel 7 Nomor 17, 18, 20, 21, 22, dan 23 — masing-masing: Ruptur perineum derajat I–II (ICD-10 O70.0–O70.1; ICD-11 JB09.0; JB09.1), Ruptur perineum derajat III–IV (ICD-10 O70.2–O70.3; ICD-11 JB09.2; JB09.3), Persalinan macet (ICD-10 O66.9; ICD-11 JB06.0), Persalinan preterm (ICD-10 O60; ICD-11 JB00), Ketuban pecah sebelum persalinan (ICD-10 O42.9; ICD-11 JA89), dan Ketuban pecah pada kehamilan preterm (ICD-10 O42.9; O60; ICD-11 JA89.3) [1].</w:t>
            </w:r>
          </w:p>
        </w:tc>
      </w:tr>
    </w:tbl>
    <w:p>
      <w:pPr>
        <w:spacing w:after="120"/>
      </w:pPr>
    </w:p>
    <w:p>
      <w:pPr>
        <w:pStyle w:val="Heading2"/>
        <w:spacing w:after="140" w:before="240"/>
      </w:pPr>
      <w:r>
        <w:rPr>
          <w:rFonts w:ascii="Source Serif 4" w:cs="Source Serif 4" w:eastAsia="Source Serif 4" w:hAnsi="Source Serif 4"/>
          <w:b/>
          <w:bCs/>
          <w:color w:val="334155"/>
        </w:rPr>
        <w:t xml:space="preserve">3.1 Persalinan Macet (Dystocia)</w:t>
      </w:r>
    </w:p>
    <w:p>
      <w:pPr>
        <w:spacing w:after="160" w:line="300"/>
      </w:pPr>
      <w:r>
        <w:rPr>
          <w:rFonts w:ascii="IBM Plex Sans" w:cs="IBM Plex Sans" w:eastAsia="IBM Plex Sans" w:hAnsi="IBM Plex Sans"/>
          <w:color w:val="334155"/>
          <w:sz w:val="22"/>
          <w:szCs w:val="22"/>
        </w:rPr>
        <w:t xml:space="preserve">Persalinan macet atau distosia (dystocia; ICD-10 O66.9, ICD-11 JB06.0) adalah kemajuan persalinan yang abnormal, baik pada kala I maupun kala II, akibat gangguan pada satu atau lebih dari tiga komponen utama persalinan (the three P's): power (kontraksi uterus tidak adekuat), passenger (janin — ukuran, presentasi, atau posisi abnormal), dan passage (panggul atau jalan lahir lunak yang tidak adekuat).</w:t>
      </w:r>
    </w:p>
    <w:p>
      <w:pPr>
        <w:spacing w:after="160" w:line="300"/>
      </w:pPr>
      <w:r>
        <w:rPr>
          <w:rFonts w:ascii="IBM Plex Sans" w:cs="IBM Plex Sans" w:eastAsia="IBM Plex Sans" w:hAnsi="IBM Plex Sans"/>
          <w:color w:val="334155"/>
          <w:sz w:val="22"/>
          <w:szCs w:val="22"/>
        </w:rPr>
        <w:t xml:space="preserve">Diagnosis distosia ditegakkan melalui evaluasi partograf yang menunjukkan perlambatan (protraction) atau kemacetan (arrest) dilatasi serviks maupun penurunan bagian terendah janin melewati batas waktu yang dianggap normal untuk paritas dan fase persalinan tertentu. Tata laksana mencakup evaluasi ulang tiga komponen P, augmentasi oksitosin apabila power tidak adekuat dan passage/passenger memungkinkan persalinan pervaginam, hingga seksio sesarea apabila terdapat disproporsi sefalopelvik atau kegagalan kemajuan meski augmentasi adekuat telah dilakukan.</w:t>
      </w:r>
    </w:p>
    <w:p>
      <w:pPr>
        <w:spacing w:after="160" w:line="300"/>
      </w:pPr>
      <w:r>
        <w:rPr>
          <w:rFonts w:ascii="IBM Plex Sans" w:cs="IBM Plex Sans" w:eastAsia="IBM Plex Sans" w:hAnsi="IBM Plex Sans"/>
          <w:color w:val="334155"/>
          <w:sz w:val="22"/>
          <w:szCs w:val="22"/>
        </w:rPr>
        <w:t xml:space="preserve">Malposisi (misalnya oksiput posterior persisten) dan malpresentasi (misalnya presentasi dahi atau muka) merupakan penyebab distosia pada komponen passenger yang wajib dikenali melalui pemeriksaan dalam sistematis — palpasi sutura dan ubun-ubun untuk menentukan posisi kepala janin — karena tata laksananya berbeda dari distosia akibat power semata. Rotasi manual atau instrumen dapat dipertimbangkan pada kondisi tertentu oleh operator berpengalaman, sedangkan presentasi muka dengan dagu posterior (mentoposterior persisten) umumnya merupakan indikasi seksio sesarea.</w:t>
      </w:r>
    </w:p>
    <w:p>
      <w:pPr>
        <w:pStyle w:val="Heading2"/>
        <w:spacing w:after="140" w:before="240"/>
      </w:pPr>
      <w:r>
        <w:rPr>
          <w:rFonts w:ascii="Source Serif 4" w:cs="Source Serif 4" w:eastAsia="Source Serif 4" w:hAnsi="Source Serif 4"/>
          <w:b/>
          <w:bCs/>
          <w:color w:val="334155"/>
        </w:rPr>
        <w:t xml:space="preserve">3.2 Persalinan Preterm</w:t>
      </w:r>
    </w:p>
    <w:p>
      <w:pPr>
        <w:spacing w:after="160" w:line="300"/>
      </w:pPr>
      <w:r>
        <w:rPr>
          <w:rFonts w:ascii="IBM Plex Sans" w:cs="IBM Plex Sans" w:eastAsia="IBM Plex Sans" w:hAnsi="IBM Plex Sans"/>
          <w:color w:val="334155"/>
          <w:sz w:val="22"/>
          <w:szCs w:val="22"/>
        </w:rPr>
        <w:t xml:space="preserve">Persalinan preterm (preterm labor; ICD-10 O60, ICD-11 JB00) adalah kontraksi uterus disertai perubahan serviks yang terjadi sebelum usia kehamilan 37 minggu lengkap. Kondisi ini merupakan kontributor utama morbiditas dan mortalitas neonatal, khususnya akibat imaturitas paru, termoregulasi, dan sistem imun bayi.</w:t>
      </w:r>
    </w:p>
    <w:p>
      <w:pPr>
        <w:spacing w:after="160" w:line="300"/>
      </w:pPr>
      <w:r>
        <w:rPr>
          <w:rFonts w:ascii="IBM Plex Sans" w:cs="IBM Plex Sans" w:eastAsia="IBM Plex Sans" w:hAnsi="IBM Plex Sans"/>
          <w:color w:val="334155"/>
          <w:sz w:val="22"/>
          <w:szCs w:val="22"/>
        </w:rPr>
        <w:t xml:space="preserve">Tata laksana persalinan preterm mengacu pada prinsip: identifikasi dan bila memungkinkan eliminasi faktor pencetus (infeksi, overdistensi uterus, insufisiensi serviks), pemberian kortikosteroid antenatal untuk pematangan paru janin pada usia kehamilan yang sesuai, tokolisis jangka pendek untuk memberi waktu kortikosteroid bekerja dan/atau rujukan ke fasilitas dengan neonatal intensive care unit, serta magnesium sulfat untuk neuroproteksi janin pada usia kehamilan sangat preterm sesuai clinical pathway yang berlaku [5].</w:t>
      </w:r>
    </w:p>
    <w:p>
      <w:pPr>
        <w:spacing w:after="160" w:line="300"/>
      </w:pPr>
      <w:r>
        <w:rPr>
          <w:rFonts w:ascii="IBM Plex Sans" w:cs="IBM Plex Sans" w:eastAsia="IBM Plex Sans" w:hAnsi="IBM Plex Sans"/>
          <w:color w:val="334155"/>
          <w:sz w:val="22"/>
          <w:szCs w:val="22"/>
        </w:rPr>
        <w:t xml:space="preserve">Faktor risiko persalinan preterm meliputi riwayat persalinan preterm sebelumnya, kehamilan multipel, serviks pendek pada pemeriksaan ultrasonografi transvaginal, perdarahan antepartum, dan infeksi saluran genital maupun sistemik. Pada populasi berisiko tinggi dengan riwayat persalinan preterm sebelumnya, pemberian progesteron profilaksis dan/atau pemasangan cerclage pada insufisiensi serviks yang terbukti merupakan strategi pencegahan sekunder yang wajib dipertimbangkan sejak trimester kedua, bukan semata reaksi setelah kontraksi preterm muncul [6].</w:t>
      </w:r>
    </w:p>
    <w:p>
      <w:pPr>
        <w:pStyle w:val="Heading2"/>
        <w:spacing w:after="140" w:before="240"/>
      </w:pPr>
      <w:r>
        <w:rPr>
          <w:rFonts w:ascii="Source Serif 4" w:cs="Source Serif 4" w:eastAsia="Source Serif 4" w:hAnsi="Source Serif 4"/>
          <w:b/>
          <w:bCs/>
          <w:color w:val="334155"/>
        </w:rPr>
        <w:t xml:space="preserve">3.3 Ketuban Pecah Dini dan Ketuban Pecah pada Kehamilan Preterm</w:t>
      </w:r>
    </w:p>
    <w:p>
      <w:pPr>
        <w:spacing w:after="160" w:line="300"/>
      </w:pPr>
      <w:r>
        <w:rPr>
          <w:rFonts w:ascii="IBM Plex Sans" w:cs="IBM Plex Sans" w:eastAsia="IBM Plex Sans" w:hAnsi="IBM Plex Sans"/>
          <w:color w:val="334155"/>
          <w:sz w:val="22"/>
          <w:szCs w:val="22"/>
        </w:rPr>
        <w:t xml:space="preserve">Ketuban pecah sebelum persalinan (pre-labor premature rupture of membrane, PROM; ICD-10 O42.9, ICD-11 JA89) adalah pecahnya selaput ketuban sebelum onset kontraksi persalinan pada usia kehamilan aterm. Apabila kejadian ini terjadi sebelum usia kehamilan 37 minggu, kondisi diklasifikasikan sebagai ketuban pecah pada kehamilan preterm (preterm premature rupture of membrane, PPROM; ICD-10 O42.9; O60, ICD-11 JA89.3), yang membawa risiko ganda: infeksi intrauterin (korioamnionitis) di satu sisi, dan morbiditas prematuritas di sisi lain apabila persalinan ditunda.</w:t>
      </w:r>
    </w:p>
    <w:p>
      <w:pPr>
        <w:spacing w:after="160" w:line="300"/>
      </w:pPr>
      <w:r>
        <w:rPr>
          <w:rFonts w:ascii="IBM Plex Sans" w:cs="IBM Plex Sans" w:eastAsia="IBM Plex Sans" w:hAnsi="IBM Plex Sans"/>
          <w:color w:val="334155"/>
          <w:sz w:val="22"/>
          <w:szCs w:val="22"/>
        </w:rPr>
        <w:t xml:space="preserve">Tata laksana PROM aterm umumnya mengarah pada induksi persalinan dalam waktu terbatas untuk membatasi risiko infeksi asendens, sedangkan tata laksana PPROM bersifat individual berdasarkan usia kehamilan, tanda infeksi, dan kesejahteraan janin. Tinjauan sistematis Cochrane atas uji acak terkontrol menunjukkan pemberian antibiotik profilaksis pada PPROM memperpanjang periode laten kehamilan dan menurunkan sejumlah morbiditas neonatal jangka pendek, sehingga menjadi komponen standar tata laksana bersama kortikosteroid antenatal dan pemantauan ketat tanda korioamnionitis (demam, takikardia maternal atau fetal, cairan ketuban berbau, leukositosis) yang menjadi indikasi terminasi kehamilan segera terlepas dari usia gestasi [8].</w:t>
      </w:r>
    </w:p>
    <w:p>
      <w:pPr>
        <w:spacing w:after="160" w:line="300"/>
      </w:pPr>
      <w:r>
        <w:rPr>
          <w:rFonts w:ascii="IBM Plex Sans" w:cs="IBM Plex Sans" w:eastAsia="IBM Plex Sans" w:hAnsi="IBM Plex Sans"/>
          <w:color w:val="334155"/>
          <w:sz w:val="22"/>
          <w:szCs w:val="22"/>
        </w:rPr>
        <w:t xml:space="preserve">Diagnosis PROM/PPROM ditegakkan melalui anamnesis keluarnya cairan pervaginam disertai konfirmasi objektif: inspeksi spekulum menunjukkan pooling cairan ketuban di forniks posterior, uji nitrazine (perubahan warna kertas indikator akibat pH basa cairan ketuban), atau uji ferning (gambaran daun pakis pada pemeriksaan mikroskopis cairan yang mengering). Pemeriksaan dalam digital sebaiknya dihindari atau diminimalkan pada kecurigaan PPROM tanpa tanda persalinan aktif, karena meningkatkan risiko infeksi asendens dan memperpendek periode laten.</w:t>
      </w:r>
    </w:p>
    <w:p>
      <w:pPr>
        <w:pStyle w:val="Heading2"/>
        <w:spacing w:after="140" w:before="240"/>
      </w:pPr>
      <w:r>
        <w:rPr>
          <w:rFonts w:ascii="Source Serif 4" w:cs="Source Serif 4" w:eastAsia="Source Serif 4" w:hAnsi="Source Serif 4"/>
          <w:b/>
          <w:bCs/>
          <w:color w:val="334155"/>
        </w:rPr>
        <w:t xml:space="preserve">3.4 Trauma Jalan Lahir: Ruptur Perineum Derajat I–IV</w:t>
      </w:r>
    </w:p>
    <w:p>
      <w:pPr>
        <w:spacing w:after="160" w:line="300"/>
      </w:pPr>
      <w:r>
        <w:rPr>
          <w:rFonts w:ascii="IBM Plex Sans" w:cs="IBM Plex Sans" w:eastAsia="IBM Plex Sans" w:hAnsi="IBM Plex Sans"/>
          <w:color w:val="334155"/>
          <w:sz w:val="22"/>
          <w:szCs w:val="22"/>
        </w:rPr>
        <w:t xml:space="preserve">Ruptur perineum merupakan komplikasi umum persalinan pervaginam yang diklasifikasikan berdasarkan kedalaman jaringan yang terlibat. Ruptur perineum derajat I–II (ICD-10 O70.0–O70.1, ICD-11 JB09.0; JB09.1) melibatkan mukosa vagina dan/atau otot perineum superfisial tanpa mengenai kompleks sfingter ani, dan umumnya ditata laksana dengan penjahitan lapis demi lapis menggunakan benang yang dapat diserap. Ruptur perineum derajat III–IV (ICD-10 O70.2–O70.3, ICD-11 JB09.2; JB09.3) melibatkan sebagian atau seluruh kompleks sfingter ani eksterna dan interna (derajat III) hingga mukosa rektum (derajat IV), memerlukan teknik repair khusus (overlap atau end-to-end sphincteroplasty) oleh operator yang kompeten guna meminimalkan risiko inkontinensia alvi jangka panjang [4].</w:t>
      </w:r>
    </w:p>
    <w:p>
      <w:pPr>
        <w:spacing w:after="160" w:line="300"/>
      </w:pPr>
      <w:r>
        <w:rPr>
          <w:rFonts w:ascii="IBM Plex Sans" w:cs="IBM Plex Sans" w:eastAsia="IBM Plex Sans" w:hAnsi="IBM Plex Sans"/>
          <w:color w:val="334155"/>
          <w:sz w:val="22"/>
          <w:szCs w:val="22"/>
        </w:rPr>
        <w:t xml:space="preserve">Faktor risiko ruptur derajat berat mencakup persalinan pervaginam operatif (forsep, vakum), makrosomia janin, persalinan kala II memanjang, dan episiotomi medialis. Deteksi akurat derajat ruptur melalui pemeriksaan rektal rutin pascapersalinan menjadi kunci untuk mencegah under-diagnosis, khususnya cedera sfingter tersembunyi (occult sphincter injury).</w:t>
      </w:r>
    </w:p>
    <w:p>
      <w:pPr>
        <w:pStyle w:val="Heading1"/>
        <w:spacing w:after="200" w:before="200"/>
      </w:pPr>
      <w:r>
        <w:rPr>
          <w:rFonts w:ascii="Source Serif 4" w:cs="Source Serif 4" w:eastAsia="Source Serif 4" w:hAnsi="Source Serif 4"/>
          <w:b/>
          <w:bCs/>
          <w:color w:val="4F46E5"/>
        </w:rPr>
        <w:t xml:space="preserve">Bab IV. Masa Nifas Normal dan Komplikasi</w:t>
      </w:r>
    </w:p>
    <w:tbl>
      <w:tblPr>
        <w:tblW w:type="pct" w:w="100%"/>
        <w:tblBorders>
          <w:top w:val="single" w:color="4F46E5" w:sz="4"/>
          <w:left w:val="single" w:color="4F46E5" w:sz="24"/>
          <w:bottom w:val="single" w:color="4F46E5" w:sz="4"/>
          <w:right w:val="single" w:color="4F46E5" w:sz="4"/>
          <w:insideH w:val="none" w:color="FFFFFF" w:sz="0"/>
          <w:insideV w:val="none" w:color="FFFFFF" w:sz="0"/>
        </w:tblBorders>
      </w:tblPr>
      <w:tblGrid>
        <w:gridCol w:w="100"/>
      </w:tblGrid>
      <w:tr>
        <w:tc>
          <w:tcPr>
            <w:tcW w:type="pct" w:w="100%"/>
            <w:shd w:fill="EEF2FF" w:color="auto" w:val="clear"/>
            <w:tcMar>
              <w:top w:type="dxa" w:w="160"/>
              <w:left w:type="dxa" w:w="220"/>
              <w:bottom w:type="dxa" w:w="160"/>
              <w:right w:type="dxa" w:w="220"/>
            </w:tcMar>
          </w:tcPr>
          <w:p>
            <w:pPr>
              <w:spacing w:after="60"/>
            </w:pPr>
            <w:r>
              <w:rPr>
                <w:rFonts w:ascii="IBM Plex Sans" w:cs="IBM Plex Sans" w:eastAsia="IBM Plex Sans" w:hAnsi="IBM Plex Sans"/>
                <w:b/>
                <w:bCs/>
                <w:color w:val="4F46E5"/>
                <w:sz w:val="20"/>
                <w:szCs w:val="20"/>
              </w:rPr>
              <w:t xml:space="preserve">DASAR REGULASI</w:t>
            </w:r>
          </w:p>
          <w:p>
            <w:pPr>
              <w:spacing w:after="0" w:line="280"/>
            </w:pPr>
            <w:r>
              <w:rPr>
                <w:rFonts w:ascii="IBM Plex Sans" w:cs="IBM Plex Sans" w:eastAsia="IBM Plex Sans" w:hAnsi="IBM Plex Sans"/>
                <w:color w:val="334155"/>
                <w:sz w:val="20"/>
                <w:szCs w:val="20"/>
              </w:rPr>
              <w:t xml:space="preserve">Dasar Tabel 7 Nomor 38 dan 39 — Nifas (ICD-10 Z39.2; ICD-11 QA48) dan Infeksi dan demam saat nifas (ICD-10 O85; O86.4; ICD-11 JB40) [1].</w:t>
            </w:r>
          </w:p>
        </w:tc>
      </w:tr>
    </w:tbl>
    <w:p>
      <w:pPr>
        <w:spacing w:after="120"/>
      </w:pPr>
    </w:p>
    <w:p>
      <w:pPr>
        <w:pStyle w:val="Heading2"/>
        <w:spacing w:after="140" w:before="240"/>
      </w:pPr>
      <w:r>
        <w:rPr>
          <w:rFonts w:ascii="Source Serif 4" w:cs="Source Serif 4" w:eastAsia="Source Serif 4" w:hAnsi="Source Serif 4"/>
          <w:b/>
          <w:bCs/>
          <w:color w:val="334155"/>
        </w:rPr>
        <w:t xml:space="preserve">4.1 Fisiologi Masa Nifas Normal</w:t>
      </w:r>
    </w:p>
    <w:p>
      <w:pPr>
        <w:spacing w:after="160" w:line="300"/>
      </w:pPr>
      <w:r>
        <w:rPr>
          <w:rFonts w:ascii="IBM Plex Sans" w:cs="IBM Plex Sans" w:eastAsia="IBM Plex Sans" w:hAnsi="IBM Plex Sans"/>
          <w:color w:val="334155"/>
          <w:sz w:val="22"/>
          <w:szCs w:val="22"/>
        </w:rPr>
        <w:t xml:space="preserve">Masa nifas (puerperium; ICD-10 Z39.2, ICD-11 QA48) adalah periode enam minggu pascapersalinan ketika organ reproduksi dan sistem fisiologis maternal secara bertahap kembali ke kondisi sebelum hamil (involution). Involusi uterus, penyembuhan luka jalan lahir atau insisi seksio sesarea, perubahan hormonal drastis (penurunan tajam estrogen dan progesteron), serta inisiasi laktasi berlangsung dalam periode ini dan memerlukan pemantauan terstruktur.</w:t>
      </w:r>
    </w:p>
    <w:p>
      <w:pPr>
        <w:spacing w:after="160" w:line="300"/>
      </w:pPr>
      <w:r>
        <w:rPr>
          <w:rFonts w:ascii="IBM Plex Sans" w:cs="IBM Plex Sans" w:eastAsia="IBM Plex Sans" w:hAnsi="IBM Plex Sans"/>
          <w:color w:val="334155"/>
          <w:sz w:val="22"/>
          <w:szCs w:val="22"/>
        </w:rPr>
        <w:t xml:space="preserve">Kunjungan nifas standar mencakup pemeriksaan pada 6–48 jam pascapersalinan, 3–14 hari, dan 6 minggu pascapersalinan, dengan fokus pada tinggi fundus uteri dan kontraksi, karakter lokia, tanda infeksi, penyembuhan luka perineum atau insisi, tekanan darah (khususnya pada riwayat hipertensi kehamilan), status laktasi, serta kesehatan mental maternal (skrining depresi pascapersalinan) [2].</w:t>
      </w:r>
    </w:p>
    <w:p>
      <w:pPr>
        <w:spacing w:after="160" w:line="300"/>
      </w:pPr>
      <w:r>
        <w:rPr>
          <w:rFonts w:ascii="IBM Plex Sans" w:cs="IBM Plex Sans" w:eastAsia="IBM Plex Sans" w:hAnsi="IBM Plex Sans"/>
          <w:color w:val="334155"/>
          <w:sz w:val="22"/>
          <w:szCs w:val="22"/>
        </w:rPr>
        <w:t xml:space="preserve">Karakter lokia berubah bertahap dan dapat menjadi penanda dini komplikasi apabila polanya menyimpang: lokia rubra (merah, hari 1–3) yang menetap lebih lama atau kembali muncul setelah sempat berubah ke lokia serosa (hari 4–10) maupun lokia alba (setelah hari ke-10) patut dicurigai sebagai tanda subinvolusi uterus atau sisa jaringan plasenta. Involusi uterus normal berlangsung dengan penurunan tinggi fundus kurang lebih satu jari per hari, sehingga tinggi fundus yang menetap atau nyeri tekan uterus persisten memerlukan evaluasi lebih lanjut.</w:t>
      </w:r>
    </w:p>
    <w:p>
      <w:pPr>
        <w:pStyle w:val="Heading2"/>
        <w:spacing w:after="140" w:before="240"/>
      </w:pPr>
      <w:r>
        <w:rPr>
          <w:rFonts w:ascii="Source Serif 4" w:cs="Source Serif 4" w:eastAsia="Source Serif 4" w:hAnsi="Source Serif 4"/>
          <w:b/>
          <w:bCs/>
          <w:color w:val="334155"/>
        </w:rPr>
        <w:t xml:space="preserve">4.2 Infeksi dan Demam Nifas</w:t>
      </w:r>
    </w:p>
    <w:p>
      <w:pPr>
        <w:spacing w:after="160" w:line="300"/>
      </w:pPr>
      <w:r>
        <w:rPr>
          <w:rFonts w:ascii="IBM Plex Sans" w:cs="IBM Plex Sans" w:eastAsia="IBM Plex Sans" w:hAnsi="IBM Plex Sans"/>
          <w:color w:val="334155"/>
          <w:sz w:val="22"/>
          <w:szCs w:val="22"/>
        </w:rPr>
        <w:t xml:space="preserve">Infeksi dan demam saat nifas (puerperal fever and infection; ICD-10 O85; O86.4, ICD-11 JB40) didefinisikan secara klasik sebagai suhu tubuh ≥38°C yang terjadi pada dua hari berturut-turut dalam sepuluh hari pertama pascapersalinan, tidak termasuk 24 jam pertama. Sumber infeksi tersering adalah endometritis, diikuti infeksi luka perineum atau insisi seksio sesarea, infeksi saluran kemih, mastitis, dan tromboflebitis pelvis septik.</w:t>
      </w:r>
    </w:p>
    <w:p>
      <w:pPr>
        <w:spacing w:after="160" w:line="300"/>
      </w:pPr>
      <w:r>
        <w:rPr>
          <w:rFonts w:ascii="IBM Plex Sans" w:cs="IBM Plex Sans" w:eastAsia="IBM Plex Sans" w:hAnsi="IBM Plex Sans"/>
          <w:color w:val="334155"/>
          <w:sz w:val="22"/>
          <w:szCs w:val="22"/>
        </w:rPr>
        <w:t xml:space="preserve">Endometritis puerperalis ditandai nyeri tekan uterus, lokia berbau, dan demam, dengan faktor risiko utama persalinan seksio sesarea, ketuban pecah lama, dan pemeriksaan dalam berulang. Tata laksana mengikuti prinsip pemberian antibiotik spektrum luas empiris segera setelah kultur diambil, tanpa menunggu hasil, mengingat progresivitas cepat menuju sepsis puerperalis apabila terlambat ditangani — salah satu penyumbang mortalitas maternal yang dapat dicegah.</w:t>
      </w:r>
    </w:p>
    <w:p>
      <w:pPr>
        <w:spacing w:after="160" w:line="300"/>
      </w:pPr>
      <w:r>
        <w:rPr>
          <w:rFonts w:ascii="IBM Plex Sans" w:cs="IBM Plex Sans" w:eastAsia="IBM Plex Sans" w:hAnsi="IBM Plex Sans"/>
          <w:color w:val="334155"/>
          <w:sz w:val="22"/>
          <w:szCs w:val="22"/>
        </w:rPr>
        <w:t xml:space="preserve">Diagnosis banding demam nifas tidak boleh berhenti pada endometritis semata: infeksi luka operasi (surgical site infection) pada insisi seksio sesarea, infeksi saluran kemih (khususnya pasca-kateterisasi), mastitis, dan tromboflebitis pelvis septik — diagnosis eksklusi ketika demam menetap meski antibiotik spektrum luas adekuat telah diberikan dan sumber lain telah disingkirkan — wajib dipertimbangkan secara sistematis melalui anamnesis terarah, pemeriksaan fisik lengkap, dan pemeriksaan penunjang sesuai kecurigaan klinis.</w:t>
      </w:r>
    </w:p>
    <w:p>
      <w:pPr>
        <w:pStyle w:val="Heading2"/>
        <w:spacing w:after="140" w:before="240"/>
      </w:pPr>
      <w:r>
        <w:rPr>
          <w:rFonts w:ascii="Source Serif 4" w:cs="Source Serif 4" w:eastAsia="Source Serif 4" w:hAnsi="Source Serif 4"/>
          <w:b/>
          <w:bCs/>
          <w:color w:val="334155"/>
        </w:rPr>
        <w:t xml:space="preserve">4.3 Deteksi Dini Komplikasi Nifas Lain</w:t>
      </w:r>
    </w:p>
    <w:p>
      <w:pPr>
        <w:spacing w:after="160" w:line="300"/>
      </w:pPr>
      <w:r>
        <w:rPr>
          <w:rFonts w:ascii="IBM Plex Sans" w:cs="IBM Plex Sans" w:eastAsia="IBM Plex Sans" w:hAnsi="IBM Plex Sans"/>
          <w:color w:val="334155"/>
          <w:sz w:val="22"/>
          <w:szCs w:val="22"/>
        </w:rPr>
        <w:t xml:space="preserve">Selain infeksi, komplikasi nifas yang wajib dikenali dini meliputi perdarahan pascapersalinan sekunder (terjadi setelah 24 jam hingga 12 minggu pascapersalinan, umumnya akibat sisa jaringan plasenta atau subinvolusi uterus), tromboemboli vena (risiko meningkat akibat status hiperkoagulasi fisiologis nifas), serta gangguan psikiatri pascapersalinan (postpartum blues, depresi pascapersalinan, hingga psikosis pascapersalinan) yang memerlukan skrining rutin menggunakan instrumen tervalidasi.</w:t>
      </w:r>
    </w:p>
    <w:p>
      <w:pPr>
        <w:spacing w:after="160" w:line="300"/>
      </w:pPr>
      <w:r>
        <w:rPr>
          <w:rFonts w:ascii="IBM Plex Sans" w:cs="IBM Plex Sans" w:eastAsia="IBM Plex Sans" w:hAnsi="IBM Plex Sans"/>
          <w:color w:val="334155"/>
          <w:sz w:val="22"/>
          <w:szCs w:val="22"/>
        </w:rPr>
        <w:t xml:space="preserve">[DATA: rujuk laporan/registri resmi terbaru — mis. Kemenkes, BKKBN, POGI, WHO] untuk data prevalensi infeksi nifas dan mortalitas maternal periode puerperium di Indonesia; angka nasional terkini wajib ditelusuri dari sumber resmi tersebut, bukan dikutip dari perkiraan.</w:t>
      </w:r>
    </w:p>
    <w:p>
      <w:pPr>
        <w:pStyle w:val="Heading2"/>
        <w:spacing w:after="140" w:before="240"/>
      </w:pPr>
      <w:r>
        <w:rPr>
          <w:rFonts w:ascii="Source Serif 4" w:cs="Source Serif 4" w:eastAsia="Source Serif 4" w:hAnsi="Source Serif 4"/>
          <w:b/>
          <w:bCs/>
          <w:color w:val="334155"/>
        </w:rPr>
        <w:t xml:space="preserve">4.4 Pencegahan dan Edukasi Kepulangan</w:t>
      </w:r>
    </w:p>
    <w:p>
      <w:pPr>
        <w:spacing w:after="160" w:line="300"/>
      </w:pPr>
      <w:r>
        <w:rPr>
          <w:rFonts w:ascii="IBM Plex Sans" w:cs="IBM Plex Sans" w:eastAsia="IBM Plex Sans" w:hAnsi="IBM Plex Sans"/>
          <w:color w:val="334155"/>
          <w:sz w:val="22"/>
          <w:szCs w:val="22"/>
        </w:rPr>
        <w:t xml:space="preserve">Pencegahan komplikasi nifas dimulai sejak persalinan berlangsung — teknik aseptik pada tindakan pervaginam maupun seksio sesarea, pembatasan pemeriksaan dalam yang tidak perlu, serta profilaksis antibiotik sesuai indikasi pada seksio sesarea — dan berlanjut melalui edukasi kepulangan yang terstruktur. Setiap pasien nifas sebaiknya menerima informasi tertulis maupun lisan mengenai tanda bahaya yang mengharuskan kembali ke fasilitas kesehatan segera: demam, perdarahan banyak atau berbau, nyeri kepala hebat atau gangguan penglihatan, nyeri betis unilateral, serta perubahan suasana hati yang mengganggu fungsi sehari-hari.</w:t>
      </w:r>
    </w:p>
    <w:p>
      <w:pPr>
        <w:spacing w:after="160" w:line="300"/>
      </w:pPr>
      <w:r>
        <w:rPr>
          <w:rFonts w:ascii="IBM Plex Sans" w:cs="IBM Plex Sans" w:eastAsia="IBM Plex Sans" w:hAnsi="IBM Plex Sans"/>
          <w:color w:val="334155"/>
          <w:sz w:val="22"/>
          <w:szCs w:val="22"/>
        </w:rPr>
        <w:t xml:space="preserve">Keterlibatan keluarga dalam edukasi kepulangan turut menentukan keberhasilan deteksi dini komplikasi di rumah, mengingat sebagian besar kunjungan nifas terjadwal terjadi pada interval beberapa hari hingga minggu, sehingga pengenalan tanda bahaya oleh pasien dan pendampingnya menjadi lini pertama sebelum kunjungan terjadwal berikutnya.</w:t>
      </w:r>
    </w:p>
    <w:p>
      <w:pPr>
        <w:pStyle w:val="Heading1"/>
        <w:spacing w:after="200" w:before="200"/>
      </w:pPr>
      <w:r>
        <w:rPr>
          <w:rFonts w:ascii="Source Serif 4" w:cs="Source Serif 4" w:eastAsia="Source Serif 4" w:hAnsi="Source Serif 4"/>
          <w:b/>
          <w:bCs/>
          <w:color w:val="4F46E5"/>
        </w:rPr>
        <w:t xml:space="preserve">Bab V. Laktasi dan Menyusui</w:t>
      </w:r>
    </w:p>
    <w:tbl>
      <w:tblPr>
        <w:tblW w:type="pct" w:w="100%"/>
        <w:tblBorders>
          <w:top w:val="single" w:color="4F46E5" w:sz="4"/>
          <w:left w:val="single" w:color="4F46E5" w:sz="24"/>
          <w:bottom w:val="single" w:color="4F46E5" w:sz="4"/>
          <w:right w:val="single" w:color="4F46E5" w:sz="4"/>
          <w:insideH w:val="none" w:color="FFFFFF" w:sz="0"/>
          <w:insideV w:val="none" w:color="FFFFFF" w:sz="0"/>
        </w:tblBorders>
      </w:tblPr>
      <w:tblGrid>
        <w:gridCol w:w="100"/>
      </w:tblGrid>
      <w:tr>
        <w:tc>
          <w:tcPr>
            <w:tcW w:type="pct" w:w="100%"/>
            <w:shd w:fill="EEF2FF" w:color="auto" w:val="clear"/>
            <w:tcMar>
              <w:top w:type="dxa" w:w="160"/>
              <w:left w:type="dxa" w:w="220"/>
              <w:bottom w:type="dxa" w:w="160"/>
              <w:right w:type="dxa" w:w="220"/>
            </w:tcMar>
          </w:tcPr>
          <w:p>
            <w:pPr>
              <w:spacing w:after="60"/>
            </w:pPr>
            <w:r>
              <w:rPr>
                <w:rFonts w:ascii="IBM Plex Sans" w:cs="IBM Plex Sans" w:eastAsia="IBM Plex Sans" w:hAnsi="IBM Plex Sans"/>
                <w:b/>
                <w:bCs/>
                <w:color w:val="4F46E5"/>
                <w:sz w:val="20"/>
                <w:szCs w:val="20"/>
              </w:rPr>
              <w:t xml:space="preserve">DASAR REGULASI</w:t>
            </w:r>
          </w:p>
          <w:p>
            <w:pPr>
              <w:spacing w:after="0" w:line="280"/>
            </w:pPr>
            <w:r>
              <w:rPr>
                <w:rFonts w:ascii="IBM Plex Sans" w:cs="IBM Plex Sans" w:eastAsia="IBM Plex Sans" w:hAnsi="IBM Plex Sans"/>
                <w:color w:val="334155"/>
                <w:sz w:val="20"/>
                <w:szCs w:val="20"/>
              </w:rPr>
              <w:t xml:space="preserve">Dasar Tabel 7 Nomor 40 — Masalah menyusui (ICD-10 O92.7; ICD-11 QA48.1; JB46) [1], diperkaya standar internasional WHO/UNICEF Ten Steps to Successful Breastfeeding [3].</w:t>
            </w:r>
          </w:p>
        </w:tc>
      </w:tr>
    </w:tbl>
    <w:p>
      <w:pPr>
        <w:spacing w:after="120"/>
      </w:pPr>
    </w:p>
    <w:p>
      <w:pPr>
        <w:pStyle w:val="Heading2"/>
        <w:spacing w:after="140" w:before="240"/>
      </w:pPr>
      <w:r>
        <w:rPr>
          <w:rFonts w:ascii="Source Serif 4" w:cs="Source Serif 4" w:eastAsia="Source Serif 4" w:hAnsi="Source Serif 4"/>
          <w:b/>
          <w:bCs/>
          <w:color w:val="334155"/>
        </w:rPr>
        <w:t xml:space="preserve">5.1 Fisiologi Laktasi</w:t>
      </w:r>
    </w:p>
    <w:p>
      <w:pPr>
        <w:spacing w:after="160" w:line="300"/>
      </w:pPr>
      <w:r>
        <w:rPr>
          <w:rFonts w:ascii="IBM Plex Sans" w:cs="IBM Plex Sans" w:eastAsia="IBM Plex Sans" w:hAnsi="IBM Plex Sans"/>
          <w:color w:val="334155"/>
          <w:sz w:val="22"/>
          <w:szCs w:val="22"/>
        </w:rPr>
        <w:t xml:space="preserve">Laktogenesis berlangsung dalam dua tahap: laktogenesis I (dimulai pertengahan kehamilan, kelenjar mamae mampu mensekresi kolostrum) dan laktogenesis II (dipicu penurunan tajam progesteron pascapersalinan bersamaan dengan tingginya prolaktin, terjadi 30–72 jam pascapersalinan, ditandai produksi air susu ibu (ASI) dalam volume besar — sering dikenal awam sebagai 'ASI turun'). Produksi ASI selanjutnya bersifat supply-demand melalui refleks prolaktin (produksi) dan refleks oksitosin/let-down (pengeluaran), yang dirangsang oleh isapan bayi secara berulang dan efektif.</w:t>
      </w:r>
    </w:p>
    <w:p>
      <w:pPr>
        <w:spacing w:after="160" w:line="300"/>
      </w:pPr>
      <w:r>
        <w:rPr>
          <w:rFonts w:ascii="IBM Plex Sans" w:cs="IBM Plex Sans" w:eastAsia="IBM Plex Sans" w:hAnsi="IBM Plex Sans"/>
          <w:color w:val="334155"/>
          <w:sz w:val="22"/>
          <w:szCs w:val="22"/>
        </w:rPr>
        <w:t xml:space="preserve">Inisiasi Menyusu Dini (IMD) — kontak kulit-ke-kulit segera setelah lahir dengan kesempatan bayi mencari payudara sendiri dalam satu jam pertama — terbukti meningkatkan keberhasilan laktogenesis II, memperpanjang durasi menyusui eksklusif, dan menstabilkan termoregulasi serta kadar glukosa neonatus.</w:t>
      </w:r>
    </w:p>
    <w:p>
      <w:pPr>
        <w:spacing w:after="160" w:line="300"/>
      </w:pPr>
      <w:r>
        <w:rPr>
          <w:rFonts w:ascii="IBM Plex Sans" w:cs="IBM Plex Sans" w:eastAsia="IBM Plex Sans" w:hAnsi="IBM Plex Sans"/>
          <w:color w:val="334155"/>
          <w:sz w:val="22"/>
          <w:szCs w:val="22"/>
        </w:rPr>
        <w:t xml:space="preserve">Komposisi ASI berubah dinamis mengikuti kebutuhan bayi: kolostrum (hari 1–5) kaya imunoglobulin dan faktor imun namun bervolume kecil, ASI transisi (hari 5–14) dengan peningkatan volume dan kadar laktosa serta lemak, dan ASI matur (setelah dua minggu) dengan komposisi relatif stabil yang tetap menyesuaikan diri terhadap usia dan kebutuhan bayi sepanjang periode menyusui. Pemahaman dinamika ini penting untuk mengedukasi ibu bahwa volume kolostrum yang tampak sedikit pada hari-hari pertama adalah normal dan sesuai kapasitas lambung neonatus yang masih sangat kecil.</w:t>
      </w:r>
    </w:p>
    <w:p>
      <w:pPr>
        <w:pStyle w:val="Heading2"/>
        <w:spacing w:after="140" w:before="240"/>
      </w:pPr>
      <w:r>
        <w:rPr>
          <w:rFonts w:ascii="Source Serif 4" w:cs="Source Serif 4" w:eastAsia="Source Serif 4" w:hAnsi="Source Serif 4"/>
          <w:b/>
          <w:bCs/>
          <w:color w:val="334155"/>
        </w:rPr>
        <w:t xml:space="preserve">5.2 Masalah Menyusui</w:t>
      </w:r>
    </w:p>
    <w:p>
      <w:pPr>
        <w:spacing w:after="160" w:line="300"/>
      </w:pPr>
      <w:r>
        <w:rPr>
          <w:rFonts w:ascii="IBM Plex Sans" w:cs="IBM Plex Sans" w:eastAsia="IBM Plex Sans" w:hAnsi="IBM Plex Sans"/>
          <w:color w:val="334155"/>
          <w:sz w:val="22"/>
          <w:szCs w:val="22"/>
        </w:rPr>
        <w:t xml:space="preserve">Masalah menyusui (breast-feeding problem; ICD-10 O92.7, ICD-11 QA48.1; JB46) mencakup spektrum luas mulai dari perlekatan (latch) yang tidak efektif, puting lecet atau nyeri, bendungan ASI (engorgement), mastitis, hingga persepsi maternal tentang produksi ASI yang tidak mencukupi (perceived insufficient milk) — yang pada kenyataannya sering kali bukan insufisiensi sesungguhnya, melainkan kesalahpahaman tentang pola menyusu bayi yang normal.</w:t>
      </w:r>
    </w:p>
    <w:p>
      <w:pPr>
        <w:spacing w:after="160" w:line="300"/>
      </w:pPr>
      <w:r>
        <w:rPr>
          <w:rFonts w:ascii="IBM Plex Sans" w:cs="IBM Plex Sans" w:eastAsia="IBM Plex Sans" w:hAnsi="IBM Plex Sans"/>
          <w:color w:val="334155"/>
          <w:sz w:val="22"/>
          <w:szCs w:val="22"/>
        </w:rPr>
        <w:t xml:space="preserve">Bendungan ASI ditata laksana dengan menyusui lebih sering, kompres hangat sebelum menyusui, kompres dingin setelahnya, dan perbaikan teknik pelekatan. Mastitis — inflamasi jaringan payudara, dengan atau tanpa infeksi bakteri — ditandai area kemerahan, nyeri, dan demam; tata laksana meliputi kelanjutan menyusui atau pengosongan payudara secara efektif (bukan penghentian menyusui), analgesik, dan antibiotik apabila terdapat tanda infeksi bakteri atau gejala tidak membaik dalam 12–24 jam.</w:t>
      </w:r>
    </w:p>
    <w:p>
      <w:pPr>
        <w:spacing w:after="160" w:line="300"/>
      </w:pPr>
      <w:r>
        <w:rPr>
          <w:rFonts w:ascii="IBM Plex Sans" w:cs="IBM Plex Sans" w:eastAsia="IBM Plex Sans" w:hAnsi="IBM Plex Sans"/>
          <w:color w:val="334155"/>
          <w:sz w:val="22"/>
          <w:szCs w:val="22"/>
        </w:rPr>
        <w:t xml:space="preserve">Puting lecet umumnya bersumber dari perlekatan yang tidak adekuat, sehingga koreksi posisi dan perlekatan — memastikan mulut bayi mencakup sebagian besar areola, bukan hanya puting — merupakan tata laksana lini pertama, bukan penghentian sementara menyusui pada payudara yang terkena. Evaluasi frenulum lingual pendek (ankyloglossia) pada bayi juga perlu dipertimbangkan pada kasus nyeri menyusui persisten meski teknik pelekatan telah dikoreksi, karena dapat membatasi kemampuan bayi menghisap secara efektif.</w:t>
      </w:r>
    </w:p>
    <w:p>
      <w:pPr>
        <w:pStyle w:val="Heading2"/>
        <w:spacing w:after="140" w:before="240"/>
      </w:pPr>
      <w:r>
        <w:rPr>
          <w:rFonts w:ascii="Source Serif 4" w:cs="Source Serif 4" w:eastAsia="Source Serif 4" w:hAnsi="Source Serif 4"/>
          <w:b/>
          <w:bCs/>
          <w:color w:val="334155"/>
        </w:rPr>
        <w:t xml:space="preserve">5.3 Perbandingan dan Pengayaan Standar Internasional</w:t>
      </w:r>
    </w:p>
    <w:p>
      <w:pPr>
        <w:spacing w:after="160" w:line="300"/>
      </w:pPr>
      <w:r>
        <w:rPr>
          <w:rFonts w:ascii="IBM Plex Sans" w:cs="IBM Plex Sans" w:eastAsia="IBM Plex Sans" w:hAnsi="IBM Plex Sans"/>
          <w:color w:val="334155"/>
          <w:sz w:val="22"/>
          <w:szCs w:val="22"/>
        </w:rPr>
        <w:t xml:space="preserve">Standar nasional (Kepkonsil) menetapkan kompetensi diagnosis dan tata laksana masalah menyusui sebagai kompetensi wajib dokter spesialis obstetri dan ginekologi tanpa merinci protokol dukungan laktasi berjenjang; standar internasional WHO/UNICEF Ten Steps to Successful Breastfeeding merekomendasikan kerangka kerja fasilitas kesehatan sepuluh langkah — mencakup kebijakan tertulis, pelatihan tenaga kesehatan, IMD, menyusui eksklusif tanpa cairan/makanan tambahan kecuali indikasi medis, rooming-in 24 jam, menyusui sesuai permintaan bayi (on-demand), tanpa dot atau empeng buatan pada periode pembentukan pola menyusui, serta dukungan berkelanjutan pascapulang — untuk konteks fasilitas yang ingin memperoleh sertifikasi Rumah Sakit Sayang Bayi; praktik di Indonesia mengikuti standar nasional sebagai acuan kompetensi minimal, dengan kerangka WHO/UNICEF sebagai pengayaan operasional di tingkat fasilitas [3].</w:t>
      </w:r>
    </w:p>
    <w:p>
      <w:pPr>
        <w:spacing w:after="160" w:line="300"/>
      </w:pPr>
      <w:r>
        <w:rPr>
          <w:rFonts w:ascii="IBM Plex Sans" w:cs="IBM Plex Sans" w:eastAsia="IBM Plex Sans" w:hAnsi="IBM Plex Sans"/>
          <w:color w:val="334155"/>
          <w:sz w:val="22"/>
          <w:szCs w:val="22"/>
        </w:rPr>
        <w:t xml:space="preserve">Sumber kedua, ICM Essential Competencies for Midwifery Practice, menempatkan dukungan laktasi sebagai kompetensi inti tenaga kesehatan yang mendampingi ibu pascapersalinan, sejalan dengan penekanan Kepkonsil bahwa dokter spesialis obstetri dan ginekologi wajib mampu mengenali dan menata laksana masalah menyusui, bukan semata merujuk ke konselor laktasi tanpa evaluasi klinis awal [7].</w:t>
      </w:r>
    </w:p>
    <w:p>
      <w:pPr>
        <w:pStyle w:val="Heading1"/>
        <w:spacing w:after="200" w:before="200"/>
      </w:pPr>
      <w:r>
        <w:rPr>
          <w:rFonts w:ascii="Source Serif 4" w:cs="Source Serif 4" w:eastAsia="Source Serif 4" w:hAnsi="Source Serif 4"/>
          <w:b/>
          <w:bCs/>
          <w:color w:val="4F46E5"/>
        </w:rPr>
        <w:t xml:space="preserve">Bab VI. Perbandingan Standar Internasional</w:t>
      </w:r>
    </w:p>
    <w:p>
      <w:pPr>
        <w:pStyle w:val="Heading2"/>
        <w:spacing w:after="140" w:before="240"/>
      </w:pPr>
      <w:r>
        <w:rPr>
          <w:rFonts w:ascii="Source Serif 4" w:cs="Source Serif 4" w:eastAsia="Source Serif 4" w:hAnsi="Source Serif 4"/>
          <w:b/>
          <w:bCs/>
          <w:color w:val="334155"/>
        </w:rPr>
        <w:t xml:space="preserve">6.1 WHO Recommendations on Intrapartum Care</w:t>
      </w:r>
    </w:p>
    <w:p>
      <w:pPr>
        <w:spacing w:after="160" w:line="300"/>
      </w:pPr>
      <w:r>
        <w:rPr>
          <w:rFonts w:ascii="IBM Plex Sans" w:cs="IBM Plex Sans" w:eastAsia="IBM Plex Sans" w:hAnsi="IBM Plex Sans"/>
          <w:color w:val="334155"/>
          <w:sz w:val="22"/>
          <w:szCs w:val="22"/>
        </w:rPr>
        <w:t xml:space="preserve">Standar nasional (Kepkonsil) menetapkan partograf dan evaluasi tiga komponen (power, passenger, passage) sebagai dasar deteksi distosia; standar internasional WHO Recommendations on Intrapartum Care for a Positive Childbirth Experience merekomendasikan penggunaan garis waspada tunggal pada partograf WHO tahun 2018 (menggantikan garis waspada-bertindak ganda versi sebelumnya) serta penekanan pada laju dilatasi serviks yang lebih lambat dari 1 cm/jam sebagai ambang normal minimal, bukan otomatis abnormal, untuk konteks menghindari intervensi dini yang tidak perlu; praktik di Indonesia mengikuti standar nasional sebagai acuan kompetensi, dengan pembaruan partograf WHO sebagai referensi teknis yang dapat diadopsi institusi pendidikan [2].</w:t>
      </w:r>
    </w:p>
    <w:p>
      <w:pPr>
        <w:pStyle w:val="Heading2"/>
        <w:spacing w:after="140" w:before="240"/>
      </w:pPr>
      <w:r>
        <w:rPr>
          <w:rFonts w:ascii="Source Serif 4" w:cs="Source Serif 4" w:eastAsia="Source Serif 4" w:hAnsi="Source Serif 4"/>
          <w:b/>
          <w:bCs/>
          <w:color w:val="334155"/>
        </w:rPr>
        <w:t xml:space="preserve">6.2 ICM Essential Competencies for Midwifery Practice</w:t>
      </w:r>
    </w:p>
    <w:p>
      <w:pPr>
        <w:spacing w:after="160" w:line="300"/>
      </w:pPr>
      <w:r>
        <w:rPr>
          <w:rFonts w:ascii="IBM Plex Sans" w:cs="IBM Plex Sans" w:eastAsia="IBM Plex Sans" w:hAnsi="IBM Plex Sans"/>
          <w:color w:val="334155"/>
          <w:sz w:val="22"/>
          <w:szCs w:val="22"/>
        </w:rPr>
        <w:t xml:space="preserve">Standar nasional (Kepkonsil) memosisikan dokter spesialis obstetri dan ginekologi sebagai penanggung jawab tata laksana penyulit persalinan dan nifas; standar internasional ICM Essential Competencies for Midwifery Practice (revisi 2024) menekankan model asuhan kolaboratif berjenjang antara bidan sebagai penyedia asuhan persalinan normal berisiko rendah dan dokter spesialis sebagai rujukan penyulit, untuk konteks sistem kesehatan dengan pembagian peran tenaga kesehatan yang jelas; praktik di Indonesia mengikuti standar nasional mengenai kompetensi minimal dokter spesialis, dengan kerangka kolaborasi ICM relevan sebagai acuan sistem rujukan berjenjang fasilitas pelayanan kesehatan [7].</w:t>
      </w:r>
    </w:p>
    <w:p>
      <w:pPr>
        <w:pStyle w:val="Heading2"/>
        <w:spacing w:after="140" w:before="240"/>
      </w:pPr>
      <w:r>
        <w:rPr>
          <w:rFonts w:ascii="Source Serif 4" w:cs="Source Serif 4" w:eastAsia="Source Serif 4" w:hAnsi="Source Serif 4"/>
          <w:b/>
          <w:bCs/>
          <w:color w:val="334155"/>
        </w:rPr>
        <w:t xml:space="preserve">6.3 ACOG dan RCOG — Persalinan Preterm dan Trauma Jalan Lahir</w:t>
      </w:r>
    </w:p>
    <w:p>
      <w:pPr>
        <w:spacing w:after="160" w:line="300"/>
      </w:pPr>
      <w:r>
        <w:rPr>
          <w:rFonts w:ascii="IBM Plex Sans" w:cs="IBM Plex Sans" w:eastAsia="IBM Plex Sans" w:hAnsi="IBM Plex Sans"/>
          <w:color w:val="334155"/>
          <w:sz w:val="22"/>
          <w:szCs w:val="22"/>
        </w:rPr>
        <w:t xml:space="preserve">Standar nasional (Kepkonsil) menetapkan tata laksana persalinan preterm mencakup kortikosteroid antenatal, tokolisis, dan magnesium sulfat sebagai kompetensi wajib tanpa merinci ambang usia kehamilan spesifik per intervensi; ACOG Practice Bulletin No. 171 tentang Management of Preterm Labor merekomendasikan ambang operasional spesifik — kortikosteroid antenatal pada usia kehamilan 24–34 minggu dengan risiko persalinan dalam tujuh hari, dan magnesium sulfat untuk neuroproteksi pada usia kehamilan di bawah 32 minggu — untuk konteks standardisasi keputusan klinis lintas fasilitas; praktik di Indonesia mengikuti standar nasional sebagai acuan kompetensi, dengan ambang ACOG relevan sebagai referensi teknis institusi pendidikan [5].</w:t>
      </w:r>
    </w:p>
    <w:p>
      <w:pPr>
        <w:spacing w:after="160" w:line="300"/>
      </w:pPr>
      <w:r>
        <w:rPr>
          <w:rFonts w:ascii="IBM Plex Sans" w:cs="IBM Plex Sans" w:eastAsia="IBM Plex Sans" w:hAnsi="IBM Plex Sans"/>
          <w:color w:val="334155"/>
          <w:sz w:val="22"/>
          <w:szCs w:val="22"/>
        </w:rPr>
        <w:t xml:space="preserve">Pada trauma jalan lahir, standar nasional menetapkan kompetensi diagnosis dan penjahitan ruptur perineum derajat I–IV sebagai kompetensi wajib; RCOG Green-top Guideline No. 29 tentang Third- and Fourth-Degree Perineal Tears merekomendasikan teknik overlap sphincteroplasty sebagai pendekatan pilihan untuk cedera sfingter ani eksterna dengan bukti luaran fungsional yang setara atau lebih baik dibanding teknik end-to-end pada sebagian populasi, disertai audit klinis rutin, untuk konteks fasilitas dengan operator terlatih khusus; praktik di Indonesia mengikuti standar nasional mengenai kompetensi minimal, dengan pilihan teknik operatif spesifik disesuaikan pelatihan dan sumber daya operator serta fasilitas setempat [4].</w:t>
      </w:r>
    </w:p>
    <w:p>
      <w:pPr>
        <w:pStyle w:val="Heading1"/>
        <w:spacing w:after="200" w:before="200"/>
      </w:pPr>
      <w:r>
        <w:rPr>
          <w:rFonts w:ascii="Source Serif 4" w:cs="Source Serif 4" w:eastAsia="Source Serif 4" w:hAnsi="Source Serif 4"/>
          <w:b/>
          <w:bCs/>
          <w:color w:val="4F46E5"/>
        </w:rPr>
        <w:t xml:space="preserve">Bab VII. Kontribusi Divisi Fetomaternal</w:t>
      </w:r>
    </w:p>
    <w:p>
      <w:pPr>
        <w:pStyle w:val="Heading2"/>
        <w:spacing w:after="140" w:before="240"/>
      </w:pPr>
      <w:r>
        <w:rPr>
          <w:rFonts w:ascii="Source Serif 4" w:cs="Source Serif 4" w:eastAsia="Source Serif 4" w:hAnsi="Source Serif 4"/>
          <w:b/>
          <w:bCs/>
          <w:color w:val="334155"/>
        </w:rPr>
        <w:t xml:space="preserve">7.1 A. Deskripsi</w:t>
      </w:r>
    </w:p>
    <w:p>
      <w:pPr>
        <w:spacing w:after="160" w:line="300"/>
      </w:pPr>
      <w:r>
        <w:rPr>
          <w:rFonts w:ascii="IBM Plex Sans" w:cs="IBM Plex Sans" w:eastAsia="IBM Plex Sans" w:hAnsi="IBM Plex Sans"/>
          <w:color w:val="334155"/>
          <w:sz w:val="22"/>
          <w:szCs w:val="22"/>
        </w:rPr>
        <w:t xml:space="preserve">Divisi Fetomaternal relevan secara langsung terhadap topik persalinan, nifas, dan laktasi karena seluruh penyulit yang dibahas pada Bab III — distosia, persalinan preterm, dan ketuban pecah dini — merupakan area inti pengambilan keputusan fetomaternal yang mempertaruhkan keseimbangan antara keselamatan ibu dan optimalisasi luaran janin/neonatus. Perspektif fetomaternal menambahkan kerangka penilaian risiko berbasis prognosis janin ke dalam keputusan klinis yang selama ini kerap dipandang semata dari sudut maternal.</w:t>
      </w:r>
    </w:p>
    <w:p>
      <w:pPr>
        <w:pStyle w:val="Heading2"/>
        <w:spacing w:after="140" w:before="240"/>
      </w:pPr>
      <w:r>
        <w:rPr>
          <w:rFonts w:ascii="Source Serif 4" w:cs="Source Serif 4" w:eastAsia="Source Serif 4" w:hAnsi="Source Serif 4"/>
          <w:b/>
          <w:bCs/>
          <w:color w:val="334155"/>
        </w:rPr>
        <w:t xml:space="preserve">7.2 B. Kerangka Analisis Keputusan pada Persalinan Preterm Mengancam</w:t>
      </w:r>
    </w:p>
    <w:p>
      <w:pPr>
        <w:spacing w:after="160" w:line="300"/>
      </w:pPr>
      <w:r>
        <w:rPr>
          <w:rFonts w:ascii="IBM Plex Sans" w:cs="IBM Plex Sans" w:eastAsia="IBM Plex Sans" w:hAnsi="IBM Plex Sans"/>
          <w:color w:val="334155"/>
          <w:sz w:val="22"/>
          <w:szCs w:val="22"/>
        </w:rPr>
        <w:t xml:space="preserve">Pengambilan keputusan pada ancaman persalinan preterm memerlukan kerangka analisis yang mempertimbangkan secara simultan: usia kehamilan tepat (menentukan kelayakan tokolisis, kortikosteroid, dan neuroproteksi magnesium sulfat), keberadaan kontraindikasi tokolisis (korioamnionitis, solusio plasenta, perdarahan aktif, kondisi janin yang sudah mengancam nyawa), ketersediaan fasilitas neonatal sesuai usia kehamilan (menentukan perlu-tidaknya rujukan in-utero yang secara konsisten memberikan luaran neonatal lebih baik dibanding rujukan pascapersalinan), serta preferensi dan pemahaman keluarga yang telah diberikan konseling memadai tentang prognosis pada usia kehamilan tersebut.</w:t>
      </w:r>
    </w:p>
    <w:p>
      <w:pPr>
        <w:spacing w:after="160" w:line="300"/>
      </w:pPr>
      <w:r>
        <w:rPr>
          <w:rFonts w:ascii="IBM Plex Sans" w:cs="IBM Plex Sans" w:eastAsia="IBM Plex Sans" w:hAnsi="IBM Plex Sans"/>
          <w:color w:val="334155"/>
          <w:sz w:val="22"/>
          <w:szCs w:val="22"/>
        </w:rPr>
        <w:t xml:space="preserve">Divisi Fetomaternal menekankan bahwa keputusan tokolisis bukan tujuan akhir, melainkan sarana untuk mendapatkan jendela waktu — untuk pematangan paru janin dengan kortikosteroid dan/atau untuk rujukan ke fasilitas yang memadai — sehingga evaluasi ulang terus-menerus terhadap indikasi lanjut tokolisis menjadi bagian dari standar praktik yang baik.</w:t>
      </w:r>
    </w:p>
    <w:p>
      <w:pPr>
        <w:pStyle w:val="Heading2"/>
        <w:spacing w:after="140" w:before="240"/>
      </w:pPr>
      <w:r>
        <w:rPr>
          <w:rFonts w:ascii="Source Serif 4" w:cs="Source Serif 4" w:eastAsia="Source Serif 4" w:hAnsi="Source Serif 4"/>
          <w:b/>
          <w:bCs/>
          <w:color w:val="334155"/>
        </w:rPr>
        <w:t xml:space="preserve">7.3 C. Ilustrasi Kasus Lapangan</w:t>
      </w:r>
    </w:p>
    <w:p>
      <w:pPr>
        <w:spacing w:after="160" w:line="300"/>
      </w:pPr>
      <w:r>
        <w:rPr>
          <w:rFonts w:ascii="IBM Plex Sans" w:cs="IBM Plex Sans" w:eastAsia="IBM Plex Sans" w:hAnsi="IBM Plex Sans"/>
          <w:color w:val="334155"/>
          <w:sz w:val="22"/>
          <w:szCs w:val="22"/>
        </w:rPr>
        <w:t xml:space="preserve">Ilustrasi berikut bersifat hipotetis dan disusun untuk kepentingan pembelajaran, menggambarkan penerapan kerangka analisis di atas pada situasi klinis yang lazim dijumpai. Seorang perempuan G2P1A0 usia kehamilan 32 minggu datang dengan kontraksi teratur dan pembukaan serviks 3 cm. Tidak ditemukan tanda infeksi, solusio plasenta, atau gawat janin. Fasilitas setempat tidak memiliki unit perawatan intensif neonatal. Berdasarkan kerangka analisis fetomaternal, tim memutuskan memberikan dosis pertama kortikosteroid antenatal dan tokolisis jangka pendek, sembari mengoordinasikan rujukan in-utero ke rumah sakit rujukan dengan fasilitas neonatal level III. Pasien tiba di fasilitas rujukan dalam kondisi stabil, menyelesaikan kortikosteroid dosis penuh, dan melahirkan tiga hari kemudian dengan bayi yang dirawat di ruang neonatal tanpa memerlukan transportasi pascapersalinan berisiko tinggi. Ilustrasi ini menggambarkan bagaimana keputusan rujukan tepat waktu berbasis perspektif fetomaternal — bukan sekadar menunggu persalinan terjadi — dapat mengubah lintasan luaran neonatal secara bermakna.</w:t>
      </w:r>
    </w:p>
    <w:p>
      <w:pPr>
        <w:pStyle w:val="Heading1"/>
        <w:spacing w:after="200" w:before="200"/>
      </w:pPr>
      <w:r>
        <w:rPr>
          <w:rFonts w:ascii="Source Serif 4" w:cs="Source Serif 4" w:eastAsia="Source Serif 4" w:hAnsi="Source Serif 4"/>
          <w:b/>
          <w:bCs/>
          <w:color w:val="4F46E5"/>
        </w:rPr>
        <w:t xml:space="preserve">Bab VIII. Ringkasan</w:t>
      </w:r>
    </w:p>
    <w:p>
      <w:pPr>
        <w:pStyle w:val="Heading2"/>
        <w:spacing w:after="140" w:before="240"/>
      </w:pPr>
      <w:r>
        <w:rPr>
          <w:rFonts w:ascii="Source Serif 4" w:cs="Source Serif 4" w:eastAsia="Source Serif 4" w:hAnsi="Source Serif 4"/>
          <w:b/>
          <w:bCs/>
          <w:color w:val="334155"/>
        </w:rPr>
        <w:t xml:space="preserve">8.1 Ikhtisar Kompetensi</w:t>
      </w:r>
    </w:p>
    <w:p>
      <w:pPr>
        <w:spacing w:after="160" w:line="300"/>
      </w:pPr>
      <w:r>
        <w:rPr>
          <w:rFonts w:ascii="IBM Plex Sans" w:cs="IBM Plex Sans" w:eastAsia="IBM Plex Sans" w:hAnsi="IBM Plex Sans"/>
          <w:color w:val="334155"/>
          <w:sz w:val="22"/>
          <w:szCs w:val="22"/>
        </w:rPr>
        <w:t xml:space="preserve">Buku tematik ini merangkum sembilan entitas klinis inti pada rangkaian persalinan, nifas, dan laktasi sebagaimana ditetapkan Tabel 7 Kepkonsil Nomor HK.01.02/KKI/1318/2026: distosia, persalinan preterm, ketuban pecah sebelum persalinan dan pada kehamilan preterm, ruptur perineum derajat I–II dan III–IV, nifas normal, infeksi/demam nifas, serta masalah menyusui — dilandasi pemahaman fisiologi persalinan normal dan mekanisme kardinal sebagai prasyarat pengenalan penyimpangan.</w:t>
      </w:r>
    </w:p>
    <w:p>
      <w:pPr>
        <w:spacing w:after="160" w:line="300"/>
      </w:pPr>
      <w:r>
        <w:rPr>
          <w:rFonts w:ascii="IBM Plex Sans" w:cs="IBM Plex Sans" w:eastAsia="IBM Plex Sans" w:hAnsi="IBM Plex Sans"/>
          <w:color w:val="334155"/>
          <w:sz w:val="22"/>
          <w:szCs w:val="22"/>
        </w:rPr>
        <w:t xml:space="preserve">Penguasaan menyeluruh atas kompetensi ini, dipadukan dengan pengayaan standar internasional WHO, WHO/UNICEF, ACOG, RCOG, ICM, dan Cochrane Review sebagaimana dirujuk pada Kepustakaan, menjadi fondasi praktik klinis dokter spesialis obstetri dan ginekologi yang aman, terstandar, dan berpusat pada keselamatan ibu maupun janin/neonatus sekaligus.</w:t>
      </w:r>
    </w:p>
    <w:p>
      <w:pPr>
        <w:spacing w:after="120" w:before="200"/>
      </w:pPr>
      <w:r>
        <w:rPr>
          <w:rFonts w:ascii="IBM Plex Sans" w:cs="IBM Plex Sans" w:eastAsia="IBM Plex Sans" w:hAnsi="IBM Plex Sans"/>
          <w:b/>
          <w:bCs/>
          <w:color w:val="B45309"/>
          <w:sz w:val="20"/>
          <w:szCs w:val="20"/>
        </w:rPr>
        <w:t xml:space="preserve">Tabel Ringkasan Kompetensi dan Indikator — Buku Tematik B5</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900"/>
        <w:gridCol w:w="2400"/>
        <w:gridCol w:w="1700"/>
        <w:gridCol w:w="4000"/>
      </w:tblGrid>
      <w:tr>
        <w:trPr>
          <w:tblHeader/>
        </w:trPr>
        <w:tc>
          <w:tcPr>
            <w:tcW w:type="dxa" w:w="900"/>
            <w:shd w:fill="4F46E5" w:color="auto"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No. Tabel 7</w:t>
            </w:r>
          </w:p>
        </w:tc>
        <w:tc>
          <w:tcPr>
            <w:tcW w:type="dxa" w:w="2400"/>
            <w:shd w:fill="4F46E5" w:color="auto"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Entitas Klinis</w:t>
            </w:r>
          </w:p>
        </w:tc>
        <w:tc>
          <w:tcPr>
            <w:tcW w:type="dxa" w:w="1700"/>
            <w:shd w:fill="4F46E5" w:color="auto"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ICD-10 / ICD-11</w:t>
            </w:r>
          </w:p>
        </w:tc>
        <w:tc>
          <w:tcPr>
            <w:tcW w:type="dxa" w:w="4000"/>
            <w:shd w:fill="4F46E5" w:color="auto" w:val="clear"/>
            <w:tcMar>
              <w:top w:type="dxa" w:w="100"/>
              <w:left w:type="dxa" w:w="120"/>
              <w:bottom w:type="dxa" w:w="100"/>
              <w:right w:type="dxa" w:w="120"/>
            </w:tcMar>
            <w:vAlign w:val="center"/>
          </w:tcPr>
          <w:p>
            <w:r>
              <w:rPr>
                <w:rFonts w:ascii="IBM Plex Sans" w:cs="IBM Plex Sans" w:eastAsia="IBM Plex Sans" w:hAnsi="IBM Plex Sans"/>
                <w:b/>
                <w:bCs/>
                <w:color w:val="FFFFFF"/>
                <w:sz w:val="18"/>
                <w:szCs w:val="18"/>
              </w:rPr>
              <w:t xml:space="preserve">Indikator Kompetensi Minimal</w:t>
            </w:r>
          </w:p>
        </w:tc>
      </w:tr>
      <w:tr>
        <w:tc>
          <w:tcPr>
            <w:tcW w:type="dxa" w:w="900"/>
            <w:shd w:fill="F8FAFC"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17</w:t>
            </w:r>
          </w:p>
        </w:tc>
        <w:tc>
          <w:tcPr>
            <w:tcW w:type="dxa" w:w="2400"/>
            <w:shd w:fill="F8FAFC"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Ruptur perineum derajat I–II</w:t>
            </w:r>
          </w:p>
        </w:tc>
        <w:tc>
          <w:tcPr>
            <w:tcW w:type="dxa" w:w="1700"/>
            <w:shd w:fill="F8FAFC" w:color="auto"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O70.0–O70.1 / JB09.0; JB09.1</w:t>
            </w:r>
          </w:p>
        </w:tc>
        <w:tc>
          <w:tcPr>
            <w:tcW w:type="dxa" w:w="4000"/>
            <w:shd w:fill="F8FAFC"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Diagnosis derajat robekan; penjahitan lapis demi lapis mandiri</w:t>
            </w:r>
          </w:p>
        </w:tc>
      </w:tr>
      <w:tr>
        <w:tc>
          <w:tcPr>
            <w:tcW w:type="dxa" w:w="900"/>
            <w:shd w:fill="FFFFFF"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18</w:t>
            </w:r>
          </w:p>
        </w:tc>
        <w:tc>
          <w:tcPr>
            <w:tcW w:type="dxa" w:w="2400"/>
            <w:shd w:fill="FFFFFF"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Ruptur perineum derajat III–IV</w:t>
            </w:r>
          </w:p>
        </w:tc>
        <w:tc>
          <w:tcPr>
            <w:tcW w:type="dxa" w:w="1700"/>
            <w:shd w:fill="FFFFFF" w:color="auto"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O70.2–O70.3 / JB09.2; JB09.3</w:t>
            </w:r>
          </w:p>
        </w:tc>
        <w:tc>
          <w:tcPr>
            <w:tcW w:type="dxa" w:w="4000"/>
            <w:shd w:fill="FFFFFF"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Deteksi cedera sfingter ani; sphincteroplasty dengan supervisi/mandiri</w:t>
            </w:r>
          </w:p>
        </w:tc>
      </w:tr>
      <w:tr>
        <w:tc>
          <w:tcPr>
            <w:tcW w:type="dxa" w:w="900"/>
            <w:shd w:fill="F8FAFC"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20</w:t>
            </w:r>
          </w:p>
        </w:tc>
        <w:tc>
          <w:tcPr>
            <w:tcW w:type="dxa" w:w="2400"/>
            <w:shd w:fill="F8FAFC"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Persalinan macet (distosia)</w:t>
            </w:r>
          </w:p>
        </w:tc>
        <w:tc>
          <w:tcPr>
            <w:tcW w:type="dxa" w:w="1700"/>
            <w:shd w:fill="F8FAFC" w:color="auto"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O66.9 / JB06.0</w:t>
            </w:r>
          </w:p>
        </w:tc>
        <w:tc>
          <w:tcPr>
            <w:tcW w:type="dxa" w:w="4000"/>
            <w:shd w:fill="F8FAFC"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Evaluasi 3P via partograf; keputusan augmentasi vs seksio sesarea</w:t>
            </w:r>
          </w:p>
        </w:tc>
      </w:tr>
      <w:tr>
        <w:tc>
          <w:tcPr>
            <w:tcW w:type="dxa" w:w="900"/>
            <w:shd w:fill="FFFFFF"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21</w:t>
            </w:r>
          </w:p>
        </w:tc>
        <w:tc>
          <w:tcPr>
            <w:tcW w:type="dxa" w:w="2400"/>
            <w:shd w:fill="FFFFFF"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Persalinan preterm</w:t>
            </w:r>
          </w:p>
        </w:tc>
        <w:tc>
          <w:tcPr>
            <w:tcW w:type="dxa" w:w="1700"/>
            <w:shd w:fill="FFFFFF" w:color="auto"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O60 / JB00</w:t>
            </w:r>
          </w:p>
        </w:tc>
        <w:tc>
          <w:tcPr>
            <w:tcW w:type="dxa" w:w="4000"/>
            <w:shd w:fill="FFFFFF"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Tokolisis, kortikosteroid, magnesium sulfat sesuai usia kehamilan</w:t>
            </w:r>
          </w:p>
        </w:tc>
      </w:tr>
      <w:tr>
        <w:tc>
          <w:tcPr>
            <w:tcW w:type="dxa" w:w="900"/>
            <w:shd w:fill="F8FAFC"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22</w:t>
            </w:r>
          </w:p>
        </w:tc>
        <w:tc>
          <w:tcPr>
            <w:tcW w:type="dxa" w:w="2400"/>
            <w:shd w:fill="F8FAFC"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Ketuban pecah sebelum persalinan</w:t>
            </w:r>
          </w:p>
        </w:tc>
        <w:tc>
          <w:tcPr>
            <w:tcW w:type="dxa" w:w="1700"/>
            <w:shd w:fill="F8FAFC" w:color="auto"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O42.9 / JA89</w:t>
            </w:r>
          </w:p>
        </w:tc>
        <w:tc>
          <w:tcPr>
            <w:tcW w:type="dxa" w:w="4000"/>
            <w:shd w:fill="F8FAFC"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Keputusan induksi vs ekspektatif; deteksi tanda infeksi</w:t>
            </w:r>
          </w:p>
        </w:tc>
      </w:tr>
      <w:tr>
        <w:tc>
          <w:tcPr>
            <w:tcW w:type="dxa" w:w="900"/>
            <w:shd w:fill="FFFFFF"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23</w:t>
            </w:r>
          </w:p>
        </w:tc>
        <w:tc>
          <w:tcPr>
            <w:tcW w:type="dxa" w:w="2400"/>
            <w:shd w:fill="FFFFFF"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Ketuban pecah pada kehamilan preterm</w:t>
            </w:r>
          </w:p>
        </w:tc>
        <w:tc>
          <w:tcPr>
            <w:tcW w:type="dxa" w:w="1700"/>
            <w:shd w:fill="FFFFFF" w:color="auto"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O42.9; O60 / JA89.3</w:t>
            </w:r>
          </w:p>
        </w:tc>
        <w:tc>
          <w:tcPr>
            <w:tcW w:type="dxa" w:w="4000"/>
            <w:shd w:fill="FFFFFF"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Tata laksana individual usia kehamilan; antibiotik profilaksis</w:t>
            </w:r>
          </w:p>
        </w:tc>
      </w:tr>
      <w:tr>
        <w:tc>
          <w:tcPr>
            <w:tcW w:type="dxa" w:w="900"/>
            <w:shd w:fill="F8FAFC"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38</w:t>
            </w:r>
          </w:p>
        </w:tc>
        <w:tc>
          <w:tcPr>
            <w:tcW w:type="dxa" w:w="2400"/>
            <w:shd w:fill="F8FAFC"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Nifas normal</w:t>
            </w:r>
          </w:p>
        </w:tc>
        <w:tc>
          <w:tcPr>
            <w:tcW w:type="dxa" w:w="1700"/>
            <w:shd w:fill="F8FAFC" w:color="auto"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Z39.2 / QA48</w:t>
            </w:r>
          </w:p>
        </w:tc>
        <w:tc>
          <w:tcPr>
            <w:tcW w:type="dxa" w:w="4000"/>
            <w:shd w:fill="F8FAFC"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Jadwal kunjungan nifas terstruktur; skrining komplikasi</w:t>
            </w:r>
          </w:p>
        </w:tc>
      </w:tr>
      <w:tr>
        <w:tc>
          <w:tcPr>
            <w:tcW w:type="dxa" w:w="900"/>
            <w:shd w:fill="FFFFFF"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39</w:t>
            </w:r>
          </w:p>
        </w:tc>
        <w:tc>
          <w:tcPr>
            <w:tcW w:type="dxa" w:w="2400"/>
            <w:shd w:fill="FFFFFF"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Infeksi dan demam nifas</w:t>
            </w:r>
          </w:p>
        </w:tc>
        <w:tc>
          <w:tcPr>
            <w:tcW w:type="dxa" w:w="1700"/>
            <w:shd w:fill="FFFFFF" w:color="auto"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O85; O86.4 / JB40</w:t>
            </w:r>
          </w:p>
        </w:tc>
        <w:tc>
          <w:tcPr>
            <w:tcW w:type="dxa" w:w="4000"/>
            <w:shd w:fill="FFFFFF"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Diagnosis endometritis; antibiotik empiris segera</w:t>
            </w:r>
          </w:p>
        </w:tc>
      </w:tr>
      <w:tr>
        <w:tc>
          <w:tcPr>
            <w:tcW w:type="dxa" w:w="900"/>
            <w:shd w:fill="F8FAFC"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40</w:t>
            </w:r>
          </w:p>
        </w:tc>
        <w:tc>
          <w:tcPr>
            <w:tcW w:type="dxa" w:w="2400"/>
            <w:shd w:fill="F8FAFC"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Masalah menyusui</w:t>
            </w:r>
          </w:p>
        </w:tc>
        <w:tc>
          <w:tcPr>
            <w:tcW w:type="dxa" w:w="1700"/>
            <w:shd w:fill="F8FAFC" w:color="auto" w:val="clear"/>
            <w:tcMar>
              <w:top w:type="dxa" w:w="90"/>
              <w:left w:type="dxa" w:w="120"/>
              <w:bottom w:type="dxa" w:w="90"/>
              <w:right w:type="dxa" w:w="120"/>
            </w:tcMar>
          </w:tcPr>
          <w:p>
            <w:r>
              <w:rPr>
                <w:rFonts w:ascii="IBM Plex Mono" w:cs="IBM Plex Mono" w:eastAsia="IBM Plex Mono" w:hAnsi="IBM Plex Mono"/>
                <w:color w:val="334155"/>
                <w:sz w:val="18"/>
                <w:szCs w:val="18"/>
              </w:rPr>
              <w:t xml:space="preserve">O92.7 / QA48.1; JB46</w:t>
            </w:r>
          </w:p>
        </w:tc>
        <w:tc>
          <w:tcPr>
            <w:tcW w:type="dxa" w:w="4000"/>
            <w:shd w:fill="F8FAFC" w:color="auto" w:val="clear"/>
            <w:tcMar>
              <w:top w:type="dxa" w:w="90"/>
              <w:left w:type="dxa" w:w="120"/>
              <w:bottom w:type="dxa" w:w="90"/>
              <w:right w:type="dxa" w:w="120"/>
            </w:tcMar>
          </w:tcPr>
          <w:p>
            <w:r>
              <w:rPr>
                <w:rFonts w:ascii="IBM Plex Sans" w:cs="IBM Plex Sans" w:eastAsia="IBM Plex Sans" w:hAnsi="IBM Plex Sans"/>
                <w:color w:val="334155"/>
                <w:sz w:val="18"/>
                <w:szCs w:val="18"/>
              </w:rPr>
              <w:t xml:space="preserve">Diagnosis dan tata laksana bendungan ASI, mastitis, perlekatan</w:t>
            </w:r>
          </w:p>
        </w:tc>
      </w:tr>
    </w:tbl>
    <w:p>
      <w:pPr>
        <w:pStyle w:val="Heading1"/>
        <w:spacing w:after="200" w:before="200"/>
      </w:pPr>
      <w:r>
        <w:rPr>
          <w:rFonts w:ascii="Source Serif 4" w:cs="Source Serif 4" w:eastAsia="Source Serif 4" w:hAnsi="Source Serif 4"/>
          <w:b/>
          <w:bCs/>
          <w:color w:val="4F46E5"/>
        </w:rPr>
        <w:t xml:space="preserve">Kepustakaan</w:t>
      </w:r>
    </w:p>
    <w:p>
      <w:pPr>
        <w:spacing w:after="160" w:line="280"/>
      </w:pPr>
      <w:r>
        <w:rPr>
          <w:rFonts w:ascii="IBM Plex Sans" w:cs="IBM Plex Sans" w:eastAsia="IBM Plex Sans" w:hAnsi="IBM Plex Sans"/>
          <w:color w:val="334155"/>
          <w:sz w:val="20"/>
          <w:szCs w:val="20"/>
        </w:rPr>
        <w:t xml:space="preserve">1. Keputusan Ketua Konsil Kesehatan Indonesia Nomor HK.01.02/KKI/1318/2026 tentang Standar Kompetensi Dokter Spesialis dan Subspesialis Bidang Obstetri dan Ginekologi.</w:t>
      </w:r>
    </w:p>
    <w:p>
      <w:pPr>
        <w:spacing w:after="160" w:line="280"/>
      </w:pPr>
      <w:r>
        <w:rPr>
          <w:rFonts w:ascii="IBM Plex Sans" w:cs="IBM Plex Sans" w:eastAsia="IBM Plex Sans" w:hAnsi="IBM Plex Sans"/>
          <w:color w:val="334155"/>
          <w:sz w:val="20"/>
          <w:szCs w:val="20"/>
        </w:rPr>
        <w:t xml:space="preserve">2. World Health Organization. WHO Recommendations: Intrapartum Care for a Positive Childbirth Experience. Geneva: World Health Organization; 2018.</w:t>
      </w:r>
      <w:r>
        <w:rPr>
          <w:rFonts w:ascii="IBM Plex Sans" w:cs="IBM Plex Sans" w:eastAsia="IBM Plex Sans" w:hAnsi="IBM Plex Sans"/>
          <w:color w:val="334155"/>
          <w:sz w:val="20"/>
          <w:szCs w:val="20"/>
        </w:rPr>
        <w:t xml:space="preserve"> Tersedia pada: </w:t>
      </w:r>
      <w:hyperlink w:history="1" r:id="rIdaal19swxt1cjozvkqpv8w">
        <w:r>
          <w:rPr>
            <w:rFonts w:ascii="IBM Plex Mono" w:cs="IBM Plex Mono" w:eastAsia="IBM Plex Mono" w:hAnsi="IBM Plex Mono"/>
            <w:color w:val="4F46E5"/>
            <w:sz w:val="18"/>
            <w:szCs w:val="18"/>
            <w:u w:val="single"/>
          </w:rPr>
          <w:t xml:space="preserve">https://www.who.int/publications/i/item/9789241550215</w:t>
        </w:r>
      </w:hyperlink>
    </w:p>
    <w:p>
      <w:pPr>
        <w:spacing w:after="160" w:line="280"/>
      </w:pPr>
      <w:r>
        <w:rPr>
          <w:rFonts w:ascii="IBM Plex Sans" w:cs="IBM Plex Sans" w:eastAsia="IBM Plex Sans" w:hAnsi="IBM Plex Sans"/>
          <w:color w:val="334155"/>
          <w:sz w:val="20"/>
          <w:szCs w:val="20"/>
        </w:rPr>
        <w:t xml:space="preserve">3. World Health Organization, United Nations Children's Fund. Implementation Guidance: Protecting, Promoting and Supporting Breastfeeding in Facilities Providing Maternity and Newborn Services — the Revised Baby-friendly Hospital Initiative (Ten Steps to Successful Breastfeeding, revisi 2018). Geneva: World Health Organization; 2018.</w:t>
      </w:r>
      <w:r>
        <w:rPr>
          <w:rFonts w:ascii="IBM Plex Sans" w:cs="IBM Plex Sans" w:eastAsia="IBM Plex Sans" w:hAnsi="IBM Plex Sans"/>
          <w:color w:val="334155"/>
          <w:sz w:val="20"/>
          <w:szCs w:val="20"/>
        </w:rPr>
        <w:t xml:space="preserve"> Tersedia pada: </w:t>
      </w:r>
      <w:hyperlink w:history="1" r:id="rIday2ypplbfhibnk2-zvknw">
        <w:r>
          <w:rPr>
            <w:rFonts w:ascii="IBM Plex Mono" w:cs="IBM Plex Mono" w:eastAsia="IBM Plex Mono" w:hAnsi="IBM Plex Mono"/>
            <w:color w:val="4F46E5"/>
            <w:sz w:val="18"/>
            <w:szCs w:val="18"/>
            <w:u w:val="single"/>
          </w:rPr>
          <w:t xml:space="preserve">https://www.who.int/publications/i/item/9789241513807</w:t>
        </w:r>
      </w:hyperlink>
    </w:p>
    <w:p>
      <w:pPr>
        <w:spacing w:after="160" w:line="280"/>
      </w:pPr>
      <w:r>
        <w:rPr>
          <w:rFonts w:ascii="IBM Plex Sans" w:cs="IBM Plex Sans" w:eastAsia="IBM Plex Sans" w:hAnsi="IBM Plex Sans"/>
          <w:color w:val="334155"/>
          <w:sz w:val="20"/>
          <w:szCs w:val="20"/>
        </w:rPr>
        <w:t xml:space="preserve">4. Royal College of Obstetricians and Gynaecologists. Third- and Fourth-degree Perineal Tears, Management. Green-top Guideline No. 29. Edisi ke-3. London: RCOG; 2015.</w:t>
      </w:r>
      <w:r>
        <w:rPr>
          <w:rFonts w:ascii="IBM Plex Sans" w:cs="IBM Plex Sans" w:eastAsia="IBM Plex Sans" w:hAnsi="IBM Plex Sans"/>
          <w:color w:val="334155"/>
          <w:sz w:val="20"/>
          <w:szCs w:val="20"/>
        </w:rPr>
        <w:t xml:space="preserve"> Tersedia pada: </w:t>
      </w:r>
      <w:hyperlink w:history="1" r:id="rIdunhaljxre3gqutsvoioyj">
        <w:r>
          <w:rPr>
            <w:rFonts w:ascii="IBM Plex Mono" w:cs="IBM Plex Mono" w:eastAsia="IBM Plex Mono" w:hAnsi="IBM Plex Mono"/>
            <w:color w:val="4F46E5"/>
            <w:sz w:val="18"/>
            <w:szCs w:val="18"/>
            <w:u w:val="single"/>
          </w:rPr>
          <w:t xml:space="preserve">https://www.rcog.org.uk/guidance/browse-all-guidance/green-top-guidelines/third-and-fourth-degree-perineal-tears-management-green-top-guideline-no-29/</w:t>
        </w:r>
      </w:hyperlink>
    </w:p>
    <w:p>
      <w:pPr>
        <w:spacing w:after="160" w:line="280"/>
      </w:pPr>
      <w:r>
        <w:rPr>
          <w:rFonts w:ascii="IBM Plex Sans" w:cs="IBM Plex Sans" w:eastAsia="IBM Plex Sans" w:hAnsi="IBM Plex Sans"/>
          <w:color w:val="334155"/>
          <w:sz w:val="20"/>
          <w:szCs w:val="20"/>
        </w:rPr>
        <w:t xml:space="preserve">5. American College of Obstetricians and Gynecologists' Committee on Practice Bulletins—Obstetrics. Management of Preterm Labor. ACOG Practice Bulletin No. 171. Obstetrics &amp; Gynecology. 2016;128(4):e155–e164.</w:t>
      </w:r>
      <w:r>
        <w:rPr>
          <w:rFonts w:ascii="IBM Plex Sans" w:cs="IBM Plex Sans" w:eastAsia="IBM Plex Sans" w:hAnsi="IBM Plex Sans"/>
          <w:color w:val="334155"/>
          <w:sz w:val="20"/>
          <w:szCs w:val="20"/>
        </w:rPr>
        <w:t xml:space="preserve"> Tersedia pada: </w:t>
      </w:r>
      <w:hyperlink w:history="1" r:id="rIdd3odfpm7dqpmom25efipi">
        <w:r>
          <w:rPr>
            <w:rFonts w:ascii="IBM Plex Mono" w:cs="IBM Plex Mono" w:eastAsia="IBM Plex Mono" w:hAnsi="IBM Plex Mono"/>
            <w:color w:val="4F46E5"/>
            <w:sz w:val="18"/>
            <w:szCs w:val="18"/>
            <w:u w:val="single"/>
          </w:rPr>
          <w:t xml:space="preserve">https://pubmed.ncbi.nlm.nih.gov/27661654/</w:t>
        </w:r>
      </w:hyperlink>
    </w:p>
    <w:p>
      <w:pPr>
        <w:spacing w:after="160" w:line="280"/>
      </w:pPr>
      <w:r>
        <w:rPr>
          <w:rFonts w:ascii="IBM Plex Sans" w:cs="IBM Plex Sans" w:eastAsia="IBM Plex Sans" w:hAnsi="IBM Plex Sans"/>
          <w:color w:val="334155"/>
          <w:sz w:val="20"/>
          <w:szCs w:val="20"/>
        </w:rPr>
        <w:t xml:space="preserve">6. American College of Obstetricians and Gynecologists. Prediction and Prevention of Spontaneous Preterm Birth. ACOG Practice Bulletin No. 234. Obstetrics &amp; Gynecology. 2021;138(2):e65–e90.</w:t>
      </w:r>
      <w:r>
        <w:rPr>
          <w:rFonts w:ascii="IBM Plex Sans" w:cs="IBM Plex Sans" w:eastAsia="IBM Plex Sans" w:hAnsi="IBM Plex Sans"/>
          <w:color w:val="334155"/>
          <w:sz w:val="20"/>
          <w:szCs w:val="20"/>
        </w:rPr>
        <w:t xml:space="preserve"> Tersedia pada: </w:t>
      </w:r>
      <w:hyperlink w:history="1" r:id="rIdcqdhc4e6d4s2au1ndjlbn">
        <w:r>
          <w:rPr>
            <w:rFonts w:ascii="IBM Plex Mono" w:cs="IBM Plex Mono" w:eastAsia="IBM Plex Mono" w:hAnsi="IBM Plex Mono"/>
            <w:color w:val="4F46E5"/>
            <w:sz w:val="18"/>
            <w:szCs w:val="18"/>
            <w:u w:val="single"/>
          </w:rPr>
          <w:t xml:space="preserve">https://pubmed.ncbi.nlm.nih.gov/34293771/</w:t>
        </w:r>
      </w:hyperlink>
    </w:p>
    <w:p>
      <w:pPr>
        <w:spacing w:after="160" w:line="280"/>
      </w:pPr>
      <w:r>
        <w:rPr>
          <w:rFonts w:ascii="IBM Plex Sans" w:cs="IBM Plex Sans" w:eastAsia="IBM Plex Sans" w:hAnsi="IBM Plex Sans"/>
          <w:color w:val="334155"/>
          <w:sz w:val="20"/>
          <w:szCs w:val="20"/>
        </w:rPr>
        <w:t xml:space="preserve">7. International Confederation of Midwives. ICM Essential Competencies for Midwifery Practice. The Hague: International Confederation of Midwives; 2024.</w:t>
      </w:r>
      <w:r>
        <w:rPr>
          <w:rFonts w:ascii="IBM Plex Sans" w:cs="IBM Plex Sans" w:eastAsia="IBM Plex Sans" w:hAnsi="IBM Plex Sans"/>
          <w:color w:val="334155"/>
          <w:sz w:val="20"/>
          <w:szCs w:val="20"/>
        </w:rPr>
        <w:t xml:space="preserve"> Tersedia pada: </w:t>
      </w:r>
      <w:hyperlink w:history="1" r:id="rIdq6hlbqxqbhvp0aes-zmrq">
        <w:r>
          <w:rPr>
            <w:rFonts w:ascii="IBM Plex Mono" w:cs="IBM Plex Mono" w:eastAsia="IBM Plex Mono" w:hAnsi="IBM Plex Mono"/>
            <w:color w:val="4F46E5"/>
            <w:sz w:val="18"/>
            <w:szCs w:val="18"/>
            <w:u w:val="single"/>
          </w:rPr>
          <w:t xml:space="preserve">https://internationalmidwives.org/wp-content/uploads/EN_ICM-Essential-Competencies-for-Midwifery-Practice-1.pdf</w:t>
        </w:r>
      </w:hyperlink>
    </w:p>
    <w:p>
      <w:pPr>
        <w:spacing w:after="160" w:line="280"/>
      </w:pPr>
      <w:r>
        <w:rPr>
          <w:rFonts w:ascii="IBM Plex Sans" w:cs="IBM Plex Sans" w:eastAsia="IBM Plex Sans" w:hAnsi="IBM Plex Sans"/>
          <w:color w:val="334155"/>
          <w:sz w:val="20"/>
          <w:szCs w:val="20"/>
        </w:rPr>
        <w:t xml:space="preserve">8. Kenyon S, Boulvain M, Neilson JP. Antibiotics for Preterm Rupture of Membranes. Cochrane Database of Systematic Reviews. 2013;(12):CD001058.</w:t>
      </w:r>
      <w:r>
        <w:rPr>
          <w:rFonts w:ascii="IBM Plex Sans" w:cs="IBM Plex Sans" w:eastAsia="IBM Plex Sans" w:hAnsi="IBM Plex Sans"/>
          <w:color w:val="334155"/>
          <w:sz w:val="20"/>
          <w:szCs w:val="20"/>
        </w:rPr>
        <w:t xml:space="preserve"> Tersedia pada: </w:t>
      </w:r>
      <w:hyperlink w:history="1" r:id="rIdg2taghzyxrqm6r7f--agm">
        <w:r>
          <w:rPr>
            <w:rFonts w:ascii="IBM Plex Mono" w:cs="IBM Plex Mono" w:eastAsia="IBM Plex Mono" w:hAnsi="IBM Plex Mono"/>
            <w:color w:val="4F46E5"/>
            <w:sz w:val="18"/>
            <w:szCs w:val="18"/>
            <w:u w:val="single"/>
          </w:rPr>
          <w:t xml:space="preserve">https://www.cochrane.org/evidence/CD001058_antibiotics-preterm-rupture-membranes</w:t>
        </w:r>
      </w:hyperlink>
    </w:p>
    <w:p>
      <w:pPr>
        <w:pStyle w:val="Heading1"/>
        <w:spacing w:after="200" w:before="300"/>
      </w:pPr>
      <w:r>
        <w:rPr>
          <w:rFonts w:ascii="Source Serif 4" w:cs="Source Serif 4" w:eastAsia="Source Serif 4" w:hAnsi="Source Serif 4"/>
          <w:b/>
          <w:bCs/>
          <w:color w:val="4F46E5"/>
        </w:rPr>
        <w:t xml:space="preserve">Glosarium</w:t>
      </w:r>
    </w:p>
    <w:p>
      <w:pPr>
        <w:spacing w:after="120" w:line="280"/>
      </w:pPr>
      <w:r>
        <w:rPr>
          <w:rFonts w:ascii="IBM Plex Sans" w:cs="IBM Plex Sans" w:eastAsia="IBM Plex Sans" w:hAnsi="IBM Plex Sans"/>
          <w:b/>
          <w:bCs/>
          <w:color w:val="334155"/>
          <w:sz w:val="20"/>
          <w:szCs w:val="20"/>
        </w:rPr>
        <w:t xml:space="preserve">Distosia (Dystocia) — </w:t>
      </w:r>
      <w:r>
        <w:rPr>
          <w:rFonts w:ascii="IBM Plex Sans" w:cs="IBM Plex Sans" w:eastAsia="IBM Plex Sans" w:hAnsi="IBM Plex Sans"/>
          <w:color w:val="334155"/>
          <w:sz w:val="20"/>
          <w:szCs w:val="20"/>
        </w:rPr>
        <w:t xml:space="preserve">Kemajuan persalinan yang abnormal akibat gangguan pada power, passenger, atau passage.</w:t>
      </w:r>
    </w:p>
    <w:p>
      <w:pPr>
        <w:spacing w:after="120" w:line="280"/>
      </w:pPr>
      <w:r>
        <w:rPr>
          <w:rFonts w:ascii="IBM Plex Sans" w:cs="IBM Plex Sans" w:eastAsia="IBM Plex Sans" w:hAnsi="IBM Plex Sans"/>
          <w:b/>
          <w:bCs/>
          <w:color w:val="334155"/>
          <w:sz w:val="20"/>
          <w:szCs w:val="20"/>
        </w:rPr>
        <w:t xml:space="preserve">Effacement (Pendataran Serviks) — </w:t>
      </w:r>
      <w:r>
        <w:rPr>
          <w:rFonts w:ascii="IBM Plex Sans" w:cs="IBM Plex Sans" w:eastAsia="IBM Plex Sans" w:hAnsi="IBM Plex Sans"/>
          <w:color w:val="334155"/>
          <w:sz w:val="20"/>
          <w:szCs w:val="20"/>
        </w:rPr>
        <w:t xml:space="preserve">Penipisan progresif serviks selama persalinan, dinyatakan dalam persentase.</w:t>
      </w:r>
    </w:p>
    <w:p>
      <w:pPr>
        <w:spacing w:after="120" w:line="280"/>
      </w:pPr>
      <w:r>
        <w:rPr>
          <w:rFonts w:ascii="IBM Plex Sans" w:cs="IBM Plex Sans" w:eastAsia="IBM Plex Sans" w:hAnsi="IBM Plex Sans"/>
          <w:b/>
          <w:bCs/>
          <w:color w:val="334155"/>
          <w:sz w:val="20"/>
          <w:szCs w:val="20"/>
        </w:rPr>
        <w:t xml:space="preserve">Engorgement (Bendungan ASI) — </w:t>
      </w:r>
      <w:r>
        <w:rPr>
          <w:rFonts w:ascii="IBM Plex Sans" w:cs="IBM Plex Sans" w:eastAsia="IBM Plex Sans" w:hAnsi="IBM Plex Sans"/>
          <w:color w:val="334155"/>
          <w:sz w:val="20"/>
          <w:szCs w:val="20"/>
        </w:rPr>
        <w:t xml:space="preserve">Pembengkakan payudara akibat penumpukan air susu yang tidak dikeluarkan secara efektif.</w:t>
      </w:r>
    </w:p>
    <w:p>
      <w:pPr>
        <w:spacing w:after="120" w:line="280"/>
      </w:pPr>
      <w:r>
        <w:rPr>
          <w:rFonts w:ascii="IBM Plex Sans" w:cs="IBM Plex Sans" w:eastAsia="IBM Plex Sans" w:hAnsi="IBM Plex Sans"/>
          <w:b/>
          <w:bCs/>
          <w:color w:val="334155"/>
          <w:sz w:val="20"/>
          <w:szCs w:val="20"/>
        </w:rPr>
        <w:t xml:space="preserve">Fetomaternal — </w:t>
      </w:r>
      <w:r>
        <w:rPr>
          <w:rFonts w:ascii="IBM Plex Sans" w:cs="IBM Plex Sans" w:eastAsia="IBM Plex Sans" w:hAnsi="IBM Plex Sans"/>
          <w:color w:val="334155"/>
          <w:sz w:val="20"/>
          <w:szCs w:val="20"/>
        </w:rPr>
        <w:t xml:space="preserve">Subspesialisasi obstetri dan ginekologi yang berfokus pada kehamilan berisiko tinggi dan kesejahteraan janin.</w:t>
      </w:r>
    </w:p>
    <w:p>
      <w:pPr>
        <w:spacing w:after="120" w:line="280"/>
      </w:pPr>
      <w:r>
        <w:rPr>
          <w:rFonts w:ascii="IBM Plex Sans" w:cs="IBM Plex Sans" w:eastAsia="IBM Plex Sans" w:hAnsi="IBM Plex Sans"/>
          <w:b/>
          <w:bCs/>
          <w:color w:val="334155"/>
          <w:sz w:val="20"/>
          <w:szCs w:val="20"/>
        </w:rPr>
        <w:t xml:space="preserve">Involusi Uterus — </w:t>
      </w:r>
      <w:r>
        <w:rPr>
          <w:rFonts w:ascii="IBM Plex Sans" w:cs="IBM Plex Sans" w:eastAsia="IBM Plex Sans" w:hAnsi="IBM Plex Sans"/>
          <w:color w:val="334155"/>
          <w:sz w:val="20"/>
          <w:szCs w:val="20"/>
        </w:rPr>
        <w:t xml:space="preserve">Proses pengecilan dan pemulihan bertahap ukuran uterus menuju kondisi sebelum hamil setelah persalinan.</w:t>
      </w:r>
    </w:p>
    <w:p>
      <w:pPr>
        <w:spacing w:after="120" w:line="280"/>
      </w:pPr>
      <w:r>
        <w:rPr>
          <w:rFonts w:ascii="IBM Plex Sans" w:cs="IBM Plex Sans" w:eastAsia="IBM Plex Sans" w:hAnsi="IBM Plex Sans"/>
          <w:b/>
          <w:bCs/>
          <w:color w:val="334155"/>
          <w:sz w:val="20"/>
          <w:szCs w:val="20"/>
        </w:rPr>
        <w:t xml:space="preserve">Kala Persalinan — </w:t>
      </w:r>
      <w:r>
        <w:rPr>
          <w:rFonts w:ascii="IBM Plex Sans" w:cs="IBM Plex Sans" w:eastAsia="IBM Plex Sans" w:hAnsi="IBM Plex Sans"/>
          <w:color w:val="334155"/>
          <w:sz w:val="20"/>
          <w:szCs w:val="20"/>
        </w:rPr>
        <w:t xml:space="preserve">Empat tahap persalinan (Kala I–IV) mulai dari onset kontraksi hingga dua jam pascapersalinan.</w:t>
      </w:r>
    </w:p>
    <w:p>
      <w:pPr>
        <w:spacing w:after="120" w:line="280"/>
      </w:pPr>
      <w:r>
        <w:rPr>
          <w:rFonts w:ascii="IBM Plex Sans" w:cs="IBM Plex Sans" w:eastAsia="IBM Plex Sans" w:hAnsi="IBM Plex Sans"/>
          <w:b/>
          <w:bCs/>
          <w:color w:val="334155"/>
          <w:sz w:val="20"/>
          <w:szCs w:val="20"/>
        </w:rPr>
        <w:t xml:space="preserve">Kolostrum — </w:t>
      </w:r>
      <w:r>
        <w:rPr>
          <w:rFonts w:ascii="IBM Plex Sans" w:cs="IBM Plex Sans" w:eastAsia="IBM Plex Sans" w:hAnsi="IBM Plex Sans"/>
          <w:color w:val="334155"/>
          <w:sz w:val="20"/>
          <w:szCs w:val="20"/>
        </w:rPr>
        <w:t xml:space="preserve">Air susu ibu yang pertama kali diproduksi, kaya imunoglobulin, dihasilkan pada beberapa hari pertama pascapersalinan.</w:t>
      </w:r>
    </w:p>
    <w:p>
      <w:pPr>
        <w:spacing w:after="120" w:line="280"/>
      </w:pPr>
      <w:r>
        <w:rPr>
          <w:rFonts w:ascii="IBM Plex Sans" w:cs="IBM Plex Sans" w:eastAsia="IBM Plex Sans" w:hAnsi="IBM Plex Sans"/>
          <w:b/>
          <w:bCs/>
          <w:color w:val="334155"/>
          <w:sz w:val="20"/>
          <w:szCs w:val="20"/>
        </w:rPr>
        <w:t xml:space="preserve">Korioamnionitis (Chorioamnionitis) — </w:t>
      </w:r>
      <w:r>
        <w:rPr>
          <w:rFonts w:ascii="IBM Plex Sans" w:cs="IBM Plex Sans" w:eastAsia="IBM Plex Sans" w:hAnsi="IBM Plex Sans"/>
          <w:color w:val="334155"/>
          <w:sz w:val="20"/>
          <w:szCs w:val="20"/>
        </w:rPr>
        <w:t xml:space="preserve">Infeksi pada selaput ketuban dan cairan amnion, umumnya akibat infeksi asendens.</w:t>
      </w:r>
    </w:p>
    <w:p>
      <w:pPr>
        <w:spacing w:after="120" w:line="280"/>
      </w:pPr>
      <w:r>
        <w:rPr>
          <w:rFonts w:ascii="IBM Plex Sans" w:cs="IBM Plex Sans" w:eastAsia="IBM Plex Sans" w:hAnsi="IBM Plex Sans"/>
          <w:b/>
          <w:bCs/>
          <w:color w:val="334155"/>
          <w:sz w:val="20"/>
          <w:szCs w:val="20"/>
        </w:rPr>
        <w:t xml:space="preserve">Laktogenesis — </w:t>
      </w:r>
      <w:r>
        <w:rPr>
          <w:rFonts w:ascii="IBM Plex Sans" w:cs="IBM Plex Sans" w:eastAsia="IBM Plex Sans" w:hAnsi="IBM Plex Sans"/>
          <w:color w:val="334155"/>
          <w:sz w:val="20"/>
          <w:szCs w:val="20"/>
        </w:rPr>
        <w:t xml:space="preserve">Proses fisiologis pembentukan dan produksi air susu ibu, terdiri atas laktogenesis I dan II.</w:t>
      </w:r>
    </w:p>
    <w:p>
      <w:pPr>
        <w:spacing w:after="120" w:line="280"/>
      </w:pPr>
      <w:r>
        <w:rPr>
          <w:rFonts w:ascii="IBM Plex Sans" w:cs="IBM Plex Sans" w:eastAsia="IBM Plex Sans" w:hAnsi="IBM Plex Sans"/>
          <w:b/>
          <w:bCs/>
          <w:color w:val="334155"/>
          <w:sz w:val="20"/>
          <w:szCs w:val="20"/>
        </w:rPr>
        <w:t xml:space="preserve">Lokia (Lochia) — </w:t>
      </w:r>
      <w:r>
        <w:rPr>
          <w:rFonts w:ascii="IBM Plex Sans" w:cs="IBM Plex Sans" w:eastAsia="IBM Plex Sans" w:hAnsi="IBM Plex Sans"/>
          <w:color w:val="334155"/>
          <w:sz w:val="20"/>
          <w:szCs w:val="20"/>
        </w:rPr>
        <w:t xml:space="preserve">Cairan yang keluar dari uterus pascapersalinan, berubah karakter dari lokia rubra, serosa, hingga alba.</w:t>
      </w:r>
    </w:p>
    <w:p>
      <w:pPr>
        <w:spacing w:after="120" w:line="280"/>
      </w:pPr>
      <w:r>
        <w:rPr>
          <w:rFonts w:ascii="IBM Plex Sans" w:cs="IBM Plex Sans" w:eastAsia="IBM Plex Sans" w:hAnsi="IBM Plex Sans"/>
          <w:b/>
          <w:bCs/>
          <w:color w:val="334155"/>
          <w:sz w:val="20"/>
          <w:szCs w:val="20"/>
        </w:rPr>
        <w:t xml:space="preserve">Malposisi — </w:t>
      </w:r>
      <w:r>
        <w:rPr>
          <w:rFonts w:ascii="IBM Plex Sans" w:cs="IBM Plex Sans" w:eastAsia="IBM Plex Sans" w:hAnsi="IBM Plex Sans"/>
          <w:color w:val="334155"/>
          <w:sz w:val="20"/>
          <w:szCs w:val="20"/>
        </w:rPr>
        <w:t xml:space="preserve">Posisi kepala janin yang menyimpang dari posisi oksiput anterior, misalnya oksiput posterior persisten.</w:t>
      </w:r>
    </w:p>
    <w:p>
      <w:pPr>
        <w:spacing w:after="120" w:line="280"/>
      </w:pPr>
      <w:r>
        <w:rPr>
          <w:rFonts w:ascii="IBM Plex Sans" w:cs="IBM Plex Sans" w:eastAsia="IBM Plex Sans" w:hAnsi="IBM Plex Sans"/>
          <w:b/>
          <w:bCs/>
          <w:color w:val="334155"/>
          <w:sz w:val="20"/>
          <w:szCs w:val="20"/>
        </w:rPr>
        <w:t xml:space="preserve">Malpresentasi — </w:t>
      </w:r>
      <w:r>
        <w:rPr>
          <w:rFonts w:ascii="IBM Plex Sans" w:cs="IBM Plex Sans" w:eastAsia="IBM Plex Sans" w:hAnsi="IBM Plex Sans"/>
          <w:color w:val="334155"/>
          <w:sz w:val="20"/>
          <w:szCs w:val="20"/>
        </w:rPr>
        <w:t xml:space="preserve">Bagian terendah janin selain verteks, misalnya presentasi dahi, muka, atau bokong.</w:t>
      </w:r>
    </w:p>
    <w:p>
      <w:pPr>
        <w:spacing w:after="120" w:line="280"/>
      </w:pPr>
      <w:r>
        <w:rPr>
          <w:rFonts w:ascii="IBM Plex Sans" w:cs="IBM Plex Sans" w:eastAsia="IBM Plex Sans" w:hAnsi="IBM Plex Sans"/>
          <w:b/>
          <w:bCs/>
          <w:color w:val="334155"/>
          <w:sz w:val="20"/>
          <w:szCs w:val="20"/>
        </w:rPr>
        <w:t xml:space="preserve">Mastitis — </w:t>
      </w:r>
      <w:r>
        <w:rPr>
          <w:rFonts w:ascii="IBM Plex Sans" w:cs="IBM Plex Sans" w:eastAsia="IBM Plex Sans" w:hAnsi="IBM Plex Sans"/>
          <w:color w:val="334155"/>
          <w:sz w:val="20"/>
          <w:szCs w:val="20"/>
        </w:rPr>
        <w:t xml:space="preserve">Peradangan jaringan payudara, dengan atau tanpa infeksi bakteri, umum terjadi pada masa laktasi.</w:t>
      </w:r>
    </w:p>
    <w:p>
      <w:pPr>
        <w:spacing w:after="120" w:line="280"/>
      </w:pPr>
      <w:r>
        <w:rPr>
          <w:rFonts w:ascii="IBM Plex Sans" w:cs="IBM Plex Sans" w:eastAsia="IBM Plex Sans" w:hAnsi="IBM Plex Sans"/>
          <w:b/>
          <w:bCs/>
          <w:color w:val="334155"/>
          <w:sz w:val="20"/>
          <w:szCs w:val="20"/>
        </w:rPr>
        <w:t xml:space="preserve">Nifas (Puerperium) — </w:t>
      </w:r>
      <w:r>
        <w:rPr>
          <w:rFonts w:ascii="IBM Plex Sans" w:cs="IBM Plex Sans" w:eastAsia="IBM Plex Sans" w:hAnsi="IBM Plex Sans"/>
          <w:color w:val="334155"/>
          <w:sz w:val="20"/>
          <w:szCs w:val="20"/>
        </w:rPr>
        <w:t xml:space="preserve">Periode enam minggu pascapersalinan ketika organ reproduksi kembali ke kondisi sebelum hamil.</w:t>
      </w:r>
    </w:p>
    <w:p>
      <w:pPr>
        <w:spacing w:after="120" w:line="280"/>
      </w:pPr>
      <w:r>
        <w:rPr>
          <w:rFonts w:ascii="IBM Plex Sans" w:cs="IBM Plex Sans" w:eastAsia="IBM Plex Sans" w:hAnsi="IBM Plex Sans"/>
          <w:b/>
          <w:bCs/>
          <w:color w:val="334155"/>
          <w:sz w:val="20"/>
          <w:szCs w:val="20"/>
        </w:rPr>
        <w:t xml:space="preserve">Oksitosin — </w:t>
      </w:r>
      <w:r>
        <w:rPr>
          <w:rFonts w:ascii="IBM Plex Sans" w:cs="IBM Plex Sans" w:eastAsia="IBM Plex Sans" w:hAnsi="IBM Plex Sans"/>
          <w:color w:val="334155"/>
          <w:sz w:val="20"/>
          <w:szCs w:val="20"/>
        </w:rPr>
        <w:t xml:space="preserve">Hormon yang merangsang kontraksi uterus dan refleks pengeluaran (let-down) air susu ibu.</w:t>
      </w:r>
    </w:p>
    <w:p>
      <w:pPr>
        <w:spacing w:after="120" w:line="280"/>
      </w:pPr>
      <w:r>
        <w:rPr>
          <w:rFonts w:ascii="IBM Plex Sans" w:cs="IBM Plex Sans" w:eastAsia="IBM Plex Sans" w:hAnsi="IBM Plex Sans"/>
          <w:b/>
          <w:bCs/>
          <w:color w:val="334155"/>
          <w:sz w:val="20"/>
          <w:szCs w:val="20"/>
        </w:rPr>
        <w:t xml:space="preserve">Partograf — </w:t>
      </w:r>
      <w:r>
        <w:rPr>
          <w:rFonts w:ascii="IBM Plex Sans" w:cs="IBM Plex Sans" w:eastAsia="IBM Plex Sans" w:hAnsi="IBM Plex Sans"/>
          <w:color w:val="334155"/>
          <w:sz w:val="20"/>
          <w:szCs w:val="20"/>
        </w:rPr>
        <w:t xml:space="preserve">Alat pemantauan grafis kemajuan persalinan (dilatasi serviks dan penurunan janin) terhadap waktu.</w:t>
      </w:r>
    </w:p>
    <w:p>
      <w:pPr>
        <w:spacing w:after="120" w:line="280"/>
      </w:pPr>
      <w:r>
        <w:rPr>
          <w:rFonts w:ascii="IBM Plex Sans" w:cs="IBM Plex Sans" w:eastAsia="IBM Plex Sans" w:hAnsi="IBM Plex Sans"/>
          <w:b/>
          <w:bCs/>
          <w:color w:val="334155"/>
          <w:sz w:val="20"/>
          <w:szCs w:val="20"/>
        </w:rPr>
        <w:t xml:space="preserve">PPROM (Preterm Premature Rupture of Membrane) — </w:t>
      </w:r>
      <w:r>
        <w:rPr>
          <w:rFonts w:ascii="IBM Plex Sans" w:cs="IBM Plex Sans" w:eastAsia="IBM Plex Sans" w:hAnsi="IBM Plex Sans"/>
          <w:color w:val="334155"/>
          <w:sz w:val="20"/>
          <w:szCs w:val="20"/>
        </w:rPr>
        <w:t xml:space="preserve">Ketuban pecah sebelum usia kehamilan 37 minggu dan sebelum onset persalinan.</w:t>
      </w:r>
    </w:p>
    <w:p>
      <w:pPr>
        <w:spacing w:after="120" w:line="280"/>
      </w:pPr>
      <w:r>
        <w:rPr>
          <w:rFonts w:ascii="IBM Plex Sans" w:cs="IBM Plex Sans" w:eastAsia="IBM Plex Sans" w:hAnsi="IBM Plex Sans"/>
          <w:b/>
          <w:bCs/>
          <w:color w:val="334155"/>
          <w:sz w:val="20"/>
          <w:szCs w:val="20"/>
        </w:rPr>
        <w:t xml:space="preserve">PROM (Premature Rupture of Membrane) — </w:t>
      </w:r>
      <w:r>
        <w:rPr>
          <w:rFonts w:ascii="IBM Plex Sans" w:cs="IBM Plex Sans" w:eastAsia="IBM Plex Sans" w:hAnsi="IBM Plex Sans"/>
          <w:color w:val="334155"/>
          <w:sz w:val="20"/>
          <w:szCs w:val="20"/>
        </w:rPr>
        <w:t xml:space="preserve">Ketuban pecah sebelum onset kontraksi persalinan pada usia kehamilan aterm.</w:t>
      </w:r>
    </w:p>
    <w:p>
      <w:pPr>
        <w:spacing w:after="120" w:line="280"/>
      </w:pPr>
      <w:r>
        <w:rPr>
          <w:rFonts w:ascii="IBM Plex Sans" w:cs="IBM Plex Sans" w:eastAsia="IBM Plex Sans" w:hAnsi="IBM Plex Sans"/>
          <w:b/>
          <w:bCs/>
          <w:color w:val="334155"/>
          <w:sz w:val="20"/>
          <w:szCs w:val="20"/>
        </w:rPr>
        <w:t xml:space="preserve">Sphincteroplasty — </w:t>
      </w:r>
      <w:r>
        <w:rPr>
          <w:rFonts w:ascii="IBM Plex Sans" w:cs="IBM Plex Sans" w:eastAsia="IBM Plex Sans" w:hAnsi="IBM Plex Sans"/>
          <w:color w:val="334155"/>
          <w:sz w:val="20"/>
          <w:szCs w:val="20"/>
        </w:rPr>
        <w:t xml:space="preserve">Prosedur bedah rekonstruksi sfingter ani yang cedera akibat ruptur perineum derajat III–IV.</w:t>
      </w:r>
    </w:p>
    <w:p>
      <w:pPr>
        <w:spacing w:after="120" w:line="280"/>
      </w:pPr>
      <w:r>
        <w:rPr>
          <w:rFonts w:ascii="IBM Plex Sans" w:cs="IBM Plex Sans" w:eastAsia="IBM Plex Sans" w:hAnsi="IBM Plex Sans"/>
          <w:b/>
          <w:bCs/>
          <w:color w:val="334155"/>
          <w:sz w:val="20"/>
          <w:szCs w:val="20"/>
        </w:rPr>
        <w:t xml:space="preserve">Tokolisis — </w:t>
      </w:r>
      <w:r>
        <w:rPr>
          <w:rFonts w:ascii="IBM Plex Sans" w:cs="IBM Plex Sans" w:eastAsia="IBM Plex Sans" w:hAnsi="IBM Plex Sans"/>
          <w:color w:val="334155"/>
          <w:sz w:val="20"/>
          <w:szCs w:val="20"/>
        </w:rPr>
        <w:t xml:space="preserve">Pemberian obat untuk menghambat sementara kontraksi uterus pada ancaman persalinan preterm.</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BD5E1" w:sz="4"/>
      </w:pBdr>
      <w:tabs>
        <w:tab w:val="right" w:pos="9360"/>
      </w:tabs>
      <w:spacing w:before="100"/>
    </w:pPr>
    <w:r>
      <w:rPr>
        <w:rFonts w:ascii="IBM Plex Mono" w:cs="IBM Plex Mono" w:eastAsia="IBM Plex Mono" w:hAnsi="IBM Plex Mono"/>
        <w:color w:val="64748B"/>
        <w:sz w:val="16"/>
        <w:szCs w:val="16"/>
      </w:rPr>
      <w:t xml:space="preserve">Dokumen 6 dari 15 — ‹ B4 — Kegawatdaruratan Obstetri  |  B6 — Ginekologi Umum dan Infeksi Saluran Reproduksi ›	</w:t>
    </w:r>
    <w:r>
      <w:rPr>
        <w:rFonts w:ascii="IBM Plex Sans" w:cs="IBM Plex Sans" w:eastAsia="IBM Plex Sans" w:hAnsi="IBM Plex Sans"/>
        <w:color w:val="64748B"/>
        <w:sz w:val="16"/>
        <w:szCs w:val="16"/>
      </w:rPr>
      <w:t xml:space="preserve">Hal. </w:t>
    </w:r>
    <w:r>
      <w:rPr>
        <w:rFonts w:ascii="IBM Plex Sans" w:cs="IBM Plex Sans" w:eastAsia="IBM Plex Sans" w:hAnsi="IBM Plex Sans"/>
        <w:color w:val="64748B"/>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BD5E1" w:sz="4"/>
      </w:pBdr>
      <w:spacing w:after="100"/>
      <w:jc w:val="right"/>
    </w:pPr>
    <w:r>
      <w:rPr>
        <w:rFonts w:ascii="IBM Plex Sans" w:cs="IBM Plex Sans" w:eastAsia="IBM Plex Sans" w:hAnsi="IBM Plex Sans"/>
        <w:color w:val="64748B"/>
        <w:sz w:val="16"/>
        <w:szCs w:val="16"/>
      </w:rPr>
      <w:t xml:space="preserve">B5 · Persalinan, Masa Nifas, dan Laktasi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BM Plex Sans" w:cs="IBM Plex Sans" w:eastAsia="IBM Plex Sans" w:hAnsi="IBM Plex Sans"/>
        <w:color w:val="334155"/>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200" w:before="300"/>
    </w:pPr>
    <w:rPr>
      <w:rFonts w:ascii="Source Serif 4" w:cs="Source Serif 4" w:eastAsia="Source Serif 4" w:hAnsi="Source Serif 4"/>
      <w:b/>
      <w:bCs/>
      <w:color w:val="4F46E5"/>
      <w:sz w:val="32"/>
      <w:szCs w:val="32"/>
    </w:rPr>
  </w:style>
  <w:style w:type="paragraph" w:styleId="Heading2">
    <w:name w:val="Heading 2"/>
    <w:basedOn w:val="Normal"/>
    <w:next w:val="Normal"/>
    <w:qFormat/>
    <w:pPr>
      <w:spacing w:after="120" w:before="220"/>
    </w:pPr>
    <w:rPr>
      <w:rFonts w:ascii="Source Serif 4" w:cs="Source Serif 4" w:eastAsia="Source Serif 4" w:hAnsi="Source Serif 4"/>
      <w:b/>
      <w:bCs/>
      <w:color w:val="334155"/>
      <w:sz w:val="26"/>
      <w:szCs w:val="26"/>
    </w:rPr>
  </w:style>
  <w:style w:type="paragraph" w:styleId="Heading3">
    <w:name w:val="Heading 3"/>
    <w:basedOn w:val="Normal"/>
    <w:next w:val="Normal"/>
    <w:qFormat/>
    <w:pPr>
      <w:spacing w:after="100" w:before="180"/>
    </w:pPr>
    <w:rPr>
      <w:rFonts w:ascii="Source Serif 4" w:cs="Source Serif 4" w:eastAsia="Source Serif 4" w:hAnsi="Source Serif 4"/>
      <w:b/>
      <w:bCs/>
      <w:i/>
      <w:iCs/>
      <w:color w:val="B45309"/>
      <w:sz w:val="23"/>
      <w:szCs w:val="23"/>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aal19swxt1cjozvkqpv8w" Type="http://schemas.openxmlformats.org/officeDocument/2006/relationships/hyperlink" Target="https://www.who.int/publications/i/item/9789241550215" TargetMode="External"/><Relationship Id="rIday2ypplbfhibnk2-zvknw" Type="http://schemas.openxmlformats.org/officeDocument/2006/relationships/hyperlink" Target="https://www.who.int/publications/i/item/9789241513807" TargetMode="External"/><Relationship Id="rIdunhaljxre3gqutsvoioyj" Type="http://schemas.openxmlformats.org/officeDocument/2006/relationships/hyperlink" Target="https://www.rcog.org.uk/guidance/browse-all-guidance/green-top-guidelines/third-and-fourth-degree-perineal-tears-management-green-top-guideline-no-29/" TargetMode="External"/><Relationship Id="rIdd3odfpm7dqpmom25efipi" Type="http://schemas.openxmlformats.org/officeDocument/2006/relationships/hyperlink" Target="https://pubmed.ncbi.nlm.nih.gov/27661654/" TargetMode="External"/><Relationship Id="rIdcqdhc4e6d4s2au1ndjlbn" Type="http://schemas.openxmlformats.org/officeDocument/2006/relationships/hyperlink" Target="https://pubmed.ncbi.nlm.nih.gov/34293771/" TargetMode="External"/><Relationship Id="rIdq6hlbqxqbhvp0aes-zmrq" Type="http://schemas.openxmlformats.org/officeDocument/2006/relationships/hyperlink" Target="https://internationalmidwives.org/wp-content/uploads/EN_ICM-Essential-Competencies-for-Midwifery-Practice-1.pdf" TargetMode="External"/><Relationship Id="rIdg2taghzyxrqm6r7f--agm" Type="http://schemas.openxmlformats.org/officeDocument/2006/relationships/hyperlink" Target="https://www.cochrane.org/evidence/CD001058_antibiotics-preterm-rupture-membranes" TargetMode="External"/><Relationship Id="rId16"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Persalinan, Masa Nifas, dan Laktasi</dc:title>
  <dc:creator>Perpustakaan Digital ABBA</dc:creator>
  <cp:lastModifiedBy>Un-named</cp:lastModifiedBy>
  <cp:revision>1</cp:revision>
  <dcterms:created xsi:type="dcterms:W3CDTF">2026-08-16T22:30:55.326Z</dcterms:created>
  <dcterms:modified xsi:type="dcterms:W3CDTF">2026-08-16T22:30:55.326Z</dcterms:modified>
</cp:coreProperties>
</file>

<file path=docProps/custom.xml><?xml version="1.0" encoding="utf-8"?>
<Properties xmlns="http://schemas.openxmlformats.org/officeDocument/2006/custom-properties" xmlns:vt="http://schemas.openxmlformats.org/officeDocument/2006/docPropsVTypes"/>
</file>