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800"/>
      </w:pPr>
    </w:p>
    <w:p>
      <w:pPr>
        <w:spacing w:after="200"/>
        <w:jc w:val="center"/>
      </w:pPr>
      <w:r>
        <w:rPr>
          <w:rFonts w:ascii="IBM Plex Sans" w:cs="IBM Plex Sans" w:eastAsia="IBM Plex Sans" w:hAnsi="IBM Plex Sans"/>
          <w:b/>
          <w:bCs/>
          <w:color w:val="4F46E5"/>
          <w:sz w:val="20"/>
          <w:szCs w:val="20"/>
        </w:rPr>
        <w:t xml:space="preserve">PERPUSTAKAAN DIGITAL ABBA</w:t>
      </w:r>
    </w:p>
    <w:p>
      <w:pPr>
        <w:spacing w:after="600"/>
        <w:jc w:val="center"/>
      </w:pPr>
      <w:r>
        <w:rPr>
          <w:rFonts w:ascii="IBM Plex Sans" w:cs="IBM Plex Sans" w:eastAsia="IBM Plex Sans" w:hAnsi="IBM Plex Sans"/>
          <w:color w:val="334155"/>
          <w:sz w:val="18"/>
          <w:szCs w:val="18"/>
        </w:rPr>
        <w:t xml:space="preserve">Jl. Kerinci Raya No. 9, Malang 65138</w:t>
      </w:r>
    </w:p>
    <w:p>
      <w:pPr>
        <w:spacing w:after="100"/>
        <w:jc w:val="center"/>
      </w:pPr>
      <w:r>
        <w:rPr>
          <w:rFonts w:ascii="IBM Plex Sans" w:cs="IBM Plex Sans" w:eastAsia="IBM Plex Sans" w:hAnsi="IBM Plex Sans"/>
          <w:b/>
          <w:bCs/>
          <w:color w:val="B45309"/>
          <w:sz w:val="20"/>
          <w:szCs w:val="20"/>
        </w:rPr>
        <w:t xml:space="preserve">BUKU TEMATIK B6 · DOKUMEN 7 DARI 15</w:t>
      </w:r>
    </w:p>
    <w:p>
      <w:pPr>
        <w:spacing w:before="600"/>
      </w:pPr>
    </w:p>
    <w:p>
      <w:pPr>
        <w:spacing w:after="300"/>
        <w:jc w:val="center"/>
      </w:pPr>
      <w:r>
        <w:rPr>
          <w:rFonts w:ascii="Source Serif 4" w:cs="Source Serif 4" w:eastAsia="Source Serif 4" w:hAnsi="Source Serif 4"/>
          <w:b/>
          <w:bCs/>
          <w:color w:val="4F46E5"/>
          <w:sz w:val="52"/>
          <w:szCs w:val="52"/>
        </w:rPr>
        <w:t xml:space="preserve">Ginekologi Umum dan Infeksi Saluran Reproduksi</w:t>
      </w:r>
    </w:p>
    <w:p>
      <w:pPr>
        <w:spacing w:after="800"/>
        <w:jc w:val="center"/>
      </w:pPr>
      <w:r>
        <w:rPr>
          <w:rFonts w:ascii="IBM Plex Sans" w:cs="IBM Plex Sans" w:eastAsia="IBM Plex Sans" w:hAnsi="IBM Plex Sans"/>
          <w:i/>
          <w:iCs/>
          <w:color w:val="334155"/>
          <w:sz w:val="22"/>
          <w:szCs w:val="22"/>
        </w:rPr>
        <w:t xml:space="preserve">Ekosistem Literatur Standar SpOG — Buku Tematik</w:t>
      </w:r>
    </w:p>
    <w:p>
      <w:pPr>
        <w:spacing w:before="1600"/>
      </w:pPr>
    </w:p>
    <w:p>
      <w:pPr>
        <w:spacing w:after="80"/>
        <w:jc w:val="center"/>
      </w:pPr>
      <w:r>
        <w:rPr>
          <w:rFonts w:ascii="IBM Plex Sans" w:cs="IBM Plex Sans" w:eastAsia="IBM Plex Sans" w:hAnsi="IBM Plex Sans"/>
          <w:b/>
          <w:bCs/>
          <w:color w:val="334155"/>
          <w:sz w:val="22"/>
          <w:szCs w:val="22"/>
        </w:rPr>
        <w:t xml:space="preserve">Dr.dr. Budi Siswanto, Sp.OG., Subsp.Obginsos., SH., S.Kom.</w:t>
      </w:r>
    </w:p>
    <w:p>
      <w:pPr>
        <w:spacing w:after="400"/>
        <w:jc w:val="center"/>
      </w:pPr>
      <w:r>
        <w:rPr>
          <w:rFonts w:ascii="IBM Plex Sans" w:cs="IBM Plex Sans" w:eastAsia="IBM Plex Sans" w:hAnsi="IBM Plex Sans"/>
          <w:color w:val="475569"/>
          <w:sz w:val="19"/>
          <w:szCs w:val="19"/>
        </w:rPr>
        <w:t xml:space="preserve">Divisi Pengampu Bab Kontribusi: Obstetri Ginekologi Sosial</w:t>
      </w:r>
    </w:p>
    <w:p>
      <w:pPr>
        <w:spacing w:after="40"/>
        <w:jc w:val="center"/>
      </w:pPr>
      <w:r>
        <w:rPr>
          <w:rFonts w:ascii="IBM Plex Mono" w:cs="IBM Plex Mono" w:eastAsia="IBM Plex Mono" w:hAnsi="IBM Plex Mono"/>
          <w:color w:val="475569"/>
          <w:sz w:val="17"/>
          <w:szCs w:val="17"/>
        </w:rPr>
        <w:t xml:space="preserve">Dasar Regulasi: Kepkonsil No. HK.01.02/KKI/1318/2026 — Tabel 7 No. 41-47, 71</w:t>
      </w:r>
    </w:p>
    <w:p>
      <w:pPr>
        <w:jc w:val="center"/>
      </w:pPr>
      <w:r>
        <w:rPr>
          <w:rFonts w:ascii="IBM Plex Sans" w:cs="IBM Plex Sans" w:eastAsia="IBM Plex Sans" w:hAnsi="IBM Plex Sans"/>
          <w:i/>
          <w:iCs/>
          <w:color w:val="475569"/>
          <w:sz w:val="17"/>
          <w:szCs w:val="17"/>
        </w:rPr>
        <w:t xml:space="preserve">Audiens: Peserta Didik Program Pendidikan Dokter Spesialis (PPDS) Obstetri dan Ginekologi, Tahun I-III</w:t>
      </w:r>
    </w:p>
    <w:p>
      <w:pPr>
        <w:pStyle w:val="Heading1"/>
        <w:spacing w:after="240" w:before="0"/>
      </w:pPr>
      <w:r>
        <w:rPr>
          <w:rFonts w:ascii="Source Serif 4" w:cs="Source Serif 4" w:eastAsia="Source Serif 4" w:hAnsi="Source Serif 4"/>
          <w:b/>
          <w:bCs/>
          <w:color w:val="4F46E5"/>
          <w:sz w:val="32"/>
          <w:szCs w:val="32"/>
        </w:rPr>
        <w:t xml:space="preserve">Daftar Isi</w:t>
      </w:r>
    </w:p>
    <w:sdt>
      <w:sdtPr>
        <w:alias w:val="Daftar Isi"/>
      </w:sdtPr>
      <w:sdtContent>
        <w:p>
          <w:r>
            <w:fldChar w:fldCharType="begin" w:dirty="true"/>
            <w:instrText xml:space="preserve">TOC \h \o "1-3"</w:instrText>
            <w:fldChar w:fldCharType="separate"/>
          </w:r>
        </w:p>
        <w:p>
          <w:r>
            <w:fldChar w:fldCharType="end"/>
          </w:r>
        </w:p>
      </w:sdtContent>
    </w:sdt>
    <w:p>
      <w:r>
        <w:br w:type="page"/>
      </w:r>
    </w:p>
    <w:p>
      <w:pPr>
        <w:pStyle w:val="Heading1"/>
        <w:pBdr>
          <w:bottom w:val="single" w:color="4F46E5" w:sz="12" w:space="4"/>
        </w:pBdr>
        <w:spacing w:after="240" w:before="480"/>
      </w:pPr>
      <w:r>
        <w:rPr>
          <w:rFonts w:ascii="Source Serif 4" w:cs="Source Serif 4" w:eastAsia="Source Serif 4" w:hAnsi="Source Serif 4"/>
          <w:b/>
          <w:bCs/>
          <w:color w:val="4F46E5"/>
          <w:sz w:val="32"/>
          <w:szCs w:val="32"/>
        </w:rPr>
        <w:t xml:space="preserve">Bab I — Pendahuluan</w:t>
      </w:r>
    </w:p>
    <w:p>
      <w:pPr>
        <w:pStyle w:val="Heading2"/>
        <w:spacing w:after="160" w:before="320"/>
      </w:pPr>
      <w:r>
        <w:rPr>
          <w:rFonts w:ascii="Source Serif 4" w:cs="Source Serif 4" w:eastAsia="Source Serif 4" w:hAnsi="Source Serif 4"/>
          <w:b/>
          <w:bCs/>
          <w:color w:val="4F46E5"/>
          <w:sz w:val="26"/>
          <w:szCs w:val="26"/>
        </w:rPr>
        <w:t xml:space="preserve">1.1 Latar Belakang dan Ruang Lingkup</w:t>
      </w:r>
    </w:p>
    <w:p>
      <w:pPr>
        <w:spacing w:after="200" w:line="300"/>
        <w:jc w:val="both"/>
      </w:pPr>
      <w:r>
        <w:rPr>
          <w:rFonts w:ascii="IBM Plex Sans" w:cs="IBM Plex Sans" w:eastAsia="IBM Plex Sans" w:hAnsi="IBM Plex Sans"/>
          <w:color w:val="334155"/>
          <w:sz w:val="22"/>
          <w:szCs w:val="22"/>
        </w:rPr>
        <w:t xml:space="preserve">Ginekologi umum dan infeksi saluran reproduksi (ISR) merupakan salah satu kelompok masalah kesehatan yang paling sering dijumpai dalam praktik sehari-hari dokter spesialis Obstetri dan Ginekologi (SpOG), baik pada layanan primer rujukan maupun rumah sakit pendidikan. Kelompok penyakit ini mencakup rentang yang luas: mulai dari inflamasi lokal saluran reproduksi bawah yang bersifat swasirna, hingga penyakit radang panggul (pelvic inflammatory disease, PID) yang berpotensi menimbulkan sekuele jangka panjang berupa infertilitas dan nyeri panggul kronis, serta infeksi menular seksual (IMS) yang memiliki dimensi individu sekaligus dimensi kesehatan masyarakat.</w:t>
      </w:r>
    </w:p>
    <w:p>
      <w:pPr>
        <w:spacing w:after="200" w:line="300"/>
        <w:jc w:val="both"/>
      </w:pPr>
      <w:r>
        <w:rPr>
          <w:rFonts w:ascii="IBM Plex Sans" w:cs="IBM Plex Sans" w:eastAsia="IBM Plex Sans" w:hAnsi="IBM Plex Sans"/>
          <w:color w:val="334155"/>
          <w:sz w:val="22"/>
          <w:szCs w:val="22"/>
        </w:rPr>
        <w:t xml:space="preserve">Buku tematik ini disusun sebagai bagian dari Ekosistem Literatur Standar SpOG dan berfungsi sebagai jembatan antara Buku Utama (fondasi kompetensi menyeluruh) dengan dokumen Panduan Praktik Klinis (PPK) dan Panduan Praktik Klinis Kelompok (PPKK) yang lebih spesifik pada masing-masing entitas diagnosis. Cakupan buku ini secara eksplisit mengikuti entri Tabel 7 Kepkonsil No. HK.01.02/KKI/1318/2026 Nomor 41 sampai dengan 47, serta Nomor 71, yang bersama-sama membentuk spektrum ginekologi umum dan infeksi saluran reproduksi yang wajib dikuasai oleh dokter spesialis Obstetri dan Ginekologi.</w:t>
      </w:r>
    </w:p>
    <w:p>
      <w:pPr>
        <w:spacing w:after="200" w:line="300"/>
        <w:jc w:val="both"/>
      </w:pPr>
      <w:r>
        <w:rPr>
          <w:rFonts w:ascii="IBM Plex Sans" w:cs="IBM Plex Sans" w:eastAsia="IBM Plex Sans" w:hAnsi="IBM Plex Sans"/>
          <w:color w:val="334155"/>
          <w:sz w:val="22"/>
          <w:szCs w:val="22"/>
        </w:rPr>
        <w:t xml:space="preserve">Perlu dicatat bahwa entri Nomor 47 (mioma uteri tanpa penyulit) bukan merupakan penyakit infeksi, melainkan representasi dari komponen "Ginekologi Umum" pada judul buku ini — yaitu kondisi ginekologik jinak yang sangat sering menjadi diagnosis banding pada keluhan nyeri panggul dan perdarahan uterus abnormal yang juga menjadi manifestasi infeksi saluran reproduksi. Pembahasan mioma uteri pada buku ini dibatasi pada perannya sebagai diagnosis banding dalam alur pikir klinis Bab III; pembahasan tuntas mengenai tata laksana mioma uteri dirujuk ke PPK tersendiri sebagaimana peta rujukan pada Bab VIII.</w:t>
      </w:r>
    </w:p>
    <w:p>
      <w:pPr>
        <w:spacing w:before="12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single" w:color="E2E8F0" w:sz="2"/>
              <w:left w:val="single" w:color="4F46E5" w:sz="24"/>
              <w:bottom w:val="single" w:color="E2E8F0" w:sz="2"/>
              <w:right w:val="single" w:color="E2E8F0" w:sz="2"/>
            </w:tcBorders>
            <w:shd w:fill="EEF2FF" w:val="clear"/>
            <w:tcMar>
              <w:top w:type="dxa" w:w="160"/>
              <w:left w:type="dxa" w:w="200"/>
              <w:bottom w:type="dxa" w:w="160"/>
              <w:right w:type="dxa" w:w="200"/>
            </w:tcMar>
          </w:tcPr>
          <w:p>
            <w:pPr>
              <w:spacing w:after="80"/>
            </w:pPr>
            <w:r>
              <w:rPr>
                <w:rFonts w:ascii="IBM Plex Sans" w:cs="IBM Plex Sans" w:eastAsia="IBM Plex Sans" w:hAnsi="IBM Plex Sans"/>
                <w:b/>
                <w:bCs/>
                <w:color w:val="4F46E5"/>
                <w:sz w:val="20"/>
                <w:szCs w:val="20"/>
              </w:rPr>
              <w:t xml:space="preserve">Dasar Regulasi</w:t>
            </w:r>
          </w:p>
          <w:p>
            <w:pPr>
              <w:spacing w:after="0" w:line="280"/>
            </w:pPr>
            <w:r>
              <w:rPr>
                <w:rFonts w:ascii="IBM Plex Sans" w:cs="IBM Plex Sans" w:eastAsia="IBM Plex Sans" w:hAnsi="IBM Plex Sans"/>
                <w:color w:val="334155"/>
                <w:sz w:val="21"/>
                <w:szCs w:val="21"/>
              </w:rPr>
              <w:t xml:space="preserve">Dasar hukum bab ini adalah Lampiran Kepkonsil No. HK.01.02/KKI/1318/2026, BAB II Area Kompetensi 2 (Kompetensi Medis), Tabel 7 "Spektrum Penyakit dan Kondisi Klinis yang ditangani Spesialis Obstetri dan Ginekologi", entri Nomor 41-47 dan Nomor 71.</w:t>
            </w:r>
          </w:p>
        </w:tc>
      </w:tr>
    </w:tbl>
    <w:p>
      <w:pPr>
        <w:spacing w:after="120"/>
      </w:pPr>
    </w:p>
    <w:p>
      <w:pPr>
        <w:pStyle w:val="Heading2"/>
        <w:spacing w:after="160" w:before="320"/>
      </w:pPr>
      <w:r>
        <w:rPr>
          <w:rFonts w:ascii="Source Serif 4" w:cs="Source Serif 4" w:eastAsia="Source Serif 4" w:hAnsi="Source Serif 4"/>
          <w:b/>
          <w:bCs/>
          <w:color w:val="4F46E5"/>
          <w:sz w:val="26"/>
          <w:szCs w:val="26"/>
        </w:rPr>
        <w:t xml:space="preserve">1.2 Dasar Regulasi: Cakupan Entri Tabel 7</w:t>
      </w:r>
    </w:p>
    <w:p>
      <w:pPr>
        <w:spacing w:after="200" w:line="300"/>
        <w:jc w:val="both"/>
      </w:pPr>
      <w:r>
        <w:rPr>
          <w:rFonts w:ascii="IBM Plex Sans" w:cs="IBM Plex Sans" w:eastAsia="IBM Plex Sans" w:hAnsi="IBM Plex Sans"/>
          <w:color w:val="334155"/>
          <w:sz w:val="22"/>
          <w:szCs w:val="22"/>
        </w:rPr>
        <w:t xml:space="preserve">Kedelapan entri yang menjadi dasar buku ini disajikan pada tabel berikut, diekstrak langsung dari Lampiran Kepkonsil dan diverifikasi ulang terhadap dokumen sumber resmi.</w:t>
      </w:r>
    </w:p>
    <w:p>
      <w:pPr>
        <w:spacing w:after="100" w:before="160"/>
      </w:pPr>
      <w:r>
        <w:rPr>
          <w:rFonts w:ascii="IBM Plex Sans" w:cs="IBM Plex Sans" w:eastAsia="IBM Plex Sans" w:hAnsi="IBM Plex Sans"/>
          <w:b/>
          <w:bCs/>
          <w:i/>
          <w:iCs/>
          <w:color w:val="334155"/>
          <w:sz w:val="19"/>
          <w:szCs w:val="19"/>
        </w:rPr>
        <w:t xml:space="preserve">Tabel 1.1 — Entri Tabel 7 Kepkonsil yang menjadi dasar Buku Tematik B6</w:t>
      </w:r>
    </w:p>
    <w:tbl>
      <w:tblPr>
        <w:tblW w:type="pct" w:w="100%"/>
        <w:tblBorders>
          <w:top w:val="single" w:color="CBD5E1" w:sz="4"/>
          <w:left w:val="single" w:color="CBD5E1" w:sz="4"/>
          <w:bottom w:val="single" w:color="CBD5E1" w:sz="4"/>
          <w:right w:val="single" w:color="CBD5E1" w:sz="4"/>
          <w:insideH w:val="single" w:color="E2E8F0" w:sz="2"/>
          <w:insideV w:val="single" w:color="E2E8F0" w:sz="2"/>
        </w:tblBorders>
      </w:tblPr>
      <w:tblGrid>
        <w:gridCol w:w="1558"/>
        <w:gridCol w:w="1558"/>
        <w:gridCol w:w="1558"/>
        <w:gridCol w:w="1558"/>
        <w:gridCol w:w="1558"/>
        <w:gridCol w:w="1558"/>
      </w:tblGrid>
      <w:tr>
        <w:trPr>
          <w:tblHeader/>
        </w:trPr>
        <w:tc>
          <w:tcPr>
            <w:tcW w:type="dxa" w:w="1558"/>
            <w:shd w:fill="4F46E5" w:val="clear"/>
            <w:tcMar>
              <w:top w:type="dxa" w:w="100"/>
              <w:left w:type="dxa" w:w="100"/>
              <w:bottom w:type="dxa" w:w="100"/>
              <w:right w:type="dxa" w:w="100"/>
            </w:tcMar>
          </w:tcPr>
          <w:p>
            <w:r>
              <w:rPr>
                <w:rFonts w:ascii="IBM Plex Sans" w:cs="IBM Plex Sans" w:eastAsia="IBM Plex Sans" w:hAnsi="IBM Plex Sans"/>
                <w:b/>
                <w:bCs/>
                <w:color w:val="FFFFFF"/>
                <w:sz w:val="19"/>
                <w:szCs w:val="19"/>
              </w:rPr>
              <w:t xml:space="preserve">No</w:t>
            </w:r>
          </w:p>
        </w:tc>
        <w:tc>
          <w:tcPr>
            <w:tcW w:type="dxa" w:w="1558"/>
            <w:shd w:fill="4F46E5" w:val="clear"/>
            <w:tcMar>
              <w:top w:type="dxa" w:w="100"/>
              <w:left w:type="dxa" w:w="100"/>
              <w:bottom w:type="dxa" w:w="100"/>
              <w:right w:type="dxa" w:w="100"/>
            </w:tcMar>
          </w:tcPr>
          <w:p>
            <w:r>
              <w:rPr>
                <w:rFonts w:ascii="IBM Plex Sans" w:cs="IBM Plex Sans" w:eastAsia="IBM Plex Sans" w:hAnsi="IBM Plex Sans"/>
                <w:b/>
                <w:bCs/>
                <w:color w:val="FFFFFF"/>
                <w:sz w:val="19"/>
                <w:szCs w:val="19"/>
              </w:rPr>
              <w:t xml:space="preserve">Nama Penyakit (ID)</w:t>
            </w:r>
          </w:p>
        </w:tc>
        <w:tc>
          <w:tcPr>
            <w:tcW w:type="dxa" w:w="1558"/>
            <w:shd w:fill="4F46E5" w:val="clear"/>
            <w:tcMar>
              <w:top w:type="dxa" w:w="100"/>
              <w:left w:type="dxa" w:w="100"/>
              <w:bottom w:type="dxa" w:w="100"/>
              <w:right w:type="dxa" w:w="100"/>
            </w:tcMar>
          </w:tcPr>
          <w:p>
            <w:r>
              <w:rPr>
                <w:rFonts w:ascii="IBM Plex Sans" w:cs="IBM Plex Sans" w:eastAsia="IBM Plex Sans" w:hAnsi="IBM Plex Sans"/>
                <w:b/>
                <w:bCs/>
                <w:color w:val="FFFFFF"/>
                <w:sz w:val="19"/>
                <w:szCs w:val="19"/>
              </w:rPr>
              <w:t xml:space="preserve">Disease (EN)</w:t>
            </w:r>
          </w:p>
        </w:tc>
        <w:tc>
          <w:tcPr>
            <w:tcW w:type="dxa" w:w="1558"/>
            <w:shd w:fill="4F46E5" w:val="clear"/>
            <w:tcMar>
              <w:top w:type="dxa" w:w="100"/>
              <w:left w:type="dxa" w:w="100"/>
              <w:bottom w:type="dxa" w:w="100"/>
              <w:right w:type="dxa" w:w="100"/>
            </w:tcMar>
          </w:tcPr>
          <w:p>
            <w:r>
              <w:rPr>
                <w:rFonts w:ascii="IBM Plex Sans" w:cs="IBM Plex Sans" w:eastAsia="IBM Plex Sans" w:hAnsi="IBM Plex Sans"/>
                <w:b/>
                <w:bCs/>
                <w:color w:val="FFFFFF"/>
                <w:sz w:val="19"/>
                <w:szCs w:val="19"/>
              </w:rPr>
              <w:t xml:space="preserve">ICD-10</w:t>
            </w:r>
          </w:p>
        </w:tc>
        <w:tc>
          <w:tcPr>
            <w:tcW w:type="dxa" w:w="1558"/>
            <w:shd w:fill="4F46E5" w:val="clear"/>
            <w:tcMar>
              <w:top w:type="dxa" w:w="100"/>
              <w:left w:type="dxa" w:w="100"/>
              <w:bottom w:type="dxa" w:w="100"/>
              <w:right w:type="dxa" w:w="100"/>
            </w:tcMar>
          </w:tcPr>
          <w:p>
            <w:r>
              <w:rPr>
                <w:rFonts w:ascii="IBM Plex Sans" w:cs="IBM Plex Sans" w:eastAsia="IBM Plex Sans" w:hAnsi="IBM Plex Sans"/>
                <w:b/>
                <w:bCs/>
                <w:color w:val="FFFFFF"/>
                <w:sz w:val="19"/>
                <w:szCs w:val="19"/>
              </w:rPr>
              <w:t xml:space="preserve">ICD-11</w:t>
            </w:r>
          </w:p>
        </w:tc>
        <w:tc>
          <w:tcPr>
            <w:tcW w:type="dxa" w:w="1558"/>
            <w:shd w:fill="4F46E5" w:val="clear"/>
            <w:tcMar>
              <w:top w:type="dxa" w:w="100"/>
              <w:left w:type="dxa" w:w="100"/>
              <w:bottom w:type="dxa" w:w="100"/>
              <w:right w:type="dxa" w:w="100"/>
            </w:tcMar>
          </w:tcPr>
          <w:p>
            <w:r>
              <w:rPr>
                <w:rFonts w:ascii="IBM Plex Sans" w:cs="IBM Plex Sans" w:eastAsia="IBM Plex Sans" w:hAnsi="IBM Plex Sans"/>
                <w:b/>
                <w:bCs/>
                <w:color w:val="FFFFFF"/>
                <w:sz w:val="19"/>
                <w:szCs w:val="19"/>
              </w:rPr>
              <w:t xml:space="preserve">Keterangan/Populasi Prioritas</w:t>
            </w:r>
          </w:p>
        </w:tc>
      </w:tr>
      <w:tr>
        <w:tc>
          <w:tcPr>
            <w:tcW w:type="dxa" w:w="1558"/>
            <w:shd w:fill="FFFFFF" w:val="clear"/>
            <w:tcMar>
              <w:top w:type="dxa" w:w="100"/>
              <w:left w:type="dxa" w:w="100"/>
              <w:bottom w:type="dxa" w:w="100"/>
              <w:right w:type="dxa" w:w="100"/>
            </w:tcMar>
          </w:tcPr>
          <w:p>
            <w:r>
              <w:rPr>
                <w:rFonts w:ascii="IBM Plex Mono" w:cs="IBM Plex Mono" w:eastAsia="IBM Plex Mono" w:hAnsi="IBM Plex Mono"/>
                <w:color w:val="334155"/>
                <w:sz w:val="18"/>
                <w:szCs w:val="18"/>
              </w:rPr>
              <w:t xml:space="preserve">41</w:t>
            </w:r>
          </w:p>
        </w:tc>
        <w:tc>
          <w:tcPr>
            <w:tcW w:type="dxa" w:w="1558"/>
            <w:shd w:fill="FFFFFF" w:val="clear"/>
            <w:tcMar>
              <w:top w:type="dxa" w:w="100"/>
              <w:left w:type="dxa" w:w="100"/>
              <w:bottom w:type="dxa" w:w="100"/>
              <w:right w:type="dxa" w:w="100"/>
            </w:tcMar>
          </w:tcPr>
          <w:p>
            <w:r>
              <w:rPr>
                <w:rFonts w:ascii="IBM Plex Mono" w:cs="IBM Plex Mono" w:eastAsia="IBM Plex Mono" w:hAnsi="IBM Plex Mono"/>
                <w:color w:val="334155"/>
                <w:sz w:val="18"/>
                <w:szCs w:val="18"/>
              </w:rPr>
              <w:t xml:space="preserve">Kondiloma akuminatum</w:t>
            </w:r>
          </w:p>
        </w:tc>
        <w:tc>
          <w:tcPr>
            <w:tcW w:type="dxa" w:w="1558"/>
            <w:shd w:fill="FFFFFF" w:val="clear"/>
            <w:tcMar>
              <w:top w:type="dxa" w:w="100"/>
              <w:left w:type="dxa" w:w="100"/>
              <w:bottom w:type="dxa" w:w="100"/>
              <w:right w:type="dxa" w:w="100"/>
            </w:tcMar>
          </w:tcPr>
          <w:p>
            <w:r>
              <w:rPr>
                <w:rFonts w:ascii="IBM Plex Mono" w:cs="IBM Plex Mono" w:eastAsia="IBM Plex Mono" w:hAnsi="IBM Plex Mono"/>
                <w:color w:val="334155"/>
                <w:sz w:val="18"/>
                <w:szCs w:val="18"/>
              </w:rPr>
              <w:t xml:space="preserve">Condyloma acuminatum</w:t>
            </w:r>
          </w:p>
        </w:tc>
        <w:tc>
          <w:tcPr>
            <w:tcW w:type="dxa" w:w="1558"/>
            <w:shd w:fill="FFFFFF" w:val="clear"/>
            <w:tcMar>
              <w:top w:type="dxa" w:w="100"/>
              <w:left w:type="dxa" w:w="100"/>
              <w:bottom w:type="dxa" w:w="100"/>
              <w:right w:type="dxa" w:w="100"/>
            </w:tcMar>
          </w:tcPr>
          <w:p>
            <w:r>
              <w:rPr>
                <w:rFonts w:ascii="IBM Plex Mono" w:cs="IBM Plex Mono" w:eastAsia="IBM Plex Mono" w:hAnsi="IBM Plex Mono"/>
                <w:color w:val="334155"/>
                <w:sz w:val="18"/>
                <w:szCs w:val="18"/>
              </w:rPr>
              <w:t xml:space="preserve">A63.0</w:t>
            </w:r>
          </w:p>
        </w:tc>
        <w:tc>
          <w:tcPr>
            <w:tcW w:type="dxa" w:w="1558"/>
            <w:shd w:fill="FFFFFF" w:val="clear"/>
            <w:tcMar>
              <w:top w:type="dxa" w:w="100"/>
              <w:left w:type="dxa" w:w="100"/>
              <w:bottom w:type="dxa" w:w="100"/>
              <w:right w:type="dxa" w:w="100"/>
            </w:tcMar>
          </w:tcPr>
          <w:p>
            <w:r>
              <w:rPr>
                <w:rFonts w:ascii="IBM Plex Sans" w:cs="IBM Plex Sans" w:eastAsia="IBM Plex Sans" w:hAnsi="IBM Plex Sans"/>
                <w:color w:val="334155"/>
                <w:sz w:val="18"/>
                <w:szCs w:val="18"/>
              </w:rPr>
              <w:t xml:space="preserve">1A95.1</w:t>
            </w:r>
          </w:p>
        </w:tc>
        <w:tc>
          <w:tcPr>
            <w:tcW w:type="dxa" w:w="1558"/>
            <w:shd w:fill="FFFFFF" w:val="clear"/>
            <w:tcMar>
              <w:top w:type="dxa" w:w="100"/>
              <w:left w:type="dxa" w:w="100"/>
              <w:bottom w:type="dxa" w:w="100"/>
              <w:right w:type="dxa" w:w="100"/>
            </w:tcMar>
          </w:tcPr>
          <w:p>
            <w:r>
              <w:rPr>
                <w:rFonts w:ascii="IBM Plex Sans" w:cs="IBM Plex Sans" w:eastAsia="IBM Plex Sans" w:hAnsi="IBM Plex Sans"/>
                <w:color w:val="334155"/>
                <w:sz w:val="18"/>
                <w:szCs w:val="18"/>
              </w:rPr>
              <w:t xml:space="preserve">Infeksi HPV anogenital</w:t>
            </w:r>
          </w:p>
        </w:tc>
      </w:tr>
      <w:tr>
        <w:tc>
          <w:tcPr>
            <w:tcW w:type="dxa" w:w="1558"/>
            <w:shd w:fill="F1F5F9" w:val="clear"/>
            <w:tcMar>
              <w:top w:type="dxa" w:w="100"/>
              <w:left w:type="dxa" w:w="100"/>
              <w:bottom w:type="dxa" w:w="100"/>
              <w:right w:type="dxa" w:w="100"/>
            </w:tcMar>
          </w:tcPr>
          <w:p>
            <w:r>
              <w:rPr>
                <w:rFonts w:ascii="IBM Plex Mono" w:cs="IBM Plex Mono" w:eastAsia="IBM Plex Mono" w:hAnsi="IBM Plex Mono"/>
                <w:color w:val="334155"/>
                <w:sz w:val="18"/>
                <w:szCs w:val="18"/>
              </w:rPr>
              <w:t xml:space="preserve">42</w:t>
            </w:r>
          </w:p>
        </w:tc>
        <w:tc>
          <w:tcPr>
            <w:tcW w:type="dxa" w:w="1558"/>
            <w:shd w:fill="F1F5F9" w:val="clear"/>
            <w:tcMar>
              <w:top w:type="dxa" w:w="100"/>
              <w:left w:type="dxa" w:w="100"/>
              <w:bottom w:type="dxa" w:w="100"/>
              <w:right w:type="dxa" w:w="100"/>
            </w:tcMar>
          </w:tcPr>
          <w:p>
            <w:r>
              <w:rPr>
                <w:rFonts w:ascii="IBM Plex Mono" w:cs="IBM Plex Mono" w:eastAsia="IBM Plex Mono" w:hAnsi="IBM Plex Mono"/>
                <w:color w:val="334155"/>
                <w:sz w:val="18"/>
                <w:szCs w:val="18"/>
              </w:rPr>
              <w:t xml:space="preserve">Vaginitis</w:t>
            </w:r>
          </w:p>
        </w:tc>
        <w:tc>
          <w:tcPr>
            <w:tcW w:type="dxa" w:w="1558"/>
            <w:shd w:fill="F1F5F9" w:val="clear"/>
            <w:tcMar>
              <w:top w:type="dxa" w:w="100"/>
              <w:left w:type="dxa" w:w="100"/>
              <w:bottom w:type="dxa" w:w="100"/>
              <w:right w:type="dxa" w:w="100"/>
            </w:tcMar>
          </w:tcPr>
          <w:p>
            <w:r>
              <w:rPr>
                <w:rFonts w:ascii="IBM Plex Mono" w:cs="IBM Plex Mono" w:eastAsia="IBM Plex Mono" w:hAnsi="IBM Plex Mono"/>
                <w:color w:val="334155"/>
                <w:sz w:val="18"/>
                <w:szCs w:val="18"/>
              </w:rPr>
              <w:t xml:space="preserve">Vaginitis</w:t>
            </w:r>
          </w:p>
        </w:tc>
        <w:tc>
          <w:tcPr>
            <w:tcW w:type="dxa" w:w="1558"/>
            <w:shd w:fill="F1F5F9" w:val="clear"/>
            <w:tcMar>
              <w:top w:type="dxa" w:w="100"/>
              <w:left w:type="dxa" w:w="100"/>
              <w:bottom w:type="dxa" w:w="100"/>
              <w:right w:type="dxa" w:w="100"/>
            </w:tcMar>
          </w:tcPr>
          <w:p>
            <w:r>
              <w:rPr>
                <w:rFonts w:ascii="IBM Plex Mono" w:cs="IBM Plex Mono" w:eastAsia="IBM Plex Mono" w:hAnsi="IBM Plex Mono"/>
                <w:color w:val="334155"/>
                <w:sz w:val="18"/>
                <w:szCs w:val="18"/>
              </w:rPr>
              <w:t xml:space="preserve">N76.0</w:t>
            </w:r>
          </w:p>
        </w:tc>
        <w:tc>
          <w:tcPr>
            <w:tcW w:type="dxa" w:w="1558"/>
            <w:shd w:fill="F1F5F9" w:val="clear"/>
            <w:tcMar>
              <w:top w:type="dxa" w:w="100"/>
              <w:left w:type="dxa" w:w="100"/>
              <w:bottom w:type="dxa" w:w="100"/>
              <w:right w:type="dxa" w:w="100"/>
            </w:tcMar>
          </w:tcPr>
          <w:p>
            <w:r>
              <w:rPr>
                <w:rFonts w:ascii="IBM Plex Sans" w:cs="IBM Plex Sans" w:eastAsia="IBM Plex Sans" w:hAnsi="IBM Plex Sans"/>
                <w:color w:val="334155"/>
                <w:sz w:val="18"/>
                <w:szCs w:val="18"/>
              </w:rPr>
              <w:t xml:space="preserve">GA02</w:t>
            </w:r>
          </w:p>
        </w:tc>
        <w:tc>
          <w:tcPr>
            <w:tcW w:type="dxa" w:w="1558"/>
            <w:shd w:fill="F1F5F9" w:val="clear"/>
            <w:tcMar>
              <w:top w:type="dxa" w:w="100"/>
              <w:left w:type="dxa" w:w="100"/>
              <w:bottom w:type="dxa" w:w="100"/>
              <w:right w:type="dxa" w:w="100"/>
            </w:tcMar>
          </w:tcPr>
          <w:p>
            <w:r>
              <w:rPr>
                <w:rFonts w:ascii="IBM Plex Sans" w:cs="IBM Plex Sans" w:eastAsia="IBM Plex Sans" w:hAnsi="IBM Plex Sans"/>
                <w:color w:val="334155"/>
                <w:sz w:val="18"/>
                <w:szCs w:val="18"/>
              </w:rPr>
              <w:t xml:space="preserve">Inflamasi vagina</w:t>
            </w:r>
          </w:p>
        </w:tc>
      </w:tr>
      <w:tr>
        <w:tc>
          <w:tcPr>
            <w:tcW w:type="dxa" w:w="1558"/>
            <w:shd w:fill="FFFFFF" w:val="clear"/>
            <w:tcMar>
              <w:top w:type="dxa" w:w="100"/>
              <w:left w:type="dxa" w:w="100"/>
              <w:bottom w:type="dxa" w:w="100"/>
              <w:right w:type="dxa" w:w="100"/>
            </w:tcMar>
          </w:tcPr>
          <w:p>
            <w:r>
              <w:rPr>
                <w:rFonts w:ascii="IBM Plex Mono" w:cs="IBM Plex Mono" w:eastAsia="IBM Plex Mono" w:hAnsi="IBM Plex Mono"/>
                <w:color w:val="334155"/>
                <w:sz w:val="18"/>
                <w:szCs w:val="18"/>
              </w:rPr>
              <w:t xml:space="preserve">43</w:t>
            </w:r>
          </w:p>
        </w:tc>
        <w:tc>
          <w:tcPr>
            <w:tcW w:type="dxa" w:w="1558"/>
            <w:shd w:fill="FFFFFF" w:val="clear"/>
            <w:tcMar>
              <w:top w:type="dxa" w:w="100"/>
              <w:left w:type="dxa" w:w="100"/>
              <w:bottom w:type="dxa" w:w="100"/>
              <w:right w:type="dxa" w:w="100"/>
            </w:tcMar>
          </w:tcPr>
          <w:p>
            <w:r>
              <w:rPr>
                <w:rFonts w:ascii="IBM Plex Mono" w:cs="IBM Plex Mono" w:eastAsia="IBM Plex Mono" w:hAnsi="IBM Plex Mono"/>
                <w:color w:val="334155"/>
                <w:sz w:val="18"/>
                <w:szCs w:val="18"/>
              </w:rPr>
              <w:t xml:space="preserve">Servisitis</w:t>
            </w:r>
          </w:p>
        </w:tc>
        <w:tc>
          <w:tcPr>
            <w:tcW w:type="dxa" w:w="1558"/>
            <w:shd w:fill="FFFFFF" w:val="clear"/>
            <w:tcMar>
              <w:top w:type="dxa" w:w="100"/>
              <w:left w:type="dxa" w:w="100"/>
              <w:bottom w:type="dxa" w:w="100"/>
              <w:right w:type="dxa" w:w="100"/>
            </w:tcMar>
          </w:tcPr>
          <w:p>
            <w:r>
              <w:rPr>
                <w:rFonts w:ascii="IBM Plex Mono" w:cs="IBM Plex Mono" w:eastAsia="IBM Plex Mono" w:hAnsi="IBM Plex Mono"/>
                <w:color w:val="334155"/>
                <w:sz w:val="18"/>
                <w:szCs w:val="18"/>
              </w:rPr>
              <w:t xml:space="preserve">Cervicitis</w:t>
            </w:r>
          </w:p>
        </w:tc>
        <w:tc>
          <w:tcPr>
            <w:tcW w:type="dxa" w:w="1558"/>
            <w:shd w:fill="FFFFFF" w:val="clear"/>
            <w:tcMar>
              <w:top w:type="dxa" w:w="100"/>
              <w:left w:type="dxa" w:w="100"/>
              <w:bottom w:type="dxa" w:w="100"/>
              <w:right w:type="dxa" w:w="100"/>
            </w:tcMar>
          </w:tcPr>
          <w:p>
            <w:r>
              <w:rPr>
                <w:rFonts w:ascii="IBM Plex Mono" w:cs="IBM Plex Mono" w:eastAsia="IBM Plex Mono" w:hAnsi="IBM Plex Mono"/>
                <w:color w:val="334155"/>
                <w:sz w:val="18"/>
                <w:szCs w:val="18"/>
              </w:rPr>
              <w:t xml:space="preserve">N72</w:t>
            </w:r>
          </w:p>
        </w:tc>
        <w:tc>
          <w:tcPr>
            <w:tcW w:type="dxa" w:w="1558"/>
            <w:shd w:fill="FFFFFF" w:val="clear"/>
            <w:tcMar>
              <w:top w:type="dxa" w:w="100"/>
              <w:left w:type="dxa" w:w="100"/>
              <w:bottom w:type="dxa" w:w="100"/>
              <w:right w:type="dxa" w:w="100"/>
            </w:tcMar>
          </w:tcPr>
          <w:p>
            <w:r>
              <w:rPr>
                <w:rFonts w:ascii="IBM Plex Sans" w:cs="IBM Plex Sans" w:eastAsia="IBM Plex Sans" w:hAnsi="IBM Plex Sans"/>
                <w:color w:val="334155"/>
                <w:sz w:val="18"/>
                <w:szCs w:val="18"/>
              </w:rPr>
              <w:t xml:space="preserve">GA04</w:t>
            </w:r>
          </w:p>
        </w:tc>
        <w:tc>
          <w:tcPr>
            <w:tcW w:type="dxa" w:w="1558"/>
            <w:shd w:fill="FFFFFF" w:val="clear"/>
            <w:tcMar>
              <w:top w:type="dxa" w:w="100"/>
              <w:left w:type="dxa" w:w="100"/>
              <w:bottom w:type="dxa" w:w="100"/>
              <w:right w:type="dxa" w:w="100"/>
            </w:tcMar>
          </w:tcPr>
          <w:p>
            <w:r>
              <w:rPr>
                <w:rFonts w:ascii="IBM Plex Sans" w:cs="IBM Plex Sans" w:eastAsia="IBM Plex Sans" w:hAnsi="IBM Plex Sans"/>
                <w:color w:val="334155"/>
                <w:sz w:val="18"/>
                <w:szCs w:val="18"/>
              </w:rPr>
              <w:t xml:space="preserve">Inflamasi serviks</w:t>
            </w:r>
          </w:p>
        </w:tc>
      </w:tr>
      <w:tr>
        <w:tc>
          <w:tcPr>
            <w:tcW w:type="dxa" w:w="1558"/>
            <w:shd w:fill="F1F5F9" w:val="clear"/>
            <w:tcMar>
              <w:top w:type="dxa" w:w="100"/>
              <w:left w:type="dxa" w:w="100"/>
              <w:bottom w:type="dxa" w:w="100"/>
              <w:right w:type="dxa" w:w="100"/>
            </w:tcMar>
          </w:tcPr>
          <w:p>
            <w:r>
              <w:rPr>
                <w:rFonts w:ascii="IBM Plex Mono" w:cs="IBM Plex Mono" w:eastAsia="IBM Plex Mono" w:hAnsi="IBM Plex Mono"/>
                <w:color w:val="334155"/>
                <w:sz w:val="18"/>
                <w:szCs w:val="18"/>
              </w:rPr>
              <w:t xml:space="preserve">44</w:t>
            </w:r>
          </w:p>
        </w:tc>
        <w:tc>
          <w:tcPr>
            <w:tcW w:type="dxa" w:w="1558"/>
            <w:shd w:fill="F1F5F9" w:val="clear"/>
            <w:tcMar>
              <w:top w:type="dxa" w:w="100"/>
              <w:left w:type="dxa" w:w="100"/>
              <w:bottom w:type="dxa" w:w="100"/>
              <w:right w:type="dxa" w:w="100"/>
            </w:tcMar>
          </w:tcPr>
          <w:p>
            <w:r>
              <w:rPr>
                <w:rFonts w:ascii="IBM Plex Mono" w:cs="IBM Plex Mono" w:eastAsia="IBM Plex Mono" w:hAnsi="IBM Plex Mono"/>
                <w:color w:val="334155"/>
                <w:sz w:val="18"/>
                <w:szCs w:val="18"/>
              </w:rPr>
              <w:t xml:space="preserve">Penyakit radang panggul tanpa komplikasi</w:t>
            </w:r>
          </w:p>
        </w:tc>
        <w:tc>
          <w:tcPr>
            <w:tcW w:type="dxa" w:w="1558"/>
            <w:shd w:fill="F1F5F9" w:val="clear"/>
            <w:tcMar>
              <w:top w:type="dxa" w:w="100"/>
              <w:left w:type="dxa" w:w="100"/>
              <w:bottom w:type="dxa" w:w="100"/>
              <w:right w:type="dxa" w:w="100"/>
            </w:tcMar>
          </w:tcPr>
          <w:p>
            <w:r>
              <w:rPr>
                <w:rFonts w:ascii="IBM Plex Mono" w:cs="IBM Plex Mono" w:eastAsia="IBM Plex Mono" w:hAnsi="IBM Plex Mono"/>
                <w:color w:val="334155"/>
                <w:sz w:val="18"/>
                <w:szCs w:val="18"/>
              </w:rPr>
              <w:t xml:space="preserve">Pelvic inflammatory disease without complication</w:t>
            </w:r>
          </w:p>
        </w:tc>
        <w:tc>
          <w:tcPr>
            <w:tcW w:type="dxa" w:w="1558"/>
            <w:shd w:fill="F1F5F9" w:val="clear"/>
            <w:tcMar>
              <w:top w:type="dxa" w:w="100"/>
              <w:left w:type="dxa" w:w="100"/>
              <w:bottom w:type="dxa" w:w="100"/>
              <w:right w:type="dxa" w:w="100"/>
            </w:tcMar>
          </w:tcPr>
          <w:p>
            <w:r>
              <w:rPr>
                <w:rFonts w:ascii="IBM Plex Mono" w:cs="IBM Plex Mono" w:eastAsia="IBM Plex Mono" w:hAnsi="IBM Plex Mono"/>
                <w:color w:val="334155"/>
                <w:sz w:val="18"/>
                <w:szCs w:val="18"/>
              </w:rPr>
              <w:t xml:space="preserve">N73.9</w:t>
            </w:r>
          </w:p>
        </w:tc>
        <w:tc>
          <w:tcPr>
            <w:tcW w:type="dxa" w:w="1558"/>
            <w:shd w:fill="F1F5F9" w:val="clear"/>
            <w:tcMar>
              <w:top w:type="dxa" w:w="100"/>
              <w:left w:type="dxa" w:w="100"/>
              <w:bottom w:type="dxa" w:w="100"/>
              <w:right w:type="dxa" w:w="100"/>
            </w:tcMar>
          </w:tcPr>
          <w:p>
            <w:r>
              <w:rPr>
                <w:rFonts w:ascii="IBM Plex Sans" w:cs="IBM Plex Sans" w:eastAsia="IBM Plex Sans" w:hAnsi="IBM Plex Sans"/>
                <w:color w:val="334155"/>
                <w:sz w:val="18"/>
                <w:szCs w:val="18"/>
              </w:rPr>
              <w:t xml:space="preserve">GA05.0</w:t>
            </w:r>
          </w:p>
        </w:tc>
        <w:tc>
          <w:tcPr>
            <w:tcW w:type="dxa" w:w="1558"/>
            <w:shd w:fill="F1F5F9" w:val="clear"/>
            <w:tcMar>
              <w:top w:type="dxa" w:w="100"/>
              <w:left w:type="dxa" w:w="100"/>
              <w:bottom w:type="dxa" w:w="100"/>
              <w:right w:type="dxa" w:w="100"/>
            </w:tcMar>
          </w:tcPr>
          <w:p>
            <w:r>
              <w:rPr>
                <w:rFonts w:ascii="IBM Plex Sans" w:cs="IBM Plex Sans" w:eastAsia="IBM Plex Sans" w:hAnsi="IBM Plex Sans"/>
                <w:color w:val="334155"/>
                <w:sz w:val="18"/>
                <w:szCs w:val="18"/>
              </w:rPr>
              <w:t xml:space="preserve">Infeksi pelvis; nyeri panggul kronis</w:t>
            </w:r>
          </w:p>
        </w:tc>
      </w:tr>
      <w:tr>
        <w:tc>
          <w:tcPr>
            <w:tcW w:type="dxa" w:w="1558"/>
            <w:shd w:fill="FFFFFF" w:val="clear"/>
            <w:tcMar>
              <w:top w:type="dxa" w:w="100"/>
              <w:left w:type="dxa" w:w="100"/>
              <w:bottom w:type="dxa" w:w="100"/>
              <w:right w:type="dxa" w:w="100"/>
            </w:tcMar>
          </w:tcPr>
          <w:p>
            <w:r>
              <w:rPr>
                <w:rFonts w:ascii="IBM Plex Mono" w:cs="IBM Plex Mono" w:eastAsia="IBM Plex Mono" w:hAnsi="IBM Plex Mono"/>
                <w:color w:val="334155"/>
                <w:sz w:val="18"/>
                <w:szCs w:val="18"/>
              </w:rPr>
              <w:t xml:space="preserve">45</w:t>
            </w:r>
          </w:p>
        </w:tc>
        <w:tc>
          <w:tcPr>
            <w:tcW w:type="dxa" w:w="1558"/>
            <w:shd w:fill="FFFFFF" w:val="clear"/>
            <w:tcMar>
              <w:top w:type="dxa" w:w="100"/>
              <w:left w:type="dxa" w:w="100"/>
              <w:bottom w:type="dxa" w:w="100"/>
              <w:right w:type="dxa" w:w="100"/>
            </w:tcMar>
          </w:tcPr>
          <w:p>
            <w:r>
              <w:rPr>
                <w:rFonts w:ascii="IBM Plex Mono" w:cs="IBM Plex Mono" w:eastAsia="IBM Plex Mono" w:hAnsi="IBM Plex Mono"/>
                <w:color w:val="334155"/>
                <w:sz w:val="18"/>
                <w:szCs w:val="18"/>
              </w:rPr>
              <w:t xml:space="preserve">Kista dan abses Bartholin</w:t>
            </w:r>
          </w:p>
        </w:tc>
        <w:tc>
          <w:tcPr>
            <w:tcW w:type="dxa" w:w="1558"/>
            <w:shd w:fill="FFFFFF" w:val="clear"/>
            <w:tcMar>
              <w:top w:type="dxa" w:w="100"/>
              <w:left w:type="dxa" w:w="100"/>
              <w:bottom w:type="dxa" w:w="100"/>
              <w:right w:type="dxa" w:w="100"/>
            </w:tcMar>
          </w:tcPr>
          <w:p>
            <w:r>
              <w:rPr>
                <w:rFonts w:ascii="IBM Plex Mono" w:cs="IBM Plex Mono" w:eastAsia="IBM Plex Mono" w:hAnsi="IBM Plex Mono"/>
                <w:color w:val="334155"/>
                <w:sz w:val="18"/>
                <w:szCs w:val="18"/>
              </w:rPr>
              <w:t xml:space="preserve">Bartholin's cyst and abscess</w:t>
            </w:r>
          </w:p>
        </w:tc>
        <w:tc>
          <w:tcPr>
            <w:tcW w:type="dxa" w:w="1558"/>
            <w:shd w:fill="FFFFFF" w:val="clear"/>
            <w:tcMar>
              <w:top w:type="dxa" w:w="100"/>
              <w:left w:type="dxa" w:w="100"/>
              <w:bottom w:type="dxa" w:w="100"/>
              <w:right w:type="dxa" w:w="100"/>
            </w:tcMar>
          </w:tcPr>
          <w:p>
            <w:r>
              <w:rPr>
                <w:rFonts w:ascii="IBM Plex Mono" w:cs="IBM Plex Mono" w:eastAsia="IBM Plex Mono" w:hAnsi="IBM Plex Mono"/>
                <w:color w:val="334155"/>
                <w:sz w:val="18"/>
                <w:szCs w:val="18"/>
              </w:rPr>
              <w:t xml:space="preserve">N75.0; N75.1</w:t>
            </w:r>
          </w:p>
        </w:tc>
        <w:tc>
          <w:tcPr>
            <w:tcW w:type="dxa" w:w="1558"/>
            <w:shd w:fill="FFFFFF" w:val="clear"/>
            <w:tcMar>
              <w:top w:type="dxa" w:w="100"/>
              <w:left w:type="dxa" w:w="100"/>
              <w:bottom w:type="dxa" w:w="100"/>
              <w:right w:type="dxa" w:w="100"/>
            </w:tcMar>
          </w:tcPr>
          <w:p>
            <w:r>
              <w:rPr>
                <w:rFonts w:ascii="IBM Plex Sans" w:cs="IBM Plex Sans" w:eastAsia="IBM Plex Sans" w:hAnsi="IBM Plex Sans"/>
                <w:color w:val="334155"/>
                <w:sz w:val="18"/>
                <w:szCs w:val="18"/>
              </w:rPr>
              <w:t xml:space="preserve">GA03.1; GA03.0</w:t>
            </w:r>
          </w:p>
        </w:tc>
        <w:tc>
          <w:tcPr>
            <w:tcW w:type="dxa" w:w="1558"/>
            <w:shd w:fill="FFFFFF" w:val="clear"/>
            <w:tcMar>
              <w:top w:type="dxa" w:w="100"/>
              <w:left w:type="dxa" w:w="100"/>
              <w:bottom w:type="dxa" w:w="100"/>
              <w:right w:type="dxa" w:w="100"/>
            </w:tcMar>
          </w:tcPr>
          <w:p>
            <w:r>
              <w:rPr>
                <w:rFonts w:ascii="IBM Plex Sans" w:cs="IBM Plex Sans" w:eastAsia="IBM Plex Sans" w:hAnsi="IBM Plex Sans"/>
                <w:color w:val="334155"/>
                <w:sz w:val="18"/>
                <w:szCs w:val="18"/>
              </w:rPr>
              <w:t xml:space="preserve">Infeksi kelenjar Bartholin</w:t>
            </w:r>
          </w:p>
        </w:tc>
      </w:tr>
      <w:tr>
        <w:tc>
          <w:tcPr>
            <w:tcW w:type="dxa" w:w="1558"/>
            <w:shd w:fill="F1F5F9" w:val="clear"/>
            <w:tcMar>
              <w:top w:type="dxa" w:w="100"/>
              <w:left w:type="dxa" w:w="100"/>
              <w:bottom w:type="dxa" w:w="100"/>
              <w:right w:type="dxa" w:w="100"/>
            </w:tcMar>
          </w:tcPr>
          <w:p>
            <w:r>
              <w:rPr>
                <w:rFonts w:ascii="IBM Plex Mono" w:cs="IBM Plex Mono" w:eastAsia="IBM Plex Mono" w:hAnsi="IBM Plex Mono"/>
                <w:color w:val="334155"/>
                <w:sz w:val="18"/>
                <w:szCs w:val="18"/>
              </w:rPr>
              <w:t xml:space="preserve">46</w:t>
            </w:r>
          </w:p>
        </w:tc>
        <w:tc>
          <w:tcPr>
            <w:tcW w:type="dxa" w:w="1558"/>
            <w:shd w:fill="F1F5F9" w:val="clear"/>
            <w:tcMar>
              <w:top w:type="dxa" w:w="100"/>
              <w:left w:type="dxa" w:w="100"/>
              <w:bottom w:type="dxa" w:w="100"/>
              <w:right w:type="dxa" w:w="100"/>
            </w:tcMar>
          </w:tcPr>
          <w:p>
            <w:r>
              <w:rPr>
                <w:rFonts w:ascii="IBM Plex Mono" w:cs="IBM Plex Mono" w:eastAsia="IBM Plex Mono" w:hAnsi="IBM Plex Mono"/>
                <w:color w:val="334155"/>
                <w:sz w:val="18"/>
                <w:szCs w:val="18"/>
              </w:rPr>
              <w:t xml:space="preserve">Infeksi daerah operasi</w:t>
            </w:r>
          </w:p>
        </w:tc>
        <w:tc>
          <w:tcPr>
            <w:tcW w:type="dxa" w:w="1558"/>
            <w:shd w:fill="F1F5F9" w:val="clear"/>
            <w:tcMar>
              <w:top w:type="dxa" w:w="100"/>
              <w:left w:type="dxa" w:w="100"/>
              <w:bottom w:type="dxa" w:w="100"/>
              <w:right w:type="dxa" w:w="100"/>
            </w:tcMar>
          </w:tcPr>
          <w:p>
            <w:r>
              <w:rPr>
                <w:rFonts w:ascii="IBM Plex Mono" w:cs="IBM Plex Mono" w:eastAsia="IBM Plex Mono" w:hAnsi="IBM Plex Mono"/>
                <w:color w:val="334155"/>
                <w:sz w:val="18"/>
                <w:szCs w:val="18"/>
              </w:rPr>
              <w:t xml:space="preserve">Surgical site infection</w:t>
            </w:r>
          </w:p>
        </w:tc>
        <w:tc>
          <w:tcPr>
            <w:tcW w:type="dxa" w:w="1558"/>
            <w:shd w:fill="F1F5F9" w:val="clear"/>
            <w:tcMar>
              <w:top w:type="dxa" w:w="100"/>
              <w:left w:type="dxa" w:w="100"/>
              <w:bottom w:type="dxa" w:w="100"/>
              <w:right w:type="dxa" w:w="100"/>
            </w:tcMar>
          </w:tcPr>
          <w:p>
            <w:r>
              <w:rPr>
                <w:rFonts w:ascii="IBM Plex Mono" w:cs="IBM Plex Mono" w:eastAsia="IBM Plex Mono" w:hAnsi="IBM Plex Mono"/>
                <w:color w:val="334155"/>
                <w:sz w:val="18"/>
                <w:szCs w:val="18"/>
              </w:rPr>
              <w:t xml:space="preserve">T81.4</w:t>
            </w:r>
          </w:p>
        </w:tc>
        <w:tc>
          <w:tcPr>
            <w:tcW w:type="dxa" w:w="1558"/>
            <w:shd w:fill="F1F5F9" w:val="clear"/>
            <w:tcMar>
              <w:top w:type="dxa" w:w="100"/>
              <w:left w:type="dxa" w:w="100"/>
              <w:bottom w:type="dxa" w:w="100"/>
              <w:right w:type="dxa" w:w="100"/>
            </w:tcMar>
          </w:tcPr>
          <w:p>
            <w:r>
              <w:rPr>
                <w:rFonts w:ascii="IBM Plex Sans" w:cs="IBM Plex Sans" w:eastAsia="IBM Plex Sans" w:hAnsi="IBM Plex Sans"/>
                <w:color w:val="334155"/>
                <w:sz w:val="18"/>
                <w:szCs w:val="18"/>
              </w:rPr>
              <w:t xml:space="preserve">NE81.2</w:t>
            </w:r>
          </w:p>
        </w:tc>
        <w:tc>
          <w:tcPr>
            <w:tcW w:type="dxa" w:w="1558"/>
            <w:shd w:fill="F1F5F9" w:val="clear"/>
            <w:tcMar>
              <w:top w:type="dxa" w:w="100"/>
              <w:left w:type="dxa" w:w="100"/>
              <w:bottom w:type="dxa" w:w="100"/>
              <w:right w:type="dxa" w:w="100"/>
            </w:tcMar>
          </w:tcPr>
          <w:p>
            <w:r>
              <w:rPr>
                <w:rFonts w:ascii="IBM Plex Sans" w:cs="IBM Plex Sans" w:eastAsia="IBM Plex Sans" w:hAnsi="IBM Plex Sans"/>
                <w:color w:val="334155"/>
                <w:sz w:val="18"/>
                <w:szCs w:val="18"/>
              </w:rPr>
              <w:t xml:space="preserve">Infeksi pasca-operasi ginekologi/obstetri</w:t>
            </w:r>
          </w:p>
        </w:tc>
      </w:tr>
      <w:tr>
        <w:tc>
          <w:tcPr>
            <w:tcW w:type="dxa" w:w="1558"/>
            <w:shd w:fill="FFFFFF" w:val="clear"/>
            <w:tcMar>
              <w:top w:type="dxa" w:w="100"/>
              <w:left w:type="dxa" w:w="100"/>
              <w:bottom w:type="dxa" w:w="100"/>
              <w:right w:type="dxa" w:w="100"/>
            </w:tcMar>
          </w:tcPr>
          <w:p>
            <w:r>
              <w:rPr>
                <w:rFonts w:ascii="IBM Plex Mono" w:cs="IBM Plex Mono" w:eastAsia="IBM Plex Mono" w:hAnsi="IBM Plex Mono"/>
                <w:color w:val="334155"/>
                <w:sz w:val="18"/>
                <w:szCs w:val="18"/>
              </w:rPr>
              <w:t xml:space="preserve">47</w:t>
            </w:r>
          </w:p>
        </w:tc>
        <w:tc>
          <w:tcPr>
            <w:tcW w:type="dxa" w:w="1558"/>
            <w:shd w:fill="FFFFFF" w:val="clear"/>
            <w:tcMar>
              <w:top w:type="dxa" w:w="100"/>
              <w:left w:type="dxa" w:w="100"/>
              <w:bottom w:type="dxa" w:w="100"/>
              <w:right w:type="dxa" w:w="100"/>
            </w:tcMar>
          </w:tcPr>
          <w:p>
            <w:r>
              <w:rPr>
                <w:rFonts w:ascii="IBM Plex Mono" w:cs="IBM Plex Mono" w:eastAsia="IBM Plex Mono" w:hAnsi="IBM Plex Mono"/>
                <w:color w:val="334155"/>
                <w:sz w:val="18"/>
                <w:szCs w:val="18"/>
              </w:rPr>
              <w:t xml:space="preserve">Mioma uteri tanpa penyulit</w:t>
            </w:r>
          </w:p>
        </w:tc>
        <w:tc>
          <w:tcPr>
            <w:tcW w:type="dxa" w:w="1558"/>
            <w:shd w:fill="FFFFFF" w:val="clear"/>
            <w:tcMar>
              <w:top w:type="dxa" w:w="100"/>
              <w:left w:type="dxa" w:w="100"/>
              <w:bottom w:type="dxa" w:w="100"/>
              <w:right w:type="dxa" w:w="100"/>
            </w:tcMar>
          </w:tcPr>
          <w:p>
            <w:r>
              <w:rPr>
                <w:rFonts w:ascii="IBM Plex Mono" w:cs="IBM Plex Mono" w:eastAsia="IBM Plex Mono" w:hAnsi="IBM Plex Mono"/>
                <w:color w:val="334155"/>
                <w:sz w:val="18"/>
                <w:szCs w:val="18"/>
              </w:rPr>
              <w:t xml:space="preserve">Uterine fibroid without complication</w:t>
            </w:r>
          </w:p>
        </w:tc>
        <w:tc>
          <w:tcPr>
            <w:tcW w:type="dxa" w:w="1558"/>
            <w:shd w:fill="FFFFFF" w:val="clear"/>
            <w:tcMar>
              <w:top w:type="dxa" w:w="100"/>
              <w:left w:type="dxa" w:w="100"/>
              <w:bottom w:type="dxa" w:w="100"/>
              <w:right w:type="dxa" w:w="100"/>
            </w:tcMar>
          </w:tcPr>
          <w:p>
            <w:r>
              <w:rPr>
                <w:rFonts w:ascii="IBM Plex Mono" w:cs="IBM Plex Mono" w:eastAsia="IBM Plex Mono" w:hAnsi="IBM Plex Mono"/>
                <w:color w:val="334155"/>
                <w:sz w:val="18"/>
                <w:szCs w:val="18"/>
              </w:rPr>
              <w:t xml:space="preserve">D25.9</w:t>
            </w:r>
          </w:p>
        </w:tc>
        <w:tc>
          <w:tcPr>
            <w:tcW w:type="dxa" w:w="1558"/>
            <w:shd w:fill="FFFFFF" w:val="clear"/>
            <w:tcMar>
              <w:top w:type="dxa" w:w="100"/>
              <w:left w:type="dxa" w:w="100"/>
              <w:bottom w:type="dxa" w:w="100"/>
              <w:right w:type="dxa" w:w="100"/>
            </w:tcMar>
          </w:tcPr>
          <w:p>
            <w:r>
              <w:rPr>
                <w:rFonts w:ascii="IBM Plex Sans" w:cs="IBM Plex Sans" w:eastAsia="IBM Plex Sans" w:hAnsi="IBM Plex Sans"/>
                <w:color w:val="334155"/>
                <w:sz w:val="18"/>
                <w:szCs w:val="18"/>
              </w:rPr>
              <w:t xml:space="preserve">2E86.0</w:t>
            </w:r>
          </w:p>
        </w:tc>
        <w:tc>
          <w:tcPr>
            <w:tcW w:type="dxa" w:w="1558"/>
            <w:shd w:fill="FFFFFF" w:val="clear"/>
            <w:tcMar>
              <w:top w:type="dxa" w:w="100"/>
              <w:left w:type="dxa" w:w="100"/>
              <w:bottom w:type="dxa" w:w="100"/>
              <w:right w:type="dxa" w:w="100"/>
            </w:tcMar>
          </w:tcPr>
          <w:p>
            <w:r>
              <w:rPr>
                <w:rFonts w:ascii="IBM Plex Sans" w:cs="IBM Plex Sans" w:eastAsia="IBM Plex Sans" w:hAnsi="IBM Plex Sans"/>
                <w:color w:val="334155"/>
                <w:sz w:val="18"/>
                <w:szCs w:val="18"/>
              </w:rPr>
              <w:t xml:space="preserve">Tumor jinak uterus tanpa komplikasi</w:t>
            </w:r>
          </w:p>
        </w:tc>
      </w:tr>
      <w:tr>
        <w:tc>
          <w:tcPr>
            <w:tcW w:type="dxa" w:w="1558"/>
            <w:shd w:fill="F1F5F9" w:val="clear"/>
            <w:tcMar>
              <w:top w:type="dxa" w:w="100"/>
              <w:left w:type="dxa" w:w="100"/>
              <w:bottom w:type="dxa" w:w="100"/>
              <w:right w:type="dxa" w:w="100"/>
            </w:tcMar>
          </w:tcPr>
          <w:p>
            <w:r>
              <w:rPr>
                <w:rFonts w:ascii="IBM Plex Mono" w:cs="IBM Plex Mono" w:eastAsia="IBM Plex Mono" w:hAnsi="IBM Plex Mono"/>
                <w:color w:val="334155"/>
                <w:sz w:val="18"/>
                <w:szCs w:val="18"/>
              </w:rPr>
              <w:t xml:space="preserve">71</w:t>
            </w:r>
          </w:p>
        </w:tc>
        <w:tc>
          <w:tcPr>
            <w:tcW w:type="dxa" w:w="1558"/>
            <w:shd w:fill="F1F5F9" w:val="clear"/>
            <w:tcMar>
              <w:top w:type="dxa" w:w="100"/>
              <w:left w:type="dxa" w:w="100"/>
              <w:bottom w:type="dxa" w:w="100"/>
              <w:right w:type="dxa" w:w="100"/>
            </w:tcMar>
          </w:tcPr>
          <w:p>
            <w:r>
              <w:rPr>
                <w:rFonts w:ascii="IBM Plex Mono" w:cs="IBM Plex Mono" w:eastAsia="IBM Plex Mono" w:hAnsi="IBM Plex Mono"/>
                <w:color w:val="334155"/>
                <w:sz w:val="18"/>
                <w:szCs w:val="18"/>
              </w:rPr>
              <w:t xml:space="preserve">Infeksi menular seksual</w:t>
            </w:r>
          </w:p>
        </w:tc>
        <w:tc>
          <w:tcPr>
            <w:tcW w:type="dxa" w:w="1558"/>
            <w:shd w:fill="F1F5F9" w:val="clear"/>
            <w:tcMar>
              <w:top w:type="dxa" w:w="100"/>
              <w:left w:type="dxa" w:w="100"/>
              <w:bottom w:type="dxa" w:w="100"/>
              <w:right w:type="dxa" w:w="100"/>
            </w:tcMar>
          </w:tcPr>
          <w:p>
            <w:r>
              <w:rPr>
                <w:rFonts w:ascii="IBM Plex Mono" w:cs="IBM Plex Mono" w:eastAsia="IBM Plex Mono" w:hAnsi="IBM Plex Mono"/>
                <w:color w:val="334155"/>
                <w:sz w:val="18"/>
                <w:szCs w:val="18"/>
              </w:rPr>
              <w:t xml:space="preserve">Infections with a predominantly sexual mode of transmission</w:t>
            </w:r>
          </w:p>
        </w:tc>
        <w:tc>
          <w:tcPr>
            <w:tcW w:type="dxa" w:w="1558"/>
            <w:shd w:fill="F1F5F9" w:val="clear"/>
            <w:tcMar>
              <w:top w:type="dxa" w:w="100"/>
              <w:left w:type="dxa" w:w="100"/>
              <w:bottom w:type="dxa" w:w="100"/>
              <w:right w:type="dxa" w:w="100"/>
            </w:tcMar>
          </w:tcPr>
          <w:p>
            <w:r>
              <w:rPr>
                <w:rFonts w:ascii="IBM Plex Mono" w:cs="IBM Plex Mono" w:eastAsia="IBM Plex Mono" w:hAnsi="IBM Plex Mono"/>
                <w:color w:val="334155"/>
                <w:sz w:val="18"/>
                <w:szCs w:val="18"/>
              </w:rPr>
              <w:t xml:space="preserve">A50-A64</w:t>
            </w:r>
          </w:p>
        </w:tc>
        <w:tc>
          <w:tcPr>
            <w:tcW w:type="dxa" w:w="1558"/>
            <w:shd w:fill="F1F5F9" w:val="clear"/>
            <w:tcMar>
              <w:top w:type="dxa" w:w="100"/>
              <w:left w:type="dxa" w:w="100"/>
              <w:bottom w:type="dxa" w:w="100"/>
              <w:right w:type="dxa" w:w="100"/>
            </w:tcMar>
          </w:tcPr>
          <w:p>
            <w:r>
              <w:rPr>
                <w:rFonts w:ascii="IBM Plex Sans" w:cs="IBM Plex Sans" w:eastAsia="IBM Plex Sans" w:hAnsi="IBM Plex Sans"/>
                <w:color w:val="334155"/>
                <w:sz w:val="18"/>
                <w:szCs w:val="18"/>
              </w:rPr>
              <w:t xml:space="preserve">1A60-1A9Z</w:t>
            </w:r>
          </w:p>
        </w:tc>
        <w:tc>
          <w:tcPr>
            <w:tcW w:type="dxa" w:w="1558"/>
            <w:shd w:fill="F1F5F9" w:val="clear"/>
            <w:tcMar>
              <w:top w:type="dxa" w:w="100"/>
              <w:left w:type="dxa" w:w="100"/>
              <w:bottom w:type="dxa" w:w="100"/>
              <w:right w:type="dxa" w:w="100"/>
            </w:tcMar>
          </w:tcPr>
          <w:p>
            <w:r>
              <w:rPr>
                <w:rFonts w:ascii="IBM Plex Sans" w:cs="IBM Plex Sans" w:eastAsia="IBM Plex Sans" w:hAnsi="IBM Plex Sans"/>
                <w:color w:val="334155"/>
                <w:sz w:val="18"/>
                <w:szCs w:val="18"/>
              </w:rPr>
              <w:t xml:space="preserve">Infeksi menular seksual</w:t>
            </w:r>
          </w:p>
        </w:tc>
      </w:tr>
    </w:tbl>
    <w:p>
      <w:pPr>
        <w:spacing w:after="160"/>
      </w:pPr>
    </w:p>
    <w:p>
      <w:pPr>
        <w:pStyle w:val="Heading2"/>
        <w:spacing w:after="160" w:before="320"/>
      </w:pPr>
      <w:r>
        <w:rPr>
          <w:rFonts w:ascii="Source Serif 4" w:cs="Source Serif 4" w:eastAsia="Source Serif 4" w:hAnsi="Source Serif 4"/>
          <w:b/>
          <w:bCs/>
          <w:color w:val="4F46E5"/>
          <w:sz w:val="26"/>
          <w:szCs w:val="26"/>
        </w:rPr>
        <w:t xml:space="preserve">1.3 Tujuan dan Sasaran Pembaca</w:t>
      </w:r>
    </w:p>
    <w:p>
      <w:pPr>
        <w:spacing w:after="200" w:line="300"/>
        <w:jc w:val="both"/>
      </w:pPr>
      <w:r>
        <w:rPr>
          <w:rFonts w:ascii="IBM Plex Sans" w:cs="IBM Plex Sans" w:eastAsia="IBM Plex Sans" w:hAnsi="IBM Plex Sans"/>
          <w:color w:val="334155"/>
          <w:sz w:val="22"/>
          <w:szCs w:val="22"/>
        </w:rPr>
        <w:t xml:space="preserve">Buku tematik ini ditujukan bagi peserta didik PPDS Obstetri dan Ginekologi tahun I hingga III sebagai bahan bacaan terstruktur yang mengintegrasikan aspek klinis, aspek kesehatan masyarakat, dan aspek sosial dari ginekologi umum serta infeksi saluran reproduksi. Setelah mempelajari buku ini, peserta didik diharapkan mampu: (1) mengenali spektrum klinis infeksi saluran reproduksi bawah dan penyakit radang panggul beserta komplikasinya; (2) menerapkan pendekatan diagnostik dan tata laksana berbasis bukti yang selaras dengan Kepkonsil dan pedoman internasional; (3) memahami determinan sosial yang memengaruhi kerentanan terhadap infeksi reproduksi; dan (4) mengintegrasikan perspektif Obstetri Ginekologi Sosial dalam pelayanan berbasis komunitas.</w:t>
      </w:r>
    </w:p>
    <w:p>
      <w:r>
        <w:br w:type="page"/>
      </w:r>
    </w:p>
    <w:p>
      <w:pPr>
        <w:pStyle w:val="Heading1"/>
        <w:pBdr>
          <w:bottom w:val="single" w:color="4F46E5" w:sz="12" w:space="4"/>
        </w:pBdr>
        <w:spacing w:after="240" w:before="480"/>
      </w:pPr>
      <w:r>
        <w:rPr>
          <w:rFonts w:ascii="Source Serif 4" w:cs="Source Serif 4" w:eastAsia="Source Serif 4" w:hAnsi="Source Serif 4"/>
          <w:b/>
          <w:bCs/>
          <w:color w:val="4F46E5"/>
          <w:sz w:val="32"/>
          <w:szCs w:val="32"/>
        </w:rPr>
        <w:t xml:space="preserve">Bab II — Infeksi Saluran Reproduksi Bawah</w:t>
      </w:r>
    </w:p>
    <w:p>
      <w:pPr>
        <w:spacing w:after="200" w:line="300"/>
        <w:jc w:val="both"/>
      </w:pPr>
      <w:r>
        <w:rPr>
          <w:rFonts w:ascii="IBM Plex Sans" w:cs="IBM Plex Sans" w:eastAsia="IBM Plex Sans" w:hAnsi="IBM Plex Sans"/>
          <w:color w:val="334155"/>
          <w:sz w:val="22"/>
          <w:szCs w:val="22"/>
        </w:rPr>
        <w:t xml:space="preserve">Infeksi saluran reproduksi bawah mencakup inflamasi pada vulva, vagina, dan serviks. Kelompok ini merupakan keluhan ginekologik yang paling sering membawa pasien usia reproduksi ke fasilitas pelayanan kesehatan, dengan presentasi klinis yang tumpang tindih sehingga memerlukan pendekatan diagnostik yang cermat untuk membedakan etiologi infeksius dari penyebab non-infeksius.</w:t>
      </w:r>
    </w:p>
    <w:p>
      <w:pPr>
        <w:pStyle w:val="Heading2"/>
        <w:spacing w:after="160" w:before="320"/>
      </w:pPr>
      <w:r>
        <w:rPr>
          <w:rFonts w:ascii="Source Serif 4" w:cs="Source Serif 4" w:eastAsia="Source Serif 4" w:hAnsi="Source Serif 4"/>
          <w:b/>
          <w:bCs/>
          <w:color w:val="4F46E5"/>
          <w:sz w:val="26"/>
          <w:szCs w:val="26"/>
        </w:rPr>
        <w:t xml:space="preserve">2.1 Vaginitis (ICD-10 N76.0 / ICD-11 GA02)</w:t>
      </w:r>
    </w:p>
    <w:p>
      <w:pPr>
        <w:spacing w:after="200" w:line="300"/>
        <w:jc w:val="both"/>
      </w:pPr>
      <w:r>
        <w:rPr>
          <w:rFonts w:ascii="IBM Plex Sans" w:cs="IBM Plex Sans" w:eastAsia="IBM Plex Sans" w:hAnsi="IBM Plex Sans"/>
          <w:color w:val="334155"/>
          <w:sz w:val="22"/>
          <w:szCs w:val="22"/>
        </w:rPr>
        <w:t xml:space="preserve">Vaginitis adalah peradangan pada mukosa vagina yang secara klinis ditandai oleh keluhan duh (discharge) vagina abnormal, rasa gatal, iritasi, dan kadang berbau tidak sedap. Tiga penyebab tersering adalah vaginosis bakterialis (pergeseran ekosistem mikrobiota vagina dari dominasi Lactobacillus ke flora anaerob campuran seperti Gardnerella vaginalis), kandidiasis vulvovaginalis (predominan Candida albicans), dan trikomoniasis (Trichomonas vaginalis, yang tergolong infeksi menular seksual).</w:t>
      </w:r>
    </w:p>
    <w:p>
      <w:pPr>
        <w:spacing w:after="200" w:line="300"/>
        <w:jc w:val="both"/>
      </w:pPr>
      <w:r>
        <w:rPr>
          <w:rFonts w:ascii="IBM Plex Sans" w:cs="IBM Plex Sans" w:eastAsia="IBM Plex Sans" w:hAnsi="IBM Plex Sans"/>
          <w:color w:val="334155"/>
          <w:sz w:val="22"/>
          <w:szCs w:val="22"/>
        </w:rPr>
        <w:t xml:space="preserve">Pendekatan diagnostik lini pertama mengandalkan anamnesis karakteristik duh (warna, konsistensi, bau), pemeriksaan pH vagina, uji amin (whiff test) dengan kalium hidroksida, dan pemeriksaan mikroskopis sediaan basah (saline wet mount) untuk mengidentifikasi clue cells, pseudohifa, atau motil trikomonas. Kriteria Amsel tetap menjadi acuan praktis untuk vaginosis bakterialis di layanan dengan keterbatasan sumber daya laboratorium. Tata laksana disesuaikan dengan etiologi: metronidazol atau klindamisin untuk vaginosis bakterialis, golongan azol topikal atau oral untuk kandidiasis, dan metronidazol atau tinidazol dosis tunggal untuk trikomoniasis disertai tata laksana pasangan seksual.</w:t>
      </w:r>
    </w:p>
    <w:p>
      <w:pPr>
        <w:pStyle w:val="Heading2"/>
        <w:spacing w:after="160" w:before="320"/>
      </w:pPr>
      <w:r>
        <w:rPr>
          <w:rFonts w:ascii="Source Serif 4" w:cs="Source Serif 4" w:eastAsia="Source Serif 4" w:hAnsi="Source Serif 4"/>
          <w:b/>
          <w:bCs/>
          <w:color w:val="4F46E5"/>
          <w:sz w:val="26"/>
          <w:szCs w:val="26"/>
        </w:rPr>
        <w:t xml:space="preserve">2.2 Servisitis (ICD-10 N72 / ICD-11 GA04)</w:t>
      </w:r>
    </w:p>
    <w:p>
      <w:pPr>
        <w:spacing w:after="200" w:line="300"/>
        <w:jc w:val="both"/>
      </w:pPr>
      <w:r>
        <w:rPr>
          <w:rFonts w:ascii="IBM Plex Sans" w:cs="IBM Plex Sans" w:eastAsia="IBM Plex Sans" w:hAnsi="IBM Plex Sans"/>
          <w:color w:val="334155"/>
          <w:sz w:val="22"/>
          <w:szCs w:val="22"/>
        </w:rPr>
        <w:t xml:space="preserve">Servisitis adalah inflamasi pada serviks uteri, paling sering disebabkan oleh Chlamydia trachomatis dan Neisseria gonorrhoeae, meskipun etiologi non-infeksius (trauma mekanis, reaksi alergi terhadap produk kontrasepsi) juga perlu dipertimbangkan. Manifestasi klasik berupa duh mukopurulen endoserviks dan perdarahan kontak (friabilitas serviks saat swab), namun banyak kasus bersifat asimtomatik sehingga berisiko tidak terdeteksi dan berkembang menjadi penyakit radang panggul.</w:t>
      </w:r>
    </w:p>
    <w:p>
      <w:pPr>
        <w:spacing w:after="200" w:line="300"/>
        <w:jc w:val="both"/>
      </w:pPr>
      <w:r>
        <w:rPr>
          <w:rFonts w:ascii="IBM Plex Sans" w:cs="IBM Plex Sans" w:eastAsia="IBM Plex Sans" w:hAnsi="IBM Plex Sans"/>
          <w:color w:val="334155"/>
          <w:sz w:val="22"/>
          <w:szCs w:val="22"/>
        </w:rPr>
        <w:t xml:space="preserve">Karena tumpang tindih etiologi dengan infeksi menular seksual, tata laksana servisitis pada populasi berisiko tinggi mengikuti pendekatan sindromik empiris yang mencakup terapi ganda terhadap Chlamydia dan Neisseria gonorrhoeae sambil menunggu konfirmasi laboratorium (nucleic acid amplification test/NAAT bila tersedia), sejalan dengan pembahasan pendekatan sindromik pada Bab IV.</w:t>
      </w:r>
    </w:p>
    <w:p>
      <w:pPr>
        <w:pStyle w:val="Heading2"/>
        <w:spacing w:after="160" w:before="320"/>
      </w:pPr>
      <w:r>
        <w:rPr>
          <w:rFonts w:ascii="Source Serif 4" w:cs="Source Serif 4" w:eastAsia="Source Serif 4" w:hAnsi="Source Serif 4"/>
          <w:b/>
          <w:bCs/>
          <w:color w:val="4F46E5"/>
          <w:sz w:val="26"/>
          <w:szCs w:val="26"/>
        </w:rPr>
        <w:t xml:space="preserve">2.3 Kondiloma Akuminatum (ICD-10 A63.0 / ICD-11 1A95.1)</w:t>
      </w:r>
    </w:p>
    <w:p>
      <w:pPr>
        <w:spacing w:after="200" w:line="300"/>
        <w:jc w:val="both"/>
      </w:pPr>
      <w:r>
        <w:rPr>
          <w:rFonts w:ascii="IBM Plex Sans" w:cs="IBM Plex Sans" w:eastAsia="IBM Plex Sans" w:hAnsi="IBM Plex Sans"/>
          <w:color w:val="334155"/>
          <w:sz w:val="22"/>
          <w:szCs w:val="22"/>
        </w:rPr>
        <w:t xml:space="preserve">Kondiloma akuminatum adalah lesi anogenital jinak akibat infeksi Human Papillomavirus (HPV), predominan tipe risiko rendah 6 dan 11. Lesi tampak sebagai papul atau plak berbentuk seperti kembang kol pada vulva, vagina, serviks, perineum, atau area perianal. Diagnosis umumnya ditegakkan secara klinis melalui inspeksi visual; biopsi diindikasikan bila lesi atipikal, tidak berespons terhadap terapi, atau timbul pada pasien imunokompromais.</w:t>
      </w:r>
    </w:p>
    <w:p>
      <w:pPr>
        <w:spacing w:after="200" w:line="300"/>
        <w:jc w:val="both"/>
      </w:pPr>
      <w:r>
        <w:rPr>
          <w:rFonts w:ascii="IBM Plex Sans" w:cs="IBM Plex Sans" w:eastAsia="IBM Plex Sans" w:hAnsi="IBM Plex Sans"/>
          <w:color w:val="334155"/>
          <w:sz w:val="22"/>
          <w:szCs w:val="22"/>
        </w:rPr>
        <w:t xml:space="preserve">Pilihan tata laksana mencakup terapi yang diaplikasikan pasien sendiri (podofilotoksin, imikuimod, sinekatekin) maupun tindakan yang dilakukan penyedia layanan (krioterapi, asam trikloroasetat, eksisi bedah, atau ablasi laser), dipilih berdasarkan jumlah, ukuran, dan lokasi lesi serta preferensi pasien. Konseling penting mencakup sifat rekurens lesi, transmisi seksual, serta peran vaksinasi HPV sebagai pencegahan primer yang dibahas lebih lanjut pada Bab V.</w:t>
      </w:r>
    </w:p>
    <w:p>
      <w:pPr>
        <w:pStyle w:val="Heading2"/>
        <w:spacing w:after="160" w:before="320"/>
      </w:pPr>
      <w:r>
        <w:rPr>
          <w:rFonts w:ascii="Source Serif 4" w:cs="Source Serif 4" w:eastAsia="Source Serif 4" w:hAnsi="Source Serif 4"/>
          <w:b/>
          <w:bCs/>
          <w:color w:val="4F46E5"/>
          <w:sz w:val="26"/>
          <w:szCs w:val="26"/>
        </w:rPr>
        <w:t xml:space="preserve">2.4 Kista dan Abses Bartholin (ICD-10 N75.0; N75.1 / ICD-11 GA03.1; GA03.0)</w:t>
      </w:r>
    </w:p>
    <w:p>
      <w:pPr>
        <w:spacing w:after="200" w:line="300"/>
        <w:jc w:val="both"/>
      </w:pPr>
      <w:r>
        <w:rPr>
          <w:rFonts w:ascii="IBM Plex Sans" w:cs="IBM Plex Sans" w:eastAsia="IBM Plex Sans" w:hAnsi="IBM Plex Sans"/>
          <w:color w:val="334155"/>
          <w:sz w:val="22"/>
          <w:szCs w:val="22"/>
        </w:rPr>
        <w:t xml:space="preserve">Kelenjar Bartholin terletak pada posisi jam 4 dan jam 8 introitus vagina, berfungsi menghasilkan sekret pelumas. Obstruksi duktus kelenjar menyebabkan penumpukan sekret dan pembentukan kista; bila terinfeksi (paling sering flora polimikroba, termasuk anaerob dan kadang Neisseria gonorrhoeae atau Chlamydia trachomatis), kista berkembang menjadi abses yang ditandai nyeri akut, eritema, dan pembengkakan unilateral labium mayus.</w:t>
      </w:r>
    </w:p>
    <w:p>
      <w:pPr>
        <w:spacing w:after="200" w:line="300"/>
        <w:jc w:val="both"/>
      </w:pPr>
      <w:r>
        <w:rPr>
          <w:rFonts w:ascii="IBM Plex Sans" w:cs="IBM Plex Sans" w:eastAsia="IBM Plex Sans" w:hAnsi="IBM Plex Sans"/>
          <w:color w:val="334155"/>
          <w:sz w:val="22"/>
          <w:szCs w:val="22"/>
        </w:rPr>
        <w:t xml:space="preserve">Kista Bartholin asimtomatik berukuran kecil pada pasien tanpa faktor risiko keganasan umumnya dapat diobservasi. Abses simtomatik memerlukan drainase segera; teknik yang direkomendasikan adalah insersi kateter Word atau marsupialisasi untuk membentuk saluran drainase permanen dan menurunkan risiko rekurensi dibandingkan insisi-drainase sederhana. Antibiotik sistemik ditambahkan pada kasus dengan selulitis luas, tanda sepsis, atau pasien imunokompromais. Pada pasien berusia di atas 40 tahun dengan massa Bartholin baru, biopsi untuk menyingkirkan karsinoma kelenjar Bartholin perlu dipertimbangkan.</w:t>
      </w:r>
    </w:p>
    <w:p>
      <w:pPr>
        <w:pStyle w:val="Heading2"/>
        <w:spacing w:after="160" w:before="320"/>
      </w:pPr>
      <w:r>
        <w:rPr>
          <w:rFonts w:ascii="Source Serif 4" w:cs="Source Serif 4" w:eastAsia="Source Serif 4" w:hAnsi="Source Serif 4"/>
          <w:b/>
          <w:bCs/>
          <w:color w:val="4F46E5"/>
          <w:sz w:val="26"/>
          <w:szCs w:val="26"/>
        </w:rPr>
        <w:t xml:space="preserve">2.5 Pencegahan dan Edukasi pada Infeksi Saluran Reproduksi Bawah</w:t>
      </w:r>
    </w:p>
    <w:p>
      <w:pPr>
        <w:spacing w:after="200" w:line="300"/>
        <w:jc w:val="both"/>
      </w:pPr>
      <w:r>
        <w:rPr>
          <w:rFonts w:ascii="IBM Plex Sans" w:cs="IBM Plex Sans" w:eastAsia="IBM Plex Sans" w:hAnsi="IBM Plex Sans"/>
          <w:color w:val="334155"/>
          <w:sz w:val="22"/>
          <w:szCs w:val="22"/>
        </w:rPr>
        <w:t xml:space="preserve">Pencegahan infeksi saluran reproduksi bawah bertumpu pada tiga pilar: menjaga keseimbangan mikrobiota vagina (menghindari douching vagina, penggunaan sabun antiseptik berlebihan, dan pakaian dalam yang terlalu ketat atau tidak menyerap keringat), pencegahan penularan infeksi menular seksual melalui perilaku seksual aman, dan deteksi dini melalui kunjungan ginekologik rutin terutama pada perempuan dengan faktor risiko. Edukasi pasien perlu disampaikan dengan bahasa yang mudah dipahami dan bebas stigma, mengingat keluhan pada area genital sering disertai rasa malu yang menghambat pasien mencari pertolongan pada stadium dini.</w:t>
      </w:r>
    </w:p>
    <w:p>
      <w:pPr>
        <w:spacing w:after="200" w:line="300"/>
        <w:jc w:val="both"/>
      </w:pPr>
      <w:r>
        <w:rPr>
          <w:rFonts w:ascii="IBM Plex Sans" w:cs="IBM Plex Sans" w:eastAsia="IBM Plex Sans" w:hAnsi="IBM Plex Sans"/>
          <w:color w:val="334155"/>
          <w:sz w:val="22"/>
          <w:szCs w:val="22"/>
        </w:rPr>
        <w:t xml:space="preserve">Pada layanan PPDS, penting ditekankan bahwa tidak semua duh vagina bersifat patologis — leukorea fisiologis akibat perubahan hormonal siklus menstruasi, kehamilan, atau penggunaan kontrasepsi hormonal perlu dibedakan dari duh patologis agar tidak terjadi tata laksana berlebihan (overtreatment) yang justru dapat mengganggu ekosistem mikrobiota vagina yang sehat.</w:t>
      </w:r>
    </w:p>
    <w:p>
      <w:pPr>
        <w:spacing w:before="12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single" w:color="E2E8F0" w:sz="2"/>
              <w:left w:val="single" w:color="4F46E5" w:sz="24"/>
              <w:bottom w:val="single" w:color="E2E8F0" w:sz="2"/>
              <w:right w:val="single" w:color="E2E8F0" w:sz="2"/>
            </w:tcBorders>
            <w:shd w:fill="EEF2FF" w:val="clear"/>
            <w:tcMar>
              <w:top w:type="dxa" w:w="160"/>
              <w:left w:type="dxa" w:w="200"/>
              <w:bottom w:type="dxa" w:w="160"/>
              <w:right w:type="dxa" w:w="200"/>
            </w:tcMar>
          </w:tcPr>
          <w:p>
            <w:pPr>
              <w:spacing w:after="80"/>
            </w:pPr>
            <w:r>
              <w:rPr>
                <w:rFonts w:ascii="IBM Plex Sans" w:cs="IBM Plex Sans" w:eastAsia="IBM Plex Sans" w:hAnsi="IBM Plex Sans"/>
                <w:b/>
                <w:bCs/>
                <w:color w:val="4F46E5"/>
                <w:sz w:val="20"/>
                <w:szCs w:val="20"/>
              </w:rPr>
              <w:t xml:space="preserve">Dasar Regulasi</w:t>
            </w:r>
          </w:p>
          <w:p>
            <w:pPr>
              <w:spacing w:after="0" w:line="280"/>
            </w:pPr>
            <w:r>
              <w:rPr>
                <w:rFonts w:ascii="IBM Plex Sans" w:cs="IBM Plex Sans" w:eastAsia="IBM Plex Sans" w:hAnsi="IBM Plex Sans"/>
                <w:color w:val="334155"/>
                <w:sz w:val="21"/>
                <w:szCs w:val="21"/>
              </w:rPr>
              <w:t xml:space="preserve">Dasar hukum bab ini adalah Tabel 7 Kepkonsil No. HK.01.02/KKI/1318/2026 Nomor 41 (Kondiloma akuminatum), Nomor 42 (Vaginitis), Nomor 43 (Servisitis), dan Nomor 45 (Kista dan abses Bartholin).</w:t>
            </w:r>
          </w:p>
        </w:tc>
      </w:tr>
    </w:tbl>
    <w:p>
      <w:pPr>
        <w:spacing w:after="120"/>
      </w:pPr>
    </w:p>
    <w:p>
      <w:pPr>
        <w:spacing w:before="12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single" w:color="E2E8F0" w:sz="2"/>
              <w:left w:val="single" w:color="B45309" w:sz="24"/>
              <w:bottom w:val="single" w:color="E2E8F0" w:sz="2"/>
              <w:right w:val="single" w:color="E2E8F0" w:sz="2"/>
            </w:tcBorders>
            <w:shd w:fill="FEF3E2" w:val="clear"/>
            <w:tcMar>
              <w:top w:type="dxa" w:w="160"/>
              <w:left w:type="dxa" w:w="200"/>
              <w:bottom w:type="dxa" w:w="160"/>
              <w:right w:type="dxa" w:w="200"/>
            </w:tcMar>
          </w:tcPr>
          <w:p>
            <w:pPr>
              <w:spacing w:after="80"/>
            </w:pPr>
            <w:r>
              <w:rPr>
                <w:rFonts w:ascii="IBM Plex Sans" w:cs="IBM Plex Sans" w:eastAsia="IBM Plex Sans" w:hAnsi="IBM Plex Sans"/>
                <w:b/>
                <w:bCs/>
                <w:color w:val="B45309"/>
                <w:sz w:val="20"/>
                <w:szCs w:val="20"/>
              </w:rPr>
              <w:t xml:space="preserve">Perbandingan dan Pengayaan Standar Internasional</w:t>
            </w:r>
          </w:p>
          <w:p>
            <w:pPr>
              <w:spacing w:after="80" w:line="280"/>
            </w:pPr>
            <w:r>
              <w:rPr>
                <w:rFonts w:ascii="IBM Plex Sans" w:cs="IBM Plex Sans" w:eastAsia="IBM Plex Sans" w:hAnsi="IBM Plex Sans"/>
                <w:b/>
                <w:bCs/>
                <w:i/>
                <w:iCs/>
                <w:color w:val="334155"/>
                <w:sz w:val="21"/>
                <w:szCs w:val="21"/>
              </w:rPr>
              <w:t xml:space="preserve">WHO — Guidelines for the Management of Symptomatic Sexually Transmitted Infections (2021) </w:t>
            </w:r>
            <w:r>
              <w:rPr>
                <w:rFonts w:ascii="IBM Plex Sans" w:cs="IBM Plex Sans" w:eastAsia="IBM Plex Sans" w:hAnsi="IBM Plex Sans"/>
                <w:color w:val="334155"/>
                <w:sz w:val="21"/>
                <w:szCs w:val="21"/>
              </w:rPr>
              <w:t xml:space="preserve">merekomendasikan pendekatan sindromik untuk duh vagina di layanan primer pada konteks keterbatasan akses laboratorium cepat.</w:t>
            </w:r>
          </w:p>
          <w:p>
            <w:pPr>
              <w:spacing w:after="80" w:line="280"/>
            </w:pPr>
            <w:r>
              <w:rPr>
                <w:rFonts w:ascii="IBM Plex Sans" w:cs="IBM Plex Sans" w:eastAsia="IBM Plex Sans" w:hAnsi="IBM Plex Sans"/>
                <w:b/>
                <w:bCs/>
                <w:i/>
                <w:iCs/>
                <w:color w:val="334155"/>
                <w:sz w:val="21"/>
                <w:szCs w:val="21"/>
              </w:rPr>
              <w:t xml:space="preserve">NICE — Balloon Catheter Insertion for Bartholin's Cyst or Abscess (dahulu IPG323, kini HealthTech Guidance 204) </w:t>
            </w:r>
            <w:r>
              <w:rPr>
                <w:rFonts w:ascii="IBM Plex Sans" w:cs="IBM Plex Sans" w:eastAsia="IBM Plex Sans" w:hAnsi="IBM Plex Sans"/>
                <w:color w:val="334155"/>
                <w:sz w:val="21"/>
                <w:szCs w:val="21"/>
              </w:rPr>
              <w:t xml:space="preserve">menyatakan bukti keamanan dan efikasi insersi kateter balon (setara kateter Word) memadai sebagai alternatif non-bedah terhadap insisi-drainase atau marsupialisasi.</w:t>
            </w:r>
          </w:p>
          <w:p>
            <w:pPr>
              <w:spacing w:after="0" w:line="280"/>
            </w:pPr>
            <w:r>
              <w:rPr>
                <w:rFonts w:ascii="IBM Plex Sans" w:cs="IBM Plex Sans" w:eastAsia="IBM Plex Sans" w:hAnsi="IBM Plex Sans"/>
                <w:i/>
                <w:iCs/>
                <w:color w:val="475569"/>
                <w:sz w:val="20"/>
                <w:szCs w:val="20"/>
              </w:rPr>
              <w:t xml:space="preserve">Standar nasional (Kepkonsil) menetapkan cakupan kompetensi diagnosis dan tata laksana entitas ini sebagai kompetensi inti SpOG tanpa merinci teknik prosedural spesifik; standar internasional di atas memperkaya pilihan teknik operasional. Praktik di Indonesia mengikuti standar nasional sebagai acuan kompetensi, dengan pedoman internasional sebagai referensi teknis pelengkap.</w:t>
            </w:r>
          </w:p>
        </w:tc>
      </w:tr>
    </w:tbl>
    <w:p>
      <w:pPr>
        <w:spacing w:after="120"/>
      </w:pPr>
    </w:p>
    <w:p>
      <w:r>
        <w:br w:type="page"/>
      </w:r>
    </w:p>
    <w:p>
      <w:pPr>
        <w:pStyle w:val="Heading1"/>
        <w:pBdr>
          <w:bottom w:val="single" w:color="4F46E5" w:sz="12" w:space="4"/>
        </w:pBdr>
        <w:spacing w:after="240" w:before="480"/>
      </w:pPr>
      <w:r>
        <w:rPr>
          <w:rFonts w:ascii="Source Serif 4" w:cs="Source Serif 4" w:eastAsia="Source Serif 4" w:hAnsi="Source Serif 4"/>
          <w:b/>
          <w:bCs/>
          <w:color w:val="4F46E5"/>
          <w:sz w:val="32"/>
          <w:szCs w:val="32"/>
        </w:rPr>
        <w:t xml:space="preserve">Bab III — Penyakit Radang Panggul dan Komplikasinya</w:t>
      </w:r>
    </w:p>
    <w:p>
      <w:pPr>
        <w:pStyle w:val="Heading2"/>
        <w:spacing w:after="160" w:before="320"/>
      </w:pPr>
      <w:r>
        <w:rPr>
          <w:rFonts w:ascii="Source Serif 4" w:cs="Source Serif 4" w:eastAsia="Source Serif 4" w:hAnsi="Source Serif 4"/>
          <w:b/>
          <w:bCs/>
          <w:color w:val="4F46E5"/>
          <w:sz w:val="26"/>
          <w:szCs w:val="26"/>
        </w:rPr>
        <w:t xml:space="preserve">3.1 Penyakit Radang Panggul / Pelvic Inflammatory Disease (ICD-10 N73.9 / ICD-11 GA05.0)</w:t>
      </w:r>
    </w:p>
    <w:p>
      <w:pPr>
        <w:spacing w:after="200" w:line="300"/>
        <w:jc w:val="both"/>
      </w:pPr>
      <w:r>
        <w:rPr>
          <w:rFonts w:ascii="IBM Plex Sans" w:cs="IBM Plex Sans" w:eastAsia="IBM Plex Sans" w:hAnsi="IBM Plex Sans"/>
          <w:color w:val="334155"/>
          <w:sz w:val="22"/>
          <w:szCs w:val="22"/>
        </w:rPr>
        <w:t xml:space="preserve">Penyakit radang panggul (PID) adalah sindrom klinis akibat penjalaran infeksi asenden dari serviks dan vagina menuju endometrium, tuba falopi, ovarium, dan struktur pelvis di sekitarnya. Etiologi tersering adalah Chlamydia trachomatis dan Neisseria gonorrhoeae, namun flora endogen vagina (anaerob, Gardnerella vaginalis, Haemophilus influenzae, Streptococcus agalactiae, dan basil gram negatif enterik) turut berperan pada sebagian besar kasus, sehingga PID pada praktiknya sering bersifat polimikroba.</w:t>
      </w:r>
    </w:p>
    <w:p>
      <w:pPr>
        <w:spacing w:after="200" w:line="300"/>
        <w:jc w:val="both"/>
      </w:pPr>
      <w:r>
        <w:rPr>
          <w:rFonts w:ascii="IBM Plex Sans" w:cs="IBM Plex Sans" w:eastAsia="IBM Plex Sans" w:hAnsi="IBM Plex Sans"/>
          <w:color w:val="334155"/>
          <w:sz w:val="22"/>
          <w:szCs w:val="22"/>
        </w:rPr>
        <w:t xml:space="preserve">Diagnosis PID bersifat klinis dan sering menantang karena spektrum presentasi yang luas, mulai dari nyeri panggul ringan hingga abdomen akut. Kriteria minimum yang lazim dipakai adalah nyeri tekan uterus, adneksa, atau nyeri goyang serviks pada pasien usia reproduksi dengan risiko IMS dan tanpa penyebab lain yang teridentifikasi. Kriteria tambahan (suhu tubuh lebih dari 38,3°C, duh serviks/vagina mukopurulen abnormal, peningkatan laju endap darah atau protein C-reaktif, konfirmasi laboratorium infeksi gonore/klamidia) meningkatkan spesifisitas diagnosis. Karena ambang diagnosis klinis relatif rendah demi mencegah keterlambatan tata laksana yang berisiko sekuele, dokter didorong untuk memiliki indeks kecurigaan tinggi pada wanita usia reproduksi dengan nyeri panggul bawah.</w:t>
      </w:r>
    </w:p>
    <w:p>
      <w:pPr>
        <w:spacing w:after="200" w:line="300"/>
        <w:jc w:val="both"/>
      </w:pPr>
      <w:r>
        <w:rPr>
          <w:rFonts w:ascii="IBM Plex Sans" w:cs="IBM Plex Sans" w:eastAsia="IBM Plex Sans" w:hAnsi="IBM Plex Sans"/>
          <w:color w:val="334155"/>
          <w:sz w:val="22"/>
          <w:szCs w:val="22"/>
        </w:rPr>
        <w:t xml:space="preserve">Tata laksana PID rawat jalan pada kasus ringan-sedang menggunakan regimen antibiotik spektrum luas yang mencakup cakupan gonore, klamidia, dan anaerob, umumnya kombinasi sefalosporin generasi ketiga dosis tunggal intramuskular ditambah doksisiklin oral, dengan atau tanpa metronidazol. Indikasi rawat inap mencakup abdomen akut yang tidak dapat disingkirkan, kegagalan atau intoleransi terapi oral, kehamilan, abses tuboovarium, atau tanda sepsis.</w:t>
      </w:r>
    </w:p>
    <w:p>
      <w:pPr>
        <w:pStyle w:val="Heading2"/>
        <w:spacing w:after="160" w:before="320"/>
      </w:pPr>
      <w:r>
        <w:rPr>
          <w:rFonts w:ascii="Source Serif 4" w:cs="Source Serif 4" w:eastAsia="Source Serif 4" w:hAnsi="Source Serif 4"/>
          <w:b/>
          <w:bCs/>
          <w:color w:val="4F46E5"/>
          <w:sz w:val="26"/>
          <w:szCs w:val="26"/>
        </w:rPr>
        <w:t xml:space="preserve">3.2 Komplikasi dan Sekuele PID</w:t>
      </w:r>
    </w:p>
    <w:p>
      <w:pPr>
        <w:spacing w:after="200" w:line="300"/>
        <w:jc w:val="both"/>
      </w:pPr>
      <w:r>
        <w:rPr>
          <w:rFonts w:ascii="IBM Plex Sans" w:cs="IBM Plex Sans" w:eastAsia="IBM Plex Sans" w:hAnsi="IBM Plex Sans"/>
          <w:color w:val="334155"/>
          <w:sz w:val="22"/>
          <w:szCs w:val="22"/>
        </w:rPr>
        <w:t xml:space="preserve">Keterlambatan diagnosis dan tata laksana PID berkaitan dengan risiko sekuele jangka panjang yang bermakna: infertilitas faktor tuba akibat jaringan parut dan oklusi tuba, kehamilan ektopik akibat kerusakan fungsi silia tuba, nyeri panggul kronis akibat perlengketan, dan sindrom Fitz-Hugh-Curtis (perihepatitis akibat penjalaran infeksi ke kapsul hepar). Abses tuboovarium merupakan komplikasi berat yang memerlukan rawat inap, antibiotik intravena spektrum luas, dan pada kasus tertentu drainase perkutan atau intervensi bedah bila terjadi ruptur atau tidak berespons terhadap terapi konservatif.</w:t>
      </w:r>
    </w:p>
    <w:p>
      <w:pPr>
        <w:spacing w:after="200" w:line="300"/>
        <w:jc w:val="both"/>
      </w:pPr>
      <w:r>
        <w:rPr>
          <w:rFonts w:ascii="IBM Plex Sans" w:cs="IBM Plex Sans" w:eastAsia="IBM Plex Sans" w:hAnsi="IBM Plex Sans"/>
          <w:color w:val="334155"/>
          <w:sz w:val="22"/>
          <w:szCs w:val="22"/>
        </w:rPr>
        <w:t xml:space="preserve">Risiko sekuele meningkat secara bermakna dengan setiap episode PID berulang, sehingga edukasi pencegahan reinfeksi — termasuk tata laksana pasangan seksual dan konseling perilaku seksual aman — menjadi komponen esensial tata laksana, bukan sekadar tambahan opsional.</w:t>
      </w:r>
    </w:p>
    <w:p>
      <w:pPr>
        <w:pStyle w:val="Heading2"/>
        <w:spacing w:after="160" w:before="320"/>
      </w:pPr>
      <w:r>
        <w:rPr>
          <w:rFonts w:ascii="Source Serif 4" w:cs="Source Serif 4" w:eastAsia="Source Serif 4" w:hAnsi="Source Serif 4"/>
          <w:b/>
          <w:bCs/>
          <w:color w:val="4F46E5"/>
          <w:sz w:val="26"/>
          <w:szCs w:val="26"/>
        </w:rPr>
        <w:t xml:space="preserve">3.3 Infeksi Daerah Operasi Ginekologi dan Obstetri (ICD-10 T81.4 / ICD-11 NE81.2)</w:t>
      </w:r>
    </w:p>
    <w:p>
      <w:pPr>
        <w:spacing w:after="200" w:line="300"/>
        <w:jc w:val="both"/>
      </w:pPr>
      <w:r>
        <w:rPr>
          <w:rFonts w:ascii="IBM Plex Sans" w:cs="IBM Plex Sans" w:eastAsia="IBM Plex Sans" w:hAnsi="IBM Plex Sans"/>
          <w:color w:val="334155"/>
          <w:sz w:val="22"/>
          <w:szCs w:val="22"/>
        </w:rPr>
        <w:t xml:space="preserve">Infeksi daerah operasi (IDO) adalah infeksi yang terjadi pada lokasi insisi bedah dalam periode pasca-operasi, diklasifikasikan menjadi infeksi insisional superfisial, insisional dalam, dan infeksi organ/rongga tubuh (misalnya infeksi kuff vagina pasca-histerektomi atau abses pelvis pasca-seksio sesarea). Faktor risiko meliputi obesitas, diabetes melitus, durasi operasi yang panjang, kehilangan darah bermakna, teknik aseptik yang tidak optimal, dan profilaksis antibiotik perioperatif yang tidak adekuat.</w:t>
      </w:r>
    </w:p>
    <w:p>
      <w:pPr>
        <w:spacing w:after="200" w:line="300"/>
        <w:jc w:val="both"/>
      </w:pPr>
      <w:r>
        <w:rPr>
          <w:rFonts w:ascii="IBM Plex Sans" w:cs="IBM Plex Sans" w:eastAsia="IBM Plex Sans" w:hAnsi="IBM Plex Sans"/>
          <w:color w:val="334155"/>
          <w:sz w:val="22"/>
          <w:szCs w:val="22"/>
        </w:rPr>
        <w:t xml:space="preserve">Pencegahan IDO bertumpu pada bundel praktik berbasis bukti: profilaksis antibiotik intravena diberikan dalam 60 menit sebelum insisi, persiapan kulit dengan antiseptik berbasis klorheksidin-alkohol, pengendalian glukosa perioperatif, dan normotermia intraoperatif. Tata laksana IDO yang telah terjadi mencakup drainase pada infeksi superfisial dengan kumpulan pus, antibiotik sistemik disesuaikan hasil kultur, dan eksplorasi ulang pada kecurigaan infeksi organ/rongga yang dalam.</w:t>
      </w:r>
    </w:p>
    <w:p>
      <w:pPr>
        <w:pStyle w:val="Heading2"/>
        <w:spacing w:after="160" w:before="320"/>
      </w:pPr>
      <w:r>
        <w:rPr>
          <w:rFonts w:ascii="Source Serif 4" w:cs="Source Serif 4" w:eastAsia="Source Serif 4" w:hAnsi="Source Serif 4"/>
          <w:b/>
          <w:bCs/>
          <w:color w:val="4F46E5"/>
          <w:sz w:val="26"/>
          <w:szCs w:val="26"/>
        </w:rPr>
        <w:t xml:space="preserve">3.4 Mioma Uteri Tanpa Penyulit sebagai Diagnosis Banding (ICD-10 D25.9 / ICD-11 2E86.0)</w:t>
      </w:r>
    </w:p>
    <w:p>
      <w:pPr>
        <w:spacing w:after="200" w:line="300"/>
        <w:jc w:val="both"/>
      </w:pPr>
      <w:r>
        <w:rPr>
          <w:rFonts w:ascii="IBM Plex Sans" w:cs="IBM Plex Sans" w:eastAsia="IBM Plex Sans" w:hAnsi="IBM Plex Sans"/>
          <w:color w:val="334155"/>
          <w:sz w:val="22"/>
          <w:szCs w:val="22"/>
        </w:rPr>
        <w:t xml:space="preserve">Mioma uteri (leiomioma) adalah tumor jinak otot polos miometrium yang merupakan tumor pelvis tersering pada wanita usia reproduksi. Meskipun bukan entitas infeksius, mioma uteri dibahas pada bab ini karena relevansinya sebagai diagnosis banding penting terhadap nyeri panggul, perdarahan uterus abnormal, dan teraba massa pelvis — presentasi yang tumpang tindih dengan PID dan komplikasinya. Klasifikasi FIGO (submukosa, intramural, subserosa) membantu menentukan korelasi gejala dan pilihan tata laksana.</w:t>
      </w:r>
    </w:p>
    <w:p>
      <w:pPr>
        <w:spacing w:after="200" w:line="300"/>
        <w:jc w:val="both"/>
      </w:pPr>
      <w:r>
        <w:rPr>
          <w:rFonts w:ascii="IBM Plex Sans" w:cs="IBM Plex Sans" w:eastAsia="IBM Plex Sans" w:hAnsi="IBM Plex Sans"/>
          <w:color w:val="334155"/>
          <w:sz w:val="22"/>
          <w:szCs w:val="22"/>
        </w:rPr>
        <w:t xml:space="preserve">Mioma uteri tanpa penyulit yang asimtomatik umumnya dikelola secara ekspektatif dengan pemantauan berkala. Pembahasan komprehensif mengenai evaluasi diagnostik (ultrasonografi transvaginal, MRI pelvis pada kasus kompleks), tata laksana medikamentosa (agonis/antagonis GnRH, asam traneksamat, kontrasepsi hormonal), dan tata laksana bedah (miomektomi, embolisasi arteri uterina, histerektomi) dirujuk sepenuhnya ke PPK Mioma Uteri tersendiri; bab ini hanya membahas perannya dalam algoritme diagnosis banding nyeri panggul.</w:t>
      </w:r>
    </w:p>
    <w:p>
      <w:pPr>
        <w:pStyle w:val="Heading2"/>
        <w:spacing w:after="160" w:before="320"/>
      </w:pPr>
      <w:r>
        <w:rPr>
          <w:rFonts w:ascii="Source Serif 4" w:cs="Source Serif 4" w:eastAsia="Source Serif 4" w:hAnsi="Source Serif 4"/>
          <w:b/>
          <w:bCs/>
          <w:color w:val="4F46E5"/>
          <w:sz w:val="26"/>
          <w:szCs w:val="26"/>
        </w:rPr>
        <w:t xml:space="preserve">3.5 Pendekatan Diagnostik Terintegrasi pada Nyeri Panggul</w:t>
      </w:r>
    </w:p>
    <w:p>
      <w:pPr>
        <w:spacing w:after="200" w:line="300"/>
        <w:jc w:val="both"/>
      </w:pPr>
      <w:r>
        <w:rPr>
          <w:rFonts w:ascii="IBM Plex Sans" w:cs="IBM Plex Sans" w:eastAsia="IBM Plex Sans" w:hAnsi="IBM Plex Sans"/>
          <w:color w:val="334155"/>
          <w:sz w:val="22"/>
          <w:szCs w:val="22"/>
        </w:rPr>
        <w:t xml:space="preserve">Nyeri panggul bawah pada perempuan usia reproduksi memiliki diagnosis banding yang luas dan memerlukan penalaran klinis sistematis agar tidak terjadi keterlambatan tata laksana PID di satu sisi, maupun tindakan berlebihan pada kondisi jinak seperti mioma uteri di sisi lain. Alur pikir yang direkomendasikan dimulai dari penyingkiran kondisi kegawatdaruratan (kehamilan ektopik terganggu, torsi ovarium, apendisitis akut), dilanjutkan evaluasi tanda infeksi aktif (demam, duh purulen, nyeri goyang serviks) yang mengarahkan ke PID, dan bila tidak ditemukan tanda infeksi maka evaluasi struktural melalui ultrasonografi transvaginal untuk mengidentifikasi mioma uteri, kista ovarium, atau adenomiosis sebagai penyebab nyeri kronis.</w:t>
      </w:r>
    </w:p>
    <w:p>
      <w:pPr>
        <w:spacing w:after="200" w:line="300"/>
        <w:jc w:val="both"/>
      </w:pPr>
      <w:r>
        <w:rPr>
          <w:rFonts w:ascii="IBM Plex Sans" w:cs="IBM Plex Sans" w:eastAsia="IBM Plex Sans" w:hAnsi="IBM Plex Sans"/>
          <w:color w:val="334155"/>
          <w:sz w:val="22"/>
          <w:szCs w:val="22"/>
        </w:rPr>
        <w:t xml:space="preserve">Anamnesis terarah yang membedakan pola nyeri (akut versus kronis, siklik versus non-siklik), riwayat aktivitas seksual dan faktor risiko IMS, serta riwayat menstruasi memberikan kontribusi diagnostik yang besar sebelum pemeriksaan penunjang dilakukan, sehingga kompetensi anamnesis dan pemeriksaan fisik ginekologik yang cermat tetap menjadi keterampilan inti yang tidak tergantikan oleh teknologi pencitraan.</w:t>
      </w:r>
    </w:p>
    <w:p>
      <w:pPr>
        <w:spacing w:before="12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single" w:color="E2E8F0" w:sz="2"/>
              <w:left w:val="single" w:color="4F46E5" w:sz="24"/>
              <w:bottom w:val="single" w:color="E2E8F0" w:sz="2"/>
              <w:right w:val="single" w:color="E2E8F0" w:sz="2"/>
            </w:tcBorders>
            <w:shd w:fill="EEF2FF" w:val="clear"/>
            <w:tcMar>
              <w:top w:type="dxa" w:w="160"/>
              <w:left w:type="dxa" w:w="200"/>
              <w:bottom w:type="dxa" w:w="160"/>
              <w:right w:type="dxa" w:w="200"/>
            </w:tcMar>
          </w:tcPr>
          <w:p>
            <w:pPr>
              <w:spacing w:after="80"/>
            </w:pPr>
            <w:r>
              <w:rPr>
                <w:rFonts w:ascii="IBM Plex Sans" w:cs="IBM Plex Sans" w:eastAsia="IBM Plex Sans" w:hAnsi="IBM Plex Sans"/>
                <w:b/>
                <w:bCs/>
                <w:color w:val="4F46E5"/>
                <w:sz w:val="20"/>
                <w:szCs w:val="20"/>
              </w:rPr>
              <w:t xml:space="preserve">Dasar Regulasi</w:t>
            </w:r>
          </w:p>
          <w:p>
            <w:pPr>
              <w:spacing w:after="0" w:line="280"/>
            </w:pPr>
            <w:r>
              <w:rPr>
                <w:rFonts w:ascii="IBM Plex Sans" w:cs="IBM Plex Sans" w:eastAsia="IBM Plex Sans" w:hAnsi="IBM Plex Sans"/>
                <w:color w:val="334155"/>
                <w:sz w:val="21"/>
                <w:szCs w:val="21"/>
              </w:rPr>
              <w:t xml:space="preserve">Dasar hukum bab ini adalah Tabel 7 Kepkonsil No. HK.01.02/KKI/1318/2026 Nomor 44 (Penyakit radang panggul tanpa komplikasi), Nomor 46 (Infeksi daerah operasi), dan Nomor 47 (Mioma uteri tanpa penyulit, dibahas sebagai diagnosis banding).</w:t>
            </w:r>
          </w:p>
        </w:tc>
      </w:tr>
    </w:tbl>
    <w:p>
      <w:pPr>
        <w:spacing w:after="120"/>
      </w:pPr>
    </w:p>
    <w:p>
      <w:pPr>
        <w:spacing w:before="12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single" w:color="E2E8F0" w:sz="2"/>
              <w:left w:val="single" w:color="B45309" w:sz="24"/>
              <w:bottom w:val="single" w:color="E2E8F0" w:sz="2"/>
              <w:right w:val="single" w:color="E2E8F0" w:sz="2"/>
            </w:tcBorders>
            <w:shd w:fill="FEF3E2" w:val="clear"/>
            <w:tcMar>
              <w:top w:type="dxa" w:w="160"/>
              <w:left w:type="dxa" w:w="200"/>
              <w:bottom w:type="dxa" w:w="160"/>
              <w:right w:type="dxa" w:w="200"/>
            </w:tcMar>
          </w:tcPr>
          <w:p>
            <w:pPr>
              <w:spacing w:after="80"/>
            </w:pPr>
            <w:r>
              <w:rPr>
                <w:rFonts w:ascii="IBM Plex Sans" w:cs="IBM Plex Sans" w:eastAsia="IBM Plex Sans" w:hAnsi="IBM Plex Sans"/>
                <w:b/>
                <w:bCs/>
                <w:color w:val="B45309"/>
                <w:sz w:val="20"/>
                <w:szCs w:val="20"/>
              </w:rPr>
              <w:t xml:space="preserve">Perbandingan dan Pengayaan Standar Internasional</w:t>
            </w:r>
          </w:p>
          <w:p>
            <w:pPr>
              <w:spacing w:after="80" w:line="280"/>
            </w:pPr>
            <w:r>
              <w:rPr>
                <w:rFonts w:ascii="IBM Plex Sans" w:cs="IBM Plex Sans" w:eastAsia="IBM Plex Sans" w:hAnsi="IBM Plex Sans"/>
                <w:b/>
                <w:bCs/>
                <w:i/>
                <w:iCs/>
                <w:color w:val="334155"/>
                <w:sz w:val="21"/>
                <w:szCs w:val="21"/>
              </w:rPr>
              <w:t xml:space="preserve">CDC — Sexually Transmitted Infections Treatment Guidelines, 2021 (edisi yang masih berlaku hingga pertengahan 2026) </w:t>
            </w:r>
            <w:r>
              <w:rPr>
                <w:rFonts w:ascii="IBM Plex Sans" w:cs="IBM Plex Sans" w:eastAsia="IBM Plex Sans" w:hAnsi="IBM Plex Sans"/>
                <w:color w:val="334155"/>
                <w:sz w:val="21"/>
                <w:szCs w:val="21"/>
              </w:rPr>
              <w:t xml:space="preserve">menetapkan ambang diagnosis klinis PID yang rendah (minimum criteria) untuk mendorong tata laksana empiris dini demi mencegah sekuele reproduksi.</w:t>
            </w:r>
          </w:p>
          <w:p>
            <w:pPr>
              <w:spacing w:after="80" w:line="280"/>
            </w:pPr>
            <w:r>
              <w:rPr>
                <w:rFonts w:ascii="IBM Plex Sans" w:cs="IBM Plex Sans" w:eastAsia="IBM Plex Sans" w:hAnsi="IBM Plex Sans"/>
                <w:b/>
                <w:bCs/>
                <w:i/>
                <w:iCs/>
                <w:color w:val="334155"/>
                <w:sz w:val="21"/>
                <w:szCs w:val="21"/>
              </w:rPr>
              <w:t xml:space="preserve">ACOG Practice Bulletin No. 195 (2018) — Prevention of Infection After Gynecologic Procedures </w:t>
            </w:r>
            <w:r>
              <w:rPr>
                <w:rFonts w:ascii="IBM Plex Sans" w:cs="IBM Plex Sans" w:eastAsia="IBM Plex Sans" w:hAnsi="IBM Plex Sans"/>
                <w:color w:val="334155"/>
                <w:sz w:val="21"/>
                <w:szCs w:val="21"/>
              </w:rPr>
              <w:t xml:space="preserve">merekomendasikan bundel pencegahan infeksi daerah operasi perioperatif (kendali glikemik, antiseptik kulit berbasis klorheksidin-alkohol, profilaksis antibiotik dosis tunggal sesuai jenis prosedur) sebagai standar mutu pelayanan bedah ginekologi.</w:t>
            </w:r>
          </w:p>
          <w:p>
            <w:pPr>
              <w:spacing w:after="0" w:line="280"/>
            </w:pPr>
            <w:r>
              <w:rPr>
                <w:rFonts w:ascii="IBM Plex Sans" w:cs="IBM Plex Sans" w:eastAsia="IBM Plex Sans" w:hAnsi="IBM Plex Sans"/>
                <w:i/>
                <w:iCs/>
                <w:color w:val="475569"/>
                <w:sz w:val="20"/>
                <w:szCs w:val="20"/>
              </w:rPr>
              <w:t xml:space="preserve">Standar nasional (Kepkonsil) menetapkan kompetensi diagnosis dan tata laksana PID serta IDO sebagai kompetensi inti; standar internasional di atas memperkaya ambang diagnostik dan bundel pencegahan operasional. Praktik di Indonesia mengikuti standar nasional sebagai kerangka kompetensi, dengan pedoman internasional sebagai rujukan teknis pelengkap.</w:t>
            </w:r>
          </w:p>
        </w:tc>
      </w:tr>
    </w:tbl>
    <w:p>
      <w:pPr>
        <w:spacing w:after="120"/>
      </w:pPr>
    </w:p>
    <w:p>
      <w:r>
        <w:br w:type="page"/>
      </w:r>
    </w:p>
    <w:p>
      <w:pPr>
        <w:pStyle w:val="Heading1"/>
        <w:pBdr>
          <w:bottom w:val="single" w:color="4F46E5" w:sz="12" w:space="4"/>
        </w:pBdr>
        <w:spacing w:after="240" w:before="480"/>
      </w:pPr>
      <w:r>
        <w:rPr>
          <w:rFonts w:ascii="Source Serif 4" w:cs="Source Serif 4" w:eastAsia="Source Serif 4" w:hAnsi="Source Serif 4"/>
          <w:b/>
          <w:bCs/>
          <w:color w:val="4F46E5"/>
          <w:sz w:val="32"/>
          <w:szCs w:val="32"/>
        </w:rPr>
        <w:t xml:space="preserve">Bab IV — Infeksi Menular Seksual</w:t>
      </w:r>
    </w:p>
    <w:p>
      <w:pPr>
        <w:pStyle w:val="Heading2"/>
        <w:spacing w:after="160" w:before="320"/>
      </w:pPr>
      <w:r>
        <w:rPr>
          <w:rFonts w:ascii="Source Serif 4" w:cs="Source Serif 4" w:eastAsia="Source Serif 4" w:hAnsi="Source Serif 4"/>
          <w:b/>
          <w:bCs/>
          <w:color w:val="4F46E5"/>
          <w:sz w:val="26"/>
          <w:szCs w:val="26"/>
        </w:rPr>
        <w:t xml:space="preserve">4.1 Spektrum dan Klasifikasi Infeksi Menular Seksual (ICD-10 A50-A64 / ICD-11 1A60-1A9Z)</w:t>
      </w:r>
    </w:p>
    <w:p>
      <w:pPr>
        <w:spacing w:after="200" w:line="300"/>
        <w:jc w:val="both"/>
      </w:pPr>
      <w:r>
        <w:rPr>
          <w:rFonts w:ascii="IBM Plex Sans" w:cs="IBM Plex Sans" w:eastAsia="IBM Plex Sans" w:hAnsi="IBM Plex Sans"/>
          <w:color w:val="334155"/>
          <w:sz w:val="22"/>
          <w:szCs w:val="22"/>
        </w:rPr>
        <w:t xml:space="preserve">Tabel 7 Kepkonsil mengelompokkan infeksi menular seksual (IMS) sebagai satu entri komprehensif (Nomor 71) yang mencakup rentang etiologi bakteri (sifilis, gonore, klamidia, limfogranuloma venereum), virus (herpes genitalis, HPV, HIV, hepatitis B), dan protozoa (trikomoniasis). Kompetensi SpOG mencakup pengenalan manifestasi klinis, pendekatan diagnostik, tata laksana lini pertama, serta peran dalam pencegahan dan konseling, dengan penekanan pada dampak IMS terhadap kesehatan reproduksi dan luaran kehamilan.</w:t>
      </w:r>
    </w:p>
    <w:p>
      <w:pPr>
        <w:spacing w:after="200" w:line="300"/>
        <w:jc w:val="both"/>
      </w:pPr>
      <w:r>
        <w:rPr>
          <w:rFonts w:ascii="IBM Plex Sans" w:cs="IBM Plex Sans" w:eastAsia="IBM Plex Sans" w:hAnsi="IBM Plex Sans"/>
          <w:color w:val="334155"/>
          <w:sz w:val="22"/>
          <w:szCs w:val="22"/>
        </w:rPr>
        <w:t xml:space="preserve">IMS dapat bermanifestasi sebagai sindrom duh genital, ulkus genital, atau bersifat asimtomatik — kondisi terakhir ini yang paling berkontribusi terhadap penularan berkelanjutan dan komplikasi tidak terdeteksi seperti PID dan infertilitas. Sifilis, sebagai contoh, melalui stadium primer (ulkus tanpa nyeri/chancre), sekunder (ruam kulit, kondiloma lata), laten, dan tersier, dengan risiko transmisi vertikal yang menyebabkan sifilis kongenital bila tidak diobati selama kehamilan.</w:t>
      </w:r>
    </w:p>
    <w:p>
      <w:pPr>
        <w:pStyle w:val="Heading2"/>
        <w:spacing w:after="160" w:before="320"/>
      </w:pPr>
      <w:r>
        <w:rPr>
          <w:rFonts w:ascii="Source Serif 4" w:cs="Source Serif 4" w:eastAsia="Source Serif 4" w:hAnsi="Source Serif 4"/>
          <w:b/>
          <w:bCs/>
          <w:color w:val="4F46E5"/>
          <w:sz w:val="26"/>
          <w:szCs w:val="26"/>
        </w:rPr>
        <w:t xml:space="preserve">4.2 Pendekatan Sindromik dan Diagnostik</w:t>
      </w:r>
    </w:p>
    <w:p>
      <w:pPr>
        <w:spacing w:after="200" w:line="300"/>
        <w:jc w:val="both"/>
      </w:pPr>
      <w:r>
        <w:rPr>
          <w:rFonts w:ascii="IBM Plex Sans" w:cs="IBM Plex Sans" w:eastAsia="IBM Plex Sans" w:hAnsi="IBM Plex Sans"/>
          <w:color w:val="334155"/>
          <w:sz w:val="22"/>
          <w:szCs w:val="22"/>
        </w:rPr>
        <w:t xml:space="preserve">Pada layanan dengan keterbatasan akses uji laboratorium cepat, pendekatan sindromik — tata laksana empiris berdasarkan kelompok gejala tanpa menunggu konfirmasi etiologi spesifik — tetap menjadi strategi praktis yang direkomendasikan Kementerian Kesehatan dan WHO untuk memutus rantai penularan secara tepat waktu. Pendekatan ini dilengkapi, bila tersedia, dengan uji laboratorium konfirmatori: nucleic acid amplification test (NAAT) untuk klamidia dan gonore, uji serologi treponemal dan non-treponemal (RPR/VDRL dikonfirmasi TPHA/FTA-ABS) untuk sifilis, serta uji cepat atau ELISA untuk HIV sesuai alur konseling dan tes HIV sukarela (VCT).</w:t>
      </w:r>
    </w:p>
    <w:p>
      <w:pPr>
        <w:spacing w:after="200" w:line="300"/>
        <w:jc w:val="both"/>
      </w:pPr>
      <w:r>
        <w:rPr>
          <w:rFonts w:ascii="IBM Plex Sans" w:cs="IBM Plex Sans" w:eastAsia="IBM Plex Sans" w:hAnsi="IBM Plex Sans"/>
          <w:color w:val="334155"/>
          <w:sz w:val="22"/>
          <w:szCs w:val="22"/>
        </w:rPr>
        <w:t xml:space="preserve">Skrining IMS pada kehamilan merupakan komponen esensial pelayanan antenatal terpadu, mengingat dampak signifikan terhadap luaran kehamilan (sifilis kongenital, transmisi vertikal HIV, konjungtivitis neonatal akibat gonore/klamidia). Skrining sifilis dan HIV pada kunjungan antenatal pertama merupakan standar pelayanan yang berlaku secara nasional.</w:t>
      </w:r>
    </w:p>
    <w:p>
      <w:pPr>
        <w:pStyle w:val="Heading2"/>
        <w:spacing w:after="160" w:before="320"/>
      </w:pPr>
      <w:r>
        <w:rPr>
          <w:rFonts w:ascii="Source Serif 4" w:cs="Source Serif 4" w:eastAsia="Source Serif 4" w:hAnsi="Source Serif 4"/>
          <w:b/>
          <w:bCs/>
          <w:color w:val="4F46E5"/>
          <w:sz w:val="26"/>
          <w:szCs w:val="26"/>
        </w:rPr>
        <w:t xml:space="preserve">4.3 Tata Laksana dan Pencegahan</w:t>
      </w:r>
    </w:p>
    <w:p>
      <w:pPr>
        <w:spacing w:after="200" w:line="300"/>
        <w:jc w:val="both"/>
      </w:pPr>
      <w:r>
        <w:rPr>
          <w:rFonts w:ascii="IBM Plex Sans" w:cs="IBM Plex Sans" w:eastAsia="IBM Plex Sans" w:hAnsi="IBM Plex Sans"/>
          <w:color w:val="334155"/>
          <w:sz w:val="22"/>
          <w:szCs w:val="22"/>
        </w:rPr>
        <w:t xml:space="preserve">Tata laksana IMS mengikuti pedoman nasional dan disesuaikan dengan etiologi terkonfirmasi atau dugaan klinis: penisilin benzatin untuk sifilis (dengan desensitisasi pada pasien hamil dengan riwayat alergi penisilin karena tidak ada alternatif yang setara efektifnya untuk mencegah sifilis kongenital), sefalosporin generasi ketiga untuk gonore, azitromisin atau doksisiklin untuk klamidia, serta terapi antiretroviral untuk HIV yang diinisiasi segera setelah diagnosis (test and treat). Klinisi perlu mewaspadai dinamika ketersediaan sediaan penisilin benzatin kerja panjang di pasaran internasional dari waktu ke waktu; otoritas obat di berbagai negara secara berkala menerbitkan kebijakan mitigasi kekurangan pasokan, sehingga verifikasi ketersediaan sediaan di fasilitas setempat dan regimen alternatif yang berlaku saat pasien ditangani tetap diperlukan sebelum inisiasi terapi.</w:t>
      </w:r>
    </w:p>
    <w:p>
      <w:pPr>
        <w:spacing w:after="200" w:line="300"/>
        <w:jc w:val="both"/>
      </w:pPr>
      <w:r>
        <w:rPr>
          <w:rFonts w:ascii="IBM Plex Sans" w:cs="IBM Plex Sans" w:eastAsia="IBM Plex Sans" w:hAnsi="IBM Plex Sans"/>
          <w:color w:val="334155"/>
          <w:sz w:val="22"/>
          <w:szCs w:val="22"/>
        </w:rPr>
        <w:t xml:space="preserve">Strategi pencegahan komprehensif mencakup: edukasi perilaku seksual aman, tata laksana pasangan seksual (partner notification and treatment), akses kondom, vaksinasi HPV dan hepatitis B, serta integrasi layanan IMS ke dalam program kesehatan reproduksi dan program nasional pengendalian HIV/AIDS dan IMS.</w:t>
      </w:r>
    </w:p>
    <w:p>
      <w:pPr>
        <w:spacing w:before="12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single" w:color="E2E8F0" w:sz="2"/>
              <w:left w:val="single" w:color="4F46E5" w:sz="24"/>
              <w:bottom w:val="single" w:color="E2E8F0" w:sz="2"/>
              <w:right w:val="single" w:color="E2E8F0" w:sz="2"/>
            </w:tcBorders>
            <w:shd w:fill="EEF2FF" w:val="clear"/>
            <w:tcMar>
              <w:top w:type="dxa" w:w="160"/>
              <w:left w:type="dxa" w:w="200"/>
              <w:bottom w:type="dxa" w:w="160"/>
              <w:right w:type="dxa" w:w="200"/>
            </w:tcMar>
          </w:tcPr>
          <w:p>
            <w:pPr>
              <w:spacing w:after="80"/>
            </w:pPr>
            <w:r>
              <w:rPr>
                <w:rFonts w:ascii="IBM Plex Sans" w:cs="IBM Plex Sans" w:eastAsia="IBM Plex Sans" w:hAnsi="IBM Plex Sans"/>
                <w:b/>
                <w:bCs/>
                <w:color w:val="4F46E5"/>
                <w:sz w:val="20"/>
                <w:szCs w:val="20"/>
              </w:rPr>
              <w:t xml:space="preserve">Dasar Regulasi</w:t>
            </w:r>
          </w:p>
          <w:p>
            <w:pPr>
              <w:spacing w:after="0" w:line="280"/>
            </w:pPr>
            <w:r>
              <w:rPr>
                <w:rFonts w:ascii="IBM Plex Sans" w:cs="IBM Plex Sans" w:eastAsia="IBM Plex Sans" w:hAnsi="IBM Plex Sans"/>
                <w:color w:val="334155"/>
                <w:sz w:val="21"/>
                <w:szCs w:val="21"/>
              </w:rPr>
              <w:t xml:space="preserve">Dasar hukum bab ini adalah Tabel 7 Kepkonsil No. HK.01.02/KKI/1318/2026 Nomor 71 (Infeksi menular seksual, ICD-10 A50-A64, ICD-11 1A60-1A9Z).</w:t>
            </w:r>
          </w:p>
        </w:tc>
      </w:tr>
    </w:tbl>
    <w:p>
      <w:pPr>
        <w:spacing w:after="120"/>
      </w:pPr>
    </w:p>
    <w:p>
      <w:pPr>
        <w:spacing w:before="12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single" w:color="E2E8F0" w:sz="2"/>
              <w:left w:val="single" w:color="B45309" w:sz="24"/>
              <w:bottom w:val="single" w:color="E2E8F0" w:sz="2"/>
              <w:right w:val="single" w:color="E2E8F0" w:sz="2"/>
            </w:tcBorders>
            <w:shd w:fill="FEF3E2" w:val="clear"/>
            <w:tcMar>
              <w:top w:type="dxa" w:w="160"/>
              <w:left w:type="dxa" w:w="200"/>
              <w:bottom w:type="dxa" w:w="160"/>
              <w:right w:type="dxa" w:w="200"/>
            </w:tcMar>
          </w:tcPr>
          <w:p>
            <w:pPr>
              <w:spacing w:after="80"/>
            </w:pPr>
            <w:r>
              <w:rPr>
                <w:rFonts w:ascii="IBM Plex Sans" w:cs="IBM Plex Sans" w:eastAsia="IBM Plex Sans" w:hAnsi="IBM Plex Sans"/>
                <w:b/>
                <w:bCs/>
                <w:color w:val="B45309"/>
                <w:sz w:val="20"/>
                <w:szCs w:val="20"/>
              </w:rPr>
              <w:t xml:space="preserve">Perbandingan dan Pengayaan Standar Internasional</w:t>
            </w:r>
          </w:p>
          <w:p>
            <w:pPr>
              <w:spacing w:after="80" w:line="280"/>
            </w:pPr>
            <w:r>
              <w:rPr>
                <w:rFonts w:ascii="IBM Plex Sans" w:cs="IBM Plex Sans" w:eastAsia="IBM Plex Sans" w:hAnsi="IBM Plex Sans"/>
                <w:b/>
                <w:bCs/>
                <w:i/>
                <w:iCs/>
                <w:color w:val="334155"/>
                <w:sz w:val="21"/>
                <w:szCs w:val="21"/>
              </w:rPr>
              <w:t xml:space="preserve">WHO — Guidelines for the Management of Symptomatic Sexually Transmitted Infections (Geneva: WHO, 2021) </w:t>
            </w:r>
            <w:r>
              <w:rPr>
                <w:rFonts w:ascii="IBM Plex Sans" w:cs="IBM Plex Sans" w:eastAsia="IBM Plex Sans" w:hAnsi="IBM Plex Sans"/>
                <w:color w:val="334155"/>
                <w:sz w:val="21"/>
                <w:szCs w:val="21"/>
              </w:rPr>
              <w:t xml:space="preserve">merekomendasikan pendekatan sindromik sebagai strategi utama tata laksana IMS di fasilitas dengan keterbatasan diagnostik laboratorium, dilengkapi validasi etiologi berkala melalui surveilans.</w:t>
            </w:r>
          </w:p>
          <w:p>
            <w:pPr>
              <w:spacing w:after="80" w:line="280"/>
            </w:pPr>
            <w:r>
              <w:rPr>
                <w:rFonts w:ascii="IBM Plex Sans" w:cs="IBM Plex Sans" w:eastAsia="IBM Plex Sans" w:hAnsi="IBM Plex Sans"/>
                <w:b/>
                <w:bCs/>
                <w:i/>
                <w:iCs/>
                <w:color w:val="334155"/>
                <w:sz w:val="21"/>
                <w:szCs w:val="21"/>
              </w:rPr>
              <w:t xml:space="preserve">CDC — Sexually Transmitted Infections Treatment Guidelines, 2021 </w:t>
            </w:r>
            <w:r>
              <w:rPr>
                <w:rFonts w:ascii="IBM Plex Sans" w:cs="IBM Plex Sans" w:eastAsia="IBM Plex Sans" w:hAnsi="IBM Plex Sans"/>
                <w:color w:val="334155"/>
                <w:sz w:val="21"/>
                <w:szCs w:val="21"/>
              </w:rPr>
              <w:t xml:space="preserve">merekomendasikan strategi expedited partner therapy (EPT) untuk klamidia dan gonore guna mempercepat tata laksana pasangan seksual dan menurunkan reinfeksi.</w:t>
            </w:r>
          </w:p>
          <w:p>
            <w:pPr>
              <w:spacing w:after="0" w:line="280"/>
            </w:pPr>
            <w:r>
              <w:rPr>
                <w:rFonts w:ascii="IBM Plex Sans" w:cs="IBM Plex Sans" w:eastAsia="IBM Plex Sans" w:hAnsi="IBM Plex Sans"/>
                <w:i/>
                <w:iCs/>
                <w:color w:val="475569"/>
                <w:sz w:val="20"/>
                <w:szCs w:val="20"/>
              </w:rPr>
              <w:t xml:space="preserve">Standar nasional mengacu pada pedoman tata laksana IMS Kementerian Kesehatan yang selaras prinsip sindromik WHO; strategi expedited partner therapy dari CDC belum menjadi kebijakan formal nasional karena keterbatasan regulasi peresepan tanpa pemeriksaan langsung pasangan. Praktik di Indonesia mengikuti standar nasional; strategi CDC menjadi referensi arah pengembangan kebijakan.</w:t>
            </w:r>
          </w:p>
        </w:tc>
      </w:tr>
    </w:tbl>
    <w:p>
      <w:pPr>
        <w:spacing w:after="120"/>
      </w:pPr>
    </w:p>
    <w:p>
      <w:r>
        <w:br w:type="page"/>
      </w:r>
    </w:p>
    <w:p>
      <w:pPr>
        <w:pStyle w:val="Heading1"/>
        <w:pBdr>
          <w:bottom w:val="single" w:color="4F46E5" w:sz="12" w:space="4"/>
        </w:pBdr>
        <w:spacing w:after="240" w:before="480"/>
      </w:pPr>
      <w:r>
        <w:rPr>
          <w:rFonts w:ascii="Source Serif 4" w:cs="Source Serif 4" w:eastAsia="Source Serif 4" w:hAnsi="Source Serif 4"/>
          <w:b/>
          <w:bCs/>
          <w:color w:val="4F46E5"/>
          <w:sz w:val="32"/>
          <w:szCs w:val="32"/>
        </w:rPr>
        <w:t xml:space="preserve">Bab V — Determinan Sosial Infeksi Reproduksi dan Pendekatan Berbasis Komunitas</w:t>
      </w:r>
    </w:p>
    <w:p>
      <w:pPr>
        <w:pStyle w:val="Heading2"/>
        <w:spacing w:after="160" w:before="320"/>
      </w:pPr>
      <w:r>
        <w:rPr>
          <w:rFonts w:ascii="Source Serif 4" w:cs="Source Serif 4" w:eastAsia="Source Serif 4" w:hAnsi="Source Serif 4"/>
          <w:b/>
          <w:bCs/>
          <w:color w:val="4F46E5"/>
          <w:sz w:val="26"/>
          <w:szCs w:val="26"/>
        </w:rPr>
        <w:t xml:space="preserve">5.1 Determinan Sosial Infeksi Saluran Reproduksi</w:t>
      </w:r>
    </w:p>
    <w:p>
      <w:pPr>
        <w:spacing w:after="200" w:line="300"/>
        <w:jc w:val="both"/>
      </w:pPr>
      <w:r>
        <w:rPr>
          <w:rFonts w:ascii="IBM Plex Sans" w:cs="IBM Plex Sans" w:eastAsia="IBM Plex Sans" w:hAnsi="IBM Plex Sans"/>
          <w:color w:val="334155"/>
          <w:sz w:val="22"/>
          <w:szCs w:val="22"/>
        </w:rPr>
        <w:t xml:space="preserve">Kerentanan terhadap infeksi saluran reproduksi dan IMS tidak dapat dipahami semata melalui kerangka biomedis; determinan sosial memainkan peran signifikan dalam pola distribusi, akses layanan, dan luaran klinis. Determinan yang relevan mencakup: tingkat pendidikan dan literasi kesehatan reproduksi, status ekonomi dan akses terhadap layanan kesehatan berkualitas, norma gender yang membatasi otonomi perempuan dalam negosiasi perilaku seksual aman, stigma sosial terhadap IMS yang menghambat pencarian layanan, serta faktor geografis pada populasi di wilayah terpencil dengan akses layanan spesialistik terbatas.</w:t>
      </w:r>
    </w:p>
    <w:p>
      <w:pPr>
        <w:spacing w:after="200" w:line="300"/>
        <w:jc w:val="both"/>
      </w:pPr>
      <w:r>
        <w:rPr>
          <w:rFonts w:ascii="IBM Plex Sans" w:cs="IBM Plex Sans" w:eastAsia="IBM Plex Sans" w:hAnsi="IBM Plex Sans"/>
          <w:color w:val="334155"/>
          <w:sz w:val="22"/>
          <w:szCs w:val="22"/>
        </w:rPr>
        <w:t xml:space="preserve">Populasi kunci dengan kerentanan lebih tinggi memerlukan perhatian khusus dalam perencanaan layanan: remaja dan dewasa muda yang mengawali aktivitas seksual, pekerja seks, populasi dengan mobilitas tinggi, serta perempuan dalam relasi dengan ketimpangan kuasa. Pendekatan Obstetri Ginekologi Sosial menempatkan pemahaman determinan ini sebagai prasyarat perancangan intervensi yang efektif dan berkeadilan, bukan sekadar pelengkap normatif.</w:t>
      </w:r>
    </w:p>
    <w:p>
      <w:pPr>
        <w:pStyle w:val="Heading2"/>
        <w:spacing w:after="160" w:before="320"/>
      </w:pPr>
      <w:r>
        <w:rPr>
          <w:rFonts w:ascii="Source Serif 4" w:cs="Source Serif 4" w:eastAsia="Source Serif 4" w:hAnsi="Source Serif 4"/>
          <w:b/>
          <w:bCs/>
          <w:color w:val="4F46E5"/>
          <w:sz w:val="26"/>
          <w:szCs w:val="26"/>
        </w:rPr>
        <w:t xml:space="preserve">5.2 Pendekatan Berbasis Komunitas dan Program Nasional</w:t>
      </w:r>
    </w:p>
    <w:p>
      <w:pPr>
        <w:spacing w:after="200" w:line="300"/>
        <w:jc w:val="both"/>
      </w:pPr>
      <w:r>
        <w:rPr>
          <w:rFonts w:ascii="IBM Plex Sans" w:cs="IBM Plex Sans" w:eastAsia="IBM Plex Sans" w:hAnsi="IBM Plex Sans"/>
          <w:color w:val="334155"/>
          <w:sz w:val="22"/>
          <w:szCs w:val="22"/>
        </w:rPr>
        <w:t xml:space="preserve">Pendekatan berbasis komunitas melengkapi layanan klinis individual dengan strategi populasi: edukasi kesehatan reproduksi di sekolah dan komunitas, skrining aktif pada populasi berisiko melalui layanan bergerak (mobile clinic) atau kemitraan dengan kader kesehatan, integrasi layanan IMS dengan program keluarga berencana dan kesehatan ibu, serta pelibatan tokoh masyarakat dan agama untuk mengurangi stigma. Program nasional yang relevan mencakup program pengendalian HIV/AIDS dan IMS Kementerian Kesehatan, program imunisasi HPV nasional, dan integrasi skrining IMS ke dalam pelayanan antenatal terpadu.</w:t>
      </w:r>
    </w:p>
    <w:p>
      <w:pPr>
        <w:spacing w:after="200" w:line="300"/>
        <w:jc w:val="both"/>
      </w:pPr>
      <w:r>
        <w:rPr>
          <w:rFonts w:ascii="IBM Plex Sans" w:cs="IBM Plex Sans" w:eastAsia="IBM Plex Sans" w:hAnsi="IBM Plex Sans"/>
          <w:color w:val="334155"/>
          <w:sz w:val="22"/>
          <w:szCs w:val="22"/>
        </w:rPr>
        <w:t xml:space="preserve">Peran SpOG dalam pendekatan berbasis komunitas tidak terbatas pada tata laksana klinis di fasilitas rujukan, tetapi turut mencakup fungsi advokasi kebijakan lokal, pembinaan teknis terhadap layanan primer, dan kontribusi pada perancangan indikator program kesehatan reproduksi wilayah kerja, sebagaimana diperdalam pada kotak kontribusi divisi Bab VII.</w:t>
      </w:r>
    </w:p>
    <w:p>
      <w:pPr>
        <w:spacing w:before="12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single" w:color="E2E8F0" w:sz="2"/>
              <w:left w:val="single" w:color="4F46E5" w:sz="24"/>
              <w:bottom w:val="single" w:color="E2E8F0" w:sz="2"/>
              <w:right w:val="single" w:color="E2E8F0" w:sz="2"/>
            </w:tcBorders>
            <w:shd w:fill="EEF2FF" w:val="clear"/>
            <w:tcMar>
              <w:top w:type="dxa" w:w="160"/>
              <w:left w:type="dxa" w:w="200"/>
              <w:bottom w:type="dxa" w:w="160"/>
              <w:right w:type="dxa" w:w="200"/>
            </w:tcMar>
          </w:tcPr>
          <w:p>
            <w:pPr>
              <w:spacing w:after="80"/>
            </w:pPr>
            <w:r>
              <w:rPr>
                <w:rFonts w:ascii="IBM Plex Sans" w:cs="IBM Plex Sans" w:eastAsia="IBM Plex Sans" w:hAnsi="IBM Plex Sans"/>
                <w:b/>
                <w:bCs/>
                <w:color w:val="4F46E5"/>
                <w:sz w:val="20"/>
                <w:szCs w:val="20"/>
              </w:rPr>
              <w:t xml:space="preserve">Dasar Regulasi</w:t>
            </w:r>
          </w:p>
          <w:p>
            <w:pPr>
              <w:spacing w:after="0" w:line="280"/>
            </w:pPr>
            <w:r>
              <w:rPr>
                <w:rFonts w:ascii="IBM Plex Sans" w:cs="IBM Plex Sans" w:eastAsia="IBM Plex Sans" w:hAnsi="IBM Plex Sans"/>
                <w:color w:val="334155"/>
                <w:sz w:val="21"/>
                <w:szCs w:val="21"/>
              </w:rPr>
              <w:t xml:space="preserve">Bab ini merupakan elaborasi kontekstual atas kompetensi Area 1 (Etika, Profesionalisme, dan Kompetensi Sosial-Budaya) sebagaimana termuat dalam Lampiran Kepkonsil No. HK.01.02/KKI/1318/2026, diterapkan pada konteks entitas Tabel 7 Nomor 41-47 dan 71 yang menjadi cakupan buku ini.</w:t>
            </w:r>
          </w:p>
        </w:tc>
      </w:tr>
    </w:tbl>
    <w:p>
      <w:pPr>
        <w:spacing w:after="120"/>
      </w:pPr>
    </w:p>
    <w:p>
      <w:pPr>
        <w:spacing w:before="12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single" w:color="E2E8F0" w:sz="2"/>
              <w:left w:val="single" w:color="B45309" w:sz="24"/>
              <w:bottom w:val="single" w:color="E2E8F0" w:sz="2"/>
              <w:right w:val="single" w:color="E2E8F0" w:sz="2"/>
            </w:tcBorders>
            <w:shd w:fill="FEF3E2" w:val="clear"/>
            <w:tcMar>
              <w:top w:type="dxa" w:w="160"/>
              <w:left w:type="dxa" w:w="200"/>
              <w:bottom w:type="dxa" w:w="160"/>
              <w:right w:type="dxa" w:w="200"/>
            </w:tcMar>
          </w:tcPr>
          <w:p>
            <w:pPr>
              <w:spacing w:after="80"/>
            </w:pPr>
            <w:r>
              <w:rPr>
                <w:rFonts w:ascii="IBM Plex Sans" w:cs="IBM Plex Sans" w:eastAsia="IBM Plex Sans" w:hAnsi="IBM Plex Sans"/>
                <w:b/>
                <w:bCs/>
                <w:color w:val="B45309"/>
                <w:sz w:val="20"/>
                <w:szCs w:val="20"/>
              </w:rPr>
              <w:t xml:space="preserve">Perbandingan dan Pengayaan Standar Internasional</w:t>
            </w:r>
          </w:p>
          <w:p>
            <w:pPr>
              <w:spacing w:after="80" w:line="280"/>
            </w:pPr>
            <w:r>
              <w:rPr>
                <w:rFonts w:ascii="IBM Plex Sans" w:cs="IBM Plex Sans" w:eastAsia="IBM Plex Sans" w:hAnsi="IBM Plex Sans"/>
                <w:b/>
                <w:bCs/>
                <w:i/>
                <w:iCs/>
                <w:color w:val="334155"/>
                <w:sz w:val="21"/>
                <w:szCs w:val="21"/>
              </w:rPr>
              <w:t xml:space="preserve">WHO — Social Determinants of Sexual and Reproductive Health: Informing Future Research and Programme Implementation (Geneva: WHO, 2010, ed. Shawn Malarcher) </w:t>
            </w:r>
            <w:r>
              <w:rPr>
                <w:rFonts w:ascii="IBM Plex Sans" w:cs="IBM Plex Sans" w:eastAsia="IBM Plex Sans" w:hAnsi="IBM Plex Sans"/>
                <w:color w:val="334155"/>
                <w:sz w:val="21"/>
                <w:szCs w:val="21"/>
              </w:rPr>
              <w:t xml:space="preserve">meletakkan kerangka analisis determinan sosial kesehatan reproduksi yang hingga kini tetap menjadi rujukan konseptual utama, meskipun program dan data operasionalnya terus diperbarui melalui publikasi WHO yang lebih baru.</w:t>
            </w:r>
          </w:p>
          <w:p>
            <w:pPr>
              <w:spacing w:after="80" w:line="280"/>
            </w:pPr>
            <w:r>
              <w:rPr>
                <w:rFonts w:ascii="IBM Plex Sans" w:cs="IBM Plex Sans" w:eastAsia="IBM Plex Sans" w:hAnsi="IBM Plex Sans"/>
                <w:b/>
                <w:bCs/>
                <w:i/>
                <w:iCs/>
                <w:color w:val="334155"/>
                <w:sz w:val="21"/>
                <w:szCs w:val="21"/>
              </w:rPr>
              <w:t xml:space="preserve">ICM — Essential Competencies for Midwifery Practice (revisi 2024, disahkan Dewan ICM Juli 2024, menggantikan edisi 2019) </w:t>
            </w:r>
            <w:r>
              <w:rPr>
                <w:rFonts w:ascii="IBM Plex Sans" w:cs="IBM Plex Sans" w:eastAsia="IBM Plex Sans" w:hAnsi="IBM Plex Sans"/>
                <w:color w:val="334155"/>
                <w:sz w:val="21"/>
                <w:szCs w:val="21"/>
              </w:rPr>
              <w:t xml:space="preserve">menekankan kolaborasi interprofesi antara dokter spesialis dan bidan dalam skrining komunitas serta rujukan dini kasus infeksi reproduksi berisiko, dengan kategori kompetensi kesehatan seksual dan reproduksi yang diperluas dibandingkan edisi sebelumnya.</w:t>
            </w:r>
          </w:p>
          <w:p>
            <w:pPr>
              <w:spacing w:after="0" w:line="280"/>
            </w:pPr>
            <w:r>
              <w:rPr>
                <w:rFonts w:ascii="IBM Plex Sans" w:cs="IBM Plex Sans" w:eastAsia="IBM Plex Sans" w:hAnsi="IBM Plex Sans"/>
                <w:i/>
                <w:iCs/>
                <w:color w:val="475569"/>
                <w:sz w:val="20"/>
                <w:szCs w:val="20"/>
              </w:rPr>
              <w:t xml:space="preserve">Kepkonsil menetapkan kompetensi sosial-budaya sebagai area kompetensi tersendiri tanpa merinci model operasional pendekatan berbasis komunitas; kerangka WHO dan ICM memperkaya aspek implementasi. Praktik di Indonesia mengikuti struktur area kompetensi nasional dengan kerangka internasional sebagai referensi implementasi program.</w:t>
            </w:r>
          </w:p>
        </w:tc>
      </w:tr>
    </w:tbl>
    <w:p>
      <w:pPr>
        <w:spacing w:after="120"/>
      </w:pPr>
    </w:p>
    <w:p>
      <w:r>
        <w:br w:type="page"/>
      </w:r>
    </w:p>
    <w:p>
      <w:pPr>
        <w:pStyle w:val="Heading1"/>
        <w:pBdr>
          <w:bottom w:val="single" w:color="4F46E5" w:sz="12" w:space="4"/>
        </w:pBdr>
        <w:spacing w:after="240" w:before="480"/>
      </w:pPr>
      <w:r>
        <w:rPr>
          <w:rFonts w:ascii="Source Serif 4" w:cs="Source Serif 4" w:eastAsia="Source Serif 4" w:hAnsi="Source Serif 4"/>
          <w:b/>
          <w:bCs/>
          <w:color w:val="4F46E5"/>
          <w:sz w:val="32"/>
          <w:szCs w:val="32"/>
        </w:rPr>
        <w:t xml:space="preserve">Bab VI — Perbandingan Standar Internasional</w:t>
      </w:r>
    </w:p>
    <w:p>
      <w:pPr>
        <w:spacing w:after="200" w:line="300"/>
        <w:jc w:val="both"/>
      </w:pPr>
      <w:r>
        <w:rPr>
          <w:rFonts w:ascii="IBM Plex Sans" w:cs="IBM Plex Sans" w:eastAsia="IBM Plex Sans" w:hAnsi="IBM Plex Sans"/>
          <w:color w:val="334155"/>
          <w:sz w:val="22"/>
          <w:szCs w:val="22"/>
        </w:rPr>
        <w:t xml:space="preserve">Bab ini merangkum posisi dua pedoman internasional utama yang relevan dengan cakupan buku — WHO STI Guidelines dan CDC STI Treatment Guidelines — serta menyandingkannya secara eksplisit dengan standar nasional.</w:t>
      </w:r>
    </w:p>
    <w:p>
      <w:pPr>
        <w:pStyle w:val="Heading2"/>
        <w:spacing w:after="160" w:before="320"/>
      </w:pPr>
      <w:r>
        <w:rPr>
          <w:rFonts w:ascii="Source Serif 4" w:cs="Source Serif 4" w:eastAsia="Source Serif 4" w:hAnsi="Source Serif 4"/>
          <w:b/>
          <w:bCs/>
          <w:color w:val="4F46E5"/>
          <w:sz w:val="26"/>
          <w:szCs w:val="26"/>
        </w:rPr>
        <w:t xml:space="preserve">6.1 WHO Guidelines for the Management of Symptomatic Sexually Transmitted Infections (2021)</w:t>
      </w:r>
    </w:p>
    <w:p>
      <w:pPr>
        <w:spacing w:after="200" w:line="300"/>
        <w:jc w:val="both"/>
      </w:pPr>
      <w:r>
        <w:rPr>
          <w:rFonts w:ascii="IBM Plex Sans" w:cs="IBM Plex Sans" w:eastAsia="IBM Plex Sans" w:hAnsi="IBM Plex Sans"/>
          <w:color w:val="334155"/>
          <w:sz w:val="22"/>
          <w:szCs w:val="22"/>
        </w:rPr>
        <w:t xml:space="preserve">Pedoman WHO menekankan pendekatan sindromik sebagai strategi inti di fasilitas dengan akses laboratorium terbatas, dengan flowchart tata laksana berbasis kelompok gejala (duh vagina, duh uretra, ulkus genital, nyeri perut bawah) yang dirancang untuk diterapkan oleh tenaga kesehatan pada berbagai jenjang layanan. WHO juga menekankan integrasi tata laksana pasangan seksual dan pencegahan reinfeksi sebagai bagian tidak terpisahkan dari episode tata laksana, bukan langkah opsional tambahan. Pedoman 2021 tersebut tetap menjadi edisi WHO yang berlaku hingga pertengahan 2026 dan belum digantikan oleh revisi berikutnya.</w:t>
      </w:r>
    </w:p>
    <w:p>
      <w:pPr>
        <w:pStyle w:val="Heading2"/>
        <w:spacing w:after="160" w:before="320"/>
      </w:pPr>
      <w:r>
        <w:rPr>
          <w:rFonts w:ascii="Source Serif 4" w:cs="Source Serif 4" w:eastAsia="Source Serif 4" w:hAnsi="Source Serif 4"/>
          <w:b/>
          <w:bCs/>
          <w:color w:val="4F46E5"/>
          <w:sz w:val="26"/>
          <w:szCs w:val="26"/>
        </w:rPr>
        <w:t xml:space="preserve">6.2 CDC Sexually Transmitted Infections Treatment Guidelines (2021)</w:t>
      </w:r>
    </w:p>
    <w:p>
      <w:pPr>
        <w:spacing w:after="200" w:line="300"/>
        <w:jc w:val="both"/>
      </w:pPr>
      <w:r>
        <w:rPr>
          <w:rFonts w:ascii="IBM Plex Sans" w:cs="IBM Plex Sans" w:eastAsia="IBM Plex Sans" w:hAnsi="IBM Plex Sans"/>
          <w:color w:val="334155"/>
          <w:sz w:val="22"/>
          <w:szCs w:val="22"/>
        </w:rPr>
        <w:t xml:space="preserve">Pedoman CDC memberikan rekomendasi regimen terapi yang sangat rinci berbasis bukti terkini, termasuk penyesuaian dosis pada populasi khusus (kehamilan, alergi obat, koinfeksi HIV), serta memperkenalkan strategi seperti expedited partner therapy dan pertimbangan resistensi antimikroba (khususnya pada gonore) dalam pemilihan regimen. Edisi 2021 merupakan versi yang masih berlaku hingga pertengahan 2026; CDC juga menerbitkan pembaruan operasional periodik terkait ketersediaan sediaan obat esensial (misalnya penisilin benzatin kerja panjang) yang perlu dipantau klinisi secara berkala melalui kanal resmi CDC.</w:t>
      </w:r>
    </w:p>
    <w:p>
      <w:pPr>
        <w:pStyle w:val="Heading2"/>
        <w:spacing w:after="160" w:before="320"/>
      </w:pPr>
      <w:r>
        <w:rPr>
          <w:rFonts w:ascii="Source Serif 4" w:cs="Source Serif 4" w:eastAsia="Source Serif 4" w:hAnsi="Source Serif 4"/>
          <w:b/>
          <w:bCs/>
          <w:color w:val="4F46E5"/>
          <w:sz w:val="26"/>
          <w:szCs w:val="26"/>
        </w:rPr>
        <w:t xml:space="preserve">6.3 Sintesis dan Konteks Penerapan di Indonesia</w:t>
      </w:r>
    </w:p>
    <w:p>
      <w:pPr>
        <w:spacing w:after="200" w:line="300"/>
        <w:jc w:val="both"/>
      </w:pPr>
      <w:r>
        <w:rPr>
          <w:rFonts w:ascii="IBM Plex Sans" w:cs="IBM Plex Sans" w:eastAsia="IBM Plex Sans" w:hAnsi="IBM Plex Sans"/>
          <w:color w:val="334155"/>
          <w:sz w:val="22"/>
          <w:szCs w:val="22"/>
        </w:rPr>
        <w:t xml:space="preserve">Standar nasional (Kepkonsil) menetapkan cakupan kompetensi diagnosis dan tata laksana entitas dalam Tabel 7 Nomor 41-47 dan 71 sebagai kompetensi inti SpOG tanpa merinci regimen dosis spesifik; regimen operasional mengacu pada pedoman tata laksana Kementerian Kesehatan yang secara filosofis selaras dengan pendekatan sindromik WHO. Standar internasional CDC merekomendasikan regimen yang lebih rinci dan strategi seperti expedited partner therapy untuk konteks sumber daya tinggi; praktik di Indonesia mengikuti standar nasional dan pedoman Kementerian Kesehatan sebagai acuan utama, dengan pedoman WHO dan CDC sebagai referensi pengayaan teknis dan arah pengembangan kebijakan ke depan.</w:t>
      </w:r>
    </w:p>
    <w:p>
      <w:pPr>
        <w:spacing w:before="12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single" w:color="E2E8F0" w:sz="2"/>
              <w:left w:val="single" w:color="4F46E5" w:sz="24"/>
              <w:bottom w:val="single" w:color="E2E8F0" w:sz="2"/>
              <w:right w:val="single" w:color="E2E8F0" w:sz="2"/>
            </w:tcBorders>
            <w:shd w:fill="EEF2FF" w:val="clear"/>
            <w:tcMar>
              <w:top w:type="dxa" w:w="160"/>
              <w:left w:type="dxa" w:w="200"/>
              <w:bottom w:type="dxa" w:w="160"/>
              <w:right w:type="dxa" w:w="200"/>
            </w:tcMar>
          </w:tcPr>
          <w:p>
            <w:pPr>
              <w:spacing w:after="80"/>
            </w:pPr>
            <w:r>
              <w:rPr>
                <w:rFonts w:ascii="IBM Plex Sans" w:cs="IBM Plex Sans" w:eastAsia="IBM Plex Sans" w:hAnsi="IBM Plex Sans"/>
                <w:b/>
                <w:bCs/>
                <w:color w:val="4F46E5"/>
                <w:sz w:val="20"/>
                <w:szCs w:val="20"/>
              </w:rPr>
              <w:t xml:space="preserve">Dasar Regulasi</w:t>
            </w:r>
          </w:p>
          <w:p>
            <w:pPr>
              <w:spacing w:after="0" w:line="280"/>
            </w:pPr>
            <w:r>
              <w:rPr>
                <w:rFonts w:ascii="IBM Plex Sans" w:cs="IBM Plex Sans" w:eastAsia="IBM Plex Sans" w:hAnsi="IBM Plex Sans"/>
                <w:color w:val="334155"/>
                <w:sz w:val="21"/>
                <w:szCs w:val="21"/>
              </w:rPr>
              <w:t xml:space="preserve">Bab ini mengelaborasi lapisan pembanding standar internasional atas seluruh entri Tabel 7 Nomor 41-47, 71 yang dibahas pada Bab II-IV.</w:t>
            </w:r>
          </w:p>
        </w:tc>
      </w:tr>
    </w:tbl>
    <w:p>
      <w:pPr>
        <w:spacing w:after="120"/>
      </w:pPr>
    </w:p>
    <w:p>
      <w:r>
        <w:br w:type="page"/>
      </w:r>
    </w:p>
    <w:p>
      <w:pPr>
        <w:pStyle w:val="Heading1"/>
        <w:pBdr>
          <w:bottom w:val="single" w:color="4F46E5" w:sz="12" w:space="4"/>
        </w:pBdr>
        <w:spacing w:after="240" w:before="480"/>
      </w:pPr>
      <w:r>
        <w:rPr>
          <w:rFonts w:ascii="Source Serif 4" w:cs="Source Serif 4" w:eastAsia="Source Serif 4" w:hAnsi="Source Serif 4"/>
          <w:b/>
          <w:bCs/>
          <w:color w:val="4F46E5"/>
          <w:sz w:val="32"/>
          <w:szCs w:val="32"/>
        </w:rPr>
        <w:t xml:space="preserve">Bab VII — Kontribusi Divisi Obstetri Ginekologi Sosial</w:t>
      </w:r>
    </w:p>
    <w:p>
      <w:pPr>
        <w:pStyle w:val="Heading3"/>
        <w:spacing w:after="120" w:before="240"/>
      </w:pPr>
      <w:r>
        <w:rPr>
          <w:rFonts w:ascii="Source Serif 4" w:cs="Source Serif 4" w:eastAsia="Source Serif 4" w:hAnsi="Source Serif 4"/>
          <w:b/>
          <w:bCs/>
          <w:color w:val="334155"/>
          <w:sz w:val="23"/>
          <w:szCs w:val="23"/>
        </w:rPr>
        <w:t xml:space="preserve">A. Deskripsi</w:t>
      </w:r>
    </w:p>
    <w:p>
      <w:pPr>
        <w:spacing w:after="200" w:line="300"/>
        <w:jc w:val="both"/>
      </w:pPr>
      <w:r>
        <w:rPr>
          <w:rFonts w:ascii="IBM Plex Sans" w:cs="IBM Plex Sans" w:eastAsia="IBM Plex Sans" w:hAnsi="IBM Plex Sans"/>
          <w:color w:val="334155"/>
          <w:sz w:val="22"/>
          <w:szCs w:val="22"/>
        </w:rPr>
        <w:t xml:space="preserve">Perspektif Obstetri Ginekologi Sosial relevan secara langsung terhadap topik ginekologi umum dan infeksi saluran reproduksi karena kelompok penyakit ini secara khas dipengaruhi oleh determinan sosial, akses layanan, dan dinamika hubungan kuasa dalam masyarakat — bukan semata patogenesis biomedis. Divisi ini memberikan kerangka analisis untuk menerjemahkan temuan klinis individual menjadi strategi layanan populasi yang efektif dan berkeadilan.</w:t>
      </w:r>
    </w:p>
    <w:p>
      <w:pPr>
        <w:pStyle w:val="Heading3"/>
        <w:spacing w:after="120" w:before="240"/>
      </w:pPr>
      <w:r>
        <w:rPr>
          <w:rFonts w:ascii="Source Serif 4" w:cs="Source Serif 4" w:eastAsia="Source Serif 4" w:hAnsi="Source Serif 4"/>
          <w:b/>
          <w:bCs/>
          <w:color w:val="334155"/>
          <w:sz w:val="23"/>
          <w:szCs w:val="23"/>
        </w:rPr>
        <w:t xml:space="preserve">B. Integrasi Layanan Infeksi Saluran Reproduksi dalam Kesehatan Reproduksi Komunitas</w:t>
      </w:r>
    </w:p>
    <w:p>
      <w:pPr>
        <w:spacing w:after="200" w:line="300"/>
        <w:jc w:val="both"/>
      </w:pPr>
      <w:r>
        <w:rPr>
          <w:rFonts w:ascii="IBM Plex Sans" w:cs="IBM Plex Sans" w:eastAsia="IBM Plex Sans" w:hAnsi="IBM Plex Sans"/>
          <w:color w:val="334155"/>
          <w:sz w:val="22"/>
          <w:szCs w:val="22"/>
        </w:rPr>
        <w:t xml:space="preserve">Integrasi layanan ISR dan IMS ke dalam kerangka kesehatan reproduksi komunitas memerlukan analisis sistematis pada tiga lapisan: lapisan individu (akses ke diagnosis dan tata laksana tepat waktu), lapisan relasional (dinamika kuasa dalam pasangan yang memengaruhi negosiasi perilaku aman dan kepatuhan tata laksana pasangan), dan lapisan struktural (ketersediaan layanan, kebijakan skrining, serta pembiayaan kesehatan). Model layanan yang efektif menggabungkan skrining oportunistik pada titik kontak layanan kesehatan reproduksi lain (KB, antenatal, deteksi dini kanker serviks) dengan jalur rujukan yang jelas ke layanan spesialistik bila ditemukan komplikasi.</w:t>
      </w:r>
    </w:p>
    <w:p>
      <w:pPr>
        <w:spacing w:after="200" w:line="300"/>
        <w:jc w:val="both"/>
      </w:pPr>
      <w:r>
        <w:rPr>
          <w:rFonts w:ascii="IBM Plex Sans" w:cs="IBM Plex Sans" w:eastAsia="IBM Plex Sans" w:hAnsi="IBM Plex Sans"/>
          <w:color w:val="334155"/>
          <w:sz w:val="22"/>
          <w:szCs w:val="22"/>
        </w:rPr>
        <w:t xml:space="preserve">Divisi Obstetri Ginekologi Sosial juga berperan dalam merancang indikator program yang tidak hanya mengukur cakupan layanan klinis, tetapi juga kesetaraan akses lintas kelompok sosial-ekonomi dan geografis, sejalan dengan prinsip bahwa penurunan beban ISR/IMS pada tingkat populasi memerlukan intervensi pada determinan struktural, bukan hanya peningkatan kapasitas tata laksana klinis semata.</w:t>
      </w:r>
    </w:p>
    <w:p>
      <w:pPr>
        <w:pStyle w:val="Heading3"/>
        <w:spacing w:after="120" w:before="240"/>
      </w:pPr>
      <w:r>
        <w:rPr>
          <w:rFonts w:ascii="Source Serif 4" w:cs="Source Serif 4" w:eastAsia="Source Serif 4" w:hAnsi="Source Serif 4"/>
          <w:b/>
          <w:bCs/>
          <w:color w:val="334155"/>
          <w:sz w:val="23"/>
          <w:szCs w:val="23"/>
        </w:rPr>
        <w:t xml:space="preserve">C. Ilustrasi Kasus Lapangan</w:t>
      </w:r>
    </w:p>
    <w:p>
      <w:pPr>
        <w:spacing w:after="200" w:line="300"/>
        <w:jc w:val="both"/>
      </w:pPr>
      <w:r>
        <w:rPr>
          <w:rFonts w:ascii="IBM Plex Sans" w:cs="IBM Plex Sans" w:eastAsia="IBM Plex Sans" w:hAnsi="IBM Plex Sans"/>
          <w:color w:val="334155"/>
          <w:sz w:val="22"/>
          <w:szCs w:val="22"/>
        </w:rPr>
        <w:t xml:space="preserve">Seorang perempuan berusia 24 tahun datang ke Puskesmas dengan keluhan duh vagina berbau dan nyeri panggul bawah selama dua minggu, disertai riwayat menunda pencarian layanan karena rasa malu dan kekhawatiran stigma dari petugas kesehatan setempat. Pemeriksaan menunjukkan tanda klinis PID ringan-sedang. Selain tata laksana antibiotik empiris sesuai pendekatan sindromik, dokter yang menangani menggali riwayat relasional dan menemukan pasien tidak memiliki daya tawar untuk meminta pasangannya menggunakan kondom maupun menjalani pemeriksaan bersama.</w:t>
      </w:r>
    </w:p>
    <w:p>
      <w:pPr>
        <w:spacing w:after="200" w:line="300"/>
        <w:jc w:val="both"/>
      </w:pPr>
      <w:r>
        <w:rPr>
          <w:rFonts w:ascii="IBM Plex Sans" w:cs="IBM Plex Sans" w:eastAsia="IBM Plex Sans" w:hAnsi="IBM Plex Sans"/>
          <w:color w:val="334155"/>
          <w:sz w:val="22"/>
          <w:szCs w:val="22"/>
        </w:rPr>
        <w:t xml:space="preserve">Intervensi yang diberikan tidak berhenti pada resep antibiotik: dokter melibatkan kader kesehatan reproduksi setempat untuk pendampingan komunikasi dengan pasangan, merujuk pasien ke layanan konseling psikososial Puskesmas, dan mencatat kasus dalam sistem pelaporan untuk pemetaan area dengan hambatan akses tata laksana pasangan. Pada kontrol satu bulan kemudian, pasangan pasien bersedia menjalani skrining IMS bersama dan gejala pasien telah membaik tanpa tanda komplikasi. Kasus ini mengilustrasikan bagaimana resolusi klinis individual perlu disertai intervensi pada lapisan relasional dan struktural agar hasil layanan bersifat berkelanjutan, bukan sekadar penyelesaian episode akut semata.</w:t>
      </w:r>
    </w:p>
    <w:p>
      <w:pPr>
        <w:spacing w:before="12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single" w:color="E2E8F0" w:sz="2"/>
              <w:left w:val="single" w:color="4F46E5" w:sz="24"/>
              <w:bottom w:val="single" w:color="E2E8F0" w:sz="2"/>
              <w:right w:val="single" w:color="E2E8F0" w:sz="2"/>
            </w:tcBorders>
            <w:shd w:fill="EEF2FF" w:val="clear"/>
            <w:tcMar>
              <w:top w:type="dxa" w:w="160"/>
              <w:left w:type="dxa" w:w="200"/>
              <w:bottom w:type="dxa" w:w="160"/>
              <w:right w:type="dxa" w:w="200"/>
            </w:tcMar>
          </w:tcPr>
          <w:p>
            <w:pPr>
              <w:spacing w:after="80"/>
            </w:pPr>
            <w:r>
              <w:rPr>
                <w:rFonts w:ascii="IBM Plex Sans" w:cs="IBM Plex Sans" w:eastAsia="IBM Plex Sans" w:hAnsi="IBM Plex Sans"/>
                <w:b/>
                <w:bCs/>
                <w:color w:val="4F46E5"/>
                <w:sz w:val="20"/>
                <w:szCs w:val="20"/>
              </w:rPr>
              <w:t xml:space="preserve">Dasar Regulasi</w:t>
            </w:r>
          </w:p>
          <w:p>
            <w:pPr>
              <w:spacing w:after="0" w:line="280"/>
            </w:pPr>
            <w:r>
              <w:rPr>
                <w:rFonts w:ascii="IBM Plex Sans" w:cs="IBM Plex Sans" w:eastAsia="IBM Plex Sans" w:hAnsi="IBM Plex Sans"/>
                <w:color w:val="334155"/>
                <w:sz w:val="21"/>
                <w:szCs w:val="21"/>
              </w:rPr>
              <w:t xml:space="preserve">Kotak kontribusi divisi ini menerapkan pemetaan resmi lima subspesialis Obstetri dan Ginekologi serta memperdalam penerapan Area Kompetensi Etika, Profesionalisme, dan Kompetensi Sosial-Budaya dalam Lampiran Kepkonsil No. HK.01.02/KKI/1318/2026 pada konteks entitas Tabel 7 Nomor 41-47 dan 71.</w:t>
            </w:r>
          </w:p>
        </w:tc>
      </w:tr>
    </w:tbl>
    <w:p>
      <w:pPr>
        <w:spacing w:after="120"/>
      </w:pPr>
    </w:p>
    <w:p>
      <w:r>
        <w:br w:type="page"/>
      </w:r>
    </w:p>
    <w:p>
      <w:pPr>
        <w:pStyle w:val="Heading1"/>
        <w:pBdr>
          <w:bottom w:val="single" w:color="4F46E5" w:sz="12" w:space="4"/>
        </w:pBdr>
        <w:spacing w:after="240" w:before="480"/>
      </w:pPr>
      <w:r>
        <w:rPr>
          <w:rFonts w:ascii="Source Serif 4" w:cs="Source Serif 4" w:eastAsia="Source Serif 4" w:hAnsi="Source Serif 4"/>
          <w:b/>
          <w:bCs/>
          <w:color w:val="4F46E5"/>
          <w:sz w:val="32"/>
          <w:szCs w:val="32"/>
        </w:rPr>
        <w:t xml:space="preserve">Bab VIII — Ringkasan</w:t>
      </w:r>
    </w:p>
    <w:p>
      <w:pPr>
        <w:spacing w:after="200" w:line="300"/>
        <w:jc w:val="both"/>
      </w:pPr>
      <w:r>
        <w:rPr>
          <w:rFonts w:ascii="IBM Plex Sans" w:cs="IBM Plex Sans" w:eastAsia="IBM Plex Sans" w:hAnsi="IBM Plex Sans"/>
          <w:color w:val="334155"/>
          <w:sz w:val="22"/>
          <w:szCs w:val="22"/>
        </w:rPr>
        <w:t xml:space="preserve">Buku tematik ini membahas spektrum ginekologi umum dan infeksi saluran reproduksi berdasarkan Tabel 7 Kepkonsil No. HK.01.02/KKI/1318/2026 Nomor 41-47 dan 71, mencakup infeksi saluran reproduksi bawah (kondiloma akuminatum, vaginitis, servisitis, kista/abses Bartholin), penyakit radang panggul dan komplikasinya, infeksi daerah operasi, mioma uteri sebagai diagnosis banding, serta infeksi menular seksual sebagai satu kesatuan sindrom klinis dan kesehatan masyarakat.</w:t>
      </w:r>
    </w:p>
    <w:p>
      <w:pPr>
        <w:spacing w:after="200" w:line="300"/>
        <w:jc w:val="both"/>
      </w:pPr>
      <w:r>
        <w:rPr>
          <w:rFonts w:ascii="IBM Plex Sans" w:cs="IBM Plex Sans" w:eastAsia="IBM Plex Sans" w:hAnsi="IBM Plex Sans"/>
          <w:color w:val="334155"/>
          <w:sz w:val="22"/>
          <w:szCs w:val="22"/>
        </w:rPr>
        <w:t xml:space="preserve">Poin kunci yang perlu dikuasai peserta didik: (1) pendekatan diagnostik berjenjang mulai dari anamnesis dan pemeriksaan fisik hingga konfirmasi laboratorium, disesuaikan ketersediaan sumber daya; (2) pendekatan sindromik sebagai strategi praktis tata laksana IMS di layanan dengan keterbatasan diagnostik; (3) pentingnya deteksi dini PID untuk mencegah sekuele reproduksi jangka panjang; (4) bundel pencegahan infeksi daerah operasi sebagai standar mutu bedah ginekologi; dan (5) determinan sosial sebagai faktor yang tidak dapat dipisahkan dari epidemiologi dan luaran tata laksana infeksi reproduksi.</w:t>
      </w:r>
    </w:p>
    <w:p>
      <w:pPr>
        <w:spacing w:after="100" w:before="160"/>
      </w:pPr>
      <w:r>
        <w:rPr>
          <w:rFonts w:ascii="IBM Plex Sans" w:cs="IBM Plex Sans" w:eastAsia="IBM Plex Sans" w:hAnsi="IBM Plex Sans"/>
          <w:b/>
          <w:bCs/>
          <w:i/>
          <w:iCs/>
          <w:color w:val="334155"/>
          <w:sz w:val="19"/>
          <w:szCs w:val="19"/>
        </w:rPr>
        <w:t xml:space="preserve">Tabel 8.1 — Ringkasan Indikator Kompetensi Buku Tematik B6</w:t>
      </w:r>
    </w:p>
    <w:tbl>
      <w:tblPr>
        <w:tblW w:type="pct" w:w="100%"/>
        <w:tblBorders>
          <w:top w:val="single" w:color="CBD5E1" w:sz="4"/>
          <w:left w:val="single" w:color="CBD5E1" w:sz="4"/>
          <w:bottom w:val="single" w:color="CBD5E1" w:sz="4"/>
          <w:right w:val="single" w:color="CBD5E1" w:sz="4"/>
          <w:insideH w:val="single" w:color="E2E8F0" w:sz="2"/>
          <w:insideV w:val="single" w:color="E2E8F0" w:sz="2"/>
        </w:tblBorders>
      </w:tblPr>
      <w:tblGrid>
        <w:gridCol w:w="4675"/>
        <w:gridCol w:w="4675"/>
      </w:tblGrid>
      <w:tr>
        <w:trPr>
          <w:tblHeader/>
        </w:trPr>
        <w:tc>
          <w:tcPr>
            <w:tcW w:type="dxa" w:w="4675"/>
            <w:shd w:fill="4F46E5" w:val="clear"/>
            <w:tcMar>
              <w:top w:type="dxa" w:w="100"/>
              <w:left w:type="dxa" w:w="100"/>
              <w:bottom w:type="dxa" w:w="100"/>
              <w:right w:type="dxa" w:w="100"/>
            </w:tcMar>
          </w:tcPr>
          <w:p>
            <w:r>
              <w:rPr>
                <w:rFonts w:ascii="IBM Plex Sans" w:cs="IBM Plex Sans" w:eastAsia="IBM Plex Sans" w:hAnsi="IBM Plex Sans"/>
                <w:b/>
                <w:bCs/>
                <w:color w:val="FFFFFF"/>
                <w:sz w:val="19"/>
                <w:szCs w:val="19"/>
              </w:rPr>
              <w:t xml:space="preserve">Aspek Kompetensi</w:t>
            </w:r>
          </w:p>
        </w:tc>
        <w:tc>
          <w:tcPr>
            <w:tcW w:type="dxa" w:w="4675"/>
            <w:shd w:fill="4F46E5" w:val="clear"/>
            <w:tcMar>
              <w:top w:type="dxa" w:w="100"/>
              <w:left w:type="dxa" w:w="100"/>
              <w:bottom w:type="dxa" w:w="100"/>
              <w:right w:type="dxa" w:w="100"/>
            </w:tcMar>
          </w:tcPr>
          <w:p>
            <w:r>
              <w:rPr>
                <w:rFonts w:ascii="IBM Plex Sans" w:cs="IBM Plex Sans" w:eastAsia="IBM Plex Sans" w:hAnsi="IBM Plex Sans"/>
                <w:b/>
                <w:bCs/>
                <w:color w:val="FFFFFF"/>
                <w:sz w:val="19"/>
                <w:szCs w:val="19"/>
              </w:rPr>
              <w:t xml:space="preserve">Indikator Capaian</w:t>
            </w:r>
          </w:p>
        </w:tc>
      </w:tr>
      <w:tr>
        <w:tc>
          <w:tcPr>
            <w:tcW w:type="dxa" w:w="4675"/>
            <w:shd w:fill="FFFFFF" w:val="clear"/>
            <w:tcMar>
              <w:top w:type="dxa" w:w="100"/>
              <w:left w:type="dxa" w:w="100"/>
              <w:bottom w:type="dxa" w:w="100"/>
              <w:right w:type="dxa" w:w="100"/>
            </w:tcMar>
          </w:tcPr>
          <w:p>
            <w:r>
              <w:rPr>
                <w:rFonts w:ascii="IBM Plex Mono" w:cs="IBM Plex Mono" w:eastAsia="IBM Plex Mono" w:hAnsi="IBM Plex Mono"/>
                <w:color w:val="334155"/>
                <w:sz w:val="18"/>
                <w:szCs w:val="18"/>
              </w:rPr>
              <w:t xml:space="preserve">Diagnosis ISR bawah</w:t>
            </w:r>
          </w:p>
        </w:tc>
        <w:tc>
          <w:tcPr>
            <w:tcW w:type="dxa" w:w="4675"/>
            <w:shd w:fill="FFFFFF" w:val="clear"/>
            <w:tcMar>
              <w:top w:type="dxa" w:w="100"/>
              <w:left w:type="dxa" w:w="100"/>
              <w:bottom w:type="dxa" w:w="100"/>
              <w:right w:type="dxa" w:w="100"/>
            </w:tcMar>
          </w:tcPr>
          <w:p>
            <w:r>
              <w:rPr>
                <w:rFonts w:ascii="IBM Plex Mono" w:cs="IBM Plex Mono" w:eastAsia="IBM Plex Mono" w:hAnsi="IBM Plex Mono"/>
                <w:color w:val="334155"/>
                <w:sz w:val="18"/>
                <w:szCs w:val="18"/>
              </w:rPr>
              <w:t xml:space="preserve">Mampu membedakan etiologi vaginitis dan servisitis melalui anamnesis, pemeriksaan pH, dan mikroskopis sediaan basah</w:t>
            </w:r>
          </w:p>
        </w:tc>
      </w:tr>
      <w:tr>
        <w:tc>
          <w:tcPr>
            <w:tcW w:type="dxa" w:w="4675"/>
            <w:shd w:fill="F1F5F9" w:val="clear"/>
            <w:tcMar>
              <w:top w:type="dxa" w:w="100"/>
              <w:left w:type="dxa" w:w="100"/>
              <w:bottom w:type="dxa" w:w="100"/>
              <w:right w:type="dxa" w:w="100"/>
            </w:tcMar>
          </w:tcPr>
          <w:p>
            <w:r>
              <w:rPr>
                <w:rFonts w:ascii="IBM Plex Mono" w:cs="IBM Plex Mono" w:eastAsia="IBM Plex Mono" w:hAnsi="IBM Plex Mono"/>
                <w:color w:val="334155"/>
                <w:sz w:val="18"/>
                <w:szCs w:val="18"/>
              </w:rPr>
              <w:t xml:space="preserve">Diagnosis dan tata laksana PID</w:t>
            </w:r>
          </w:p>
        </w:tc>
        <w:tc>
          <w:tcPr>
            <w:tcW w:type="dxa" w:w="4675"/>
            <w:shd w:fill="F1F5F9" w:val="clear"/>
            <w:tcMar>
              <w:top w:type="dxa" w:w="100"/>
              <w:left w:type="dxa" w:w="100"/>
              <w:bottom w:type="dxa" w:w="100"/>
              <w:right w:type="dxa" w:w="100"/>
            </w:tcMar>
          </w:tcPr>
          <w:p>
            <w:r>
              <w:rPr>
                <w:rFonts w:ascii="IBM Plex Mono" w:cs="IBM Plex Mono" w:eastAsia="IBM Plex Mono" w:hAnsi="IBM Plex Mono"/>
                <w:color w:val="334155"/>
                <w:sz w:val="18"/>
                <w:szCs w:val="18"/>
              </w:rPr>
              <w:t xml:space="preserve">Mampu menegakkan diagnosis klinis PID menggunakan kriteria minimum dan menginisiasi terapi empiris tepat waktu</w:t>
            </w:r>
          </w:p>
        </w:tc>
      </w:tr>
      <w:tr>
        <w:tc>
          <w:tcPr>
            <w:tcW w:type="dxa" w:w="4675"/>
            <w:shd w:fill="FFFFFF" w:val="clear"/>
            <w:tcMar>
              <w:top w:type="dxa" w:w="100"/>
              <w:left w:type="dxa" w:w="100"/>
              <w:bottom w:type="dxa" w:w="100"/>
              <w:right w:type="dxa" w:w="100"/>
            </w:tcMar>
          </w:tcPr>
          <w:p>
            <w:r>
              <w:rPr>
                <w:rFonts w:ascii="IBM Plex Mono" w:cs="IBM Plex Mono" w:eastAsia="IBM Plex Mono" w:hAnsi="IBM Plex Mono"/>
                <w:color w:val="334155"/>
                <w:sz w:val="18"/>
                <w:szCs w:val="18"/>
              </w:rPr>
              <w:t xml:space="preserve">Pencegahan infeksi daerah operasi</w:t>
            </w:r>
          </w:p>
        </w:tc>
        <w:tc>
          <w:tcPr>
            <w:tcW w:type="dxa" w:w="4675"/>
            <w:shd w:fill="FFFFFF" w:val="clear"/>
            <w:tcMar>
              <w:top w:type="dxa" w:w="100"/>
              <w:left w:type="dxa" w:w="100"/>
              <w:bottom w:type="dxa" w:w="100"/>
              <w:right w:type="dxa" w:w="100"/>
            </w:tcMar>
          </w:tcPr>
          <w:p>
            <w:r>
              <w:rPr>
                <w:rFonts w:ascii="IBM Plex Mono" w:cs="IBM Plex Mono" w:eastAsia="IBM Plex Mono" w:hAnsi="IBM Plex Mono"/>
                <w:color w:val="334155"/>
                <w:sz w:val="18"/>
                <w:szCs w:val="18"/>
              </w:rPr>
              <w:t xml:space="preserve">Mampu menerapkan bundel pencegahan IDO perioperatif sesuai standar mutu</w:t>
            </w:r>
          </w:p>
        </w:tc>
      </w:tr>
      <w:tr>
        <w:tc>
          <w:tcPr>
            <w:tcW w:type="dxa" w:w="4675"/>
            <w:shd w:fill="F1F5F9" w:val="clear"/>
            <w:tcMar>
              <w:top w:type="dxa" w:w="100"/>
              <w:left w:type="dxa" w:w="100"/>
              <w:bottom w:type="dxa" w:w="100"/>
              <w:right w:type="dxa" w:w="100"/>
            </w:tcMar>
          </w:tcPr>
          <w:p>
            <w:r>
              <w:rPr>
                <w:rFonts w:ascii="IBM Plex Mono" w:cs="IBM Plex Mono" w:eastAsia="IBM Plex Mono" w:hAnsi="IBM Plex Mono"/>
                <w:color w:val="334155"/>
                <w:sz w:val="18"/>
                <w:szCs w:val="18"/>
              </w:rPr>
              <w:t xml:space="preserve">Tata laksana IMS</w:t>
            </w:r>
          </w:p>
        </w:tc>
        <w:tc>
          <w:tcPr>
            <w:tcW w:type="dxa" w:w="4675"/>
            <w:shd w:fill="F1F5F9" w:val="clear"/>
            <w:tcMar>
              <w:top w:type="dxa" w:w="100"/>
              <w:left w:type="dxa" w:w="100"/>
              <w:bottom w:type="dxa" w:w="100"/>
              <w:right w:type="dxa" w:w="100"/>
            </w:tcMar>
          </w:tcPr>
          <w:p>
            <w:r>
              <w:rPr>
                <w:rFonts w:ascii="IBM Plex Mono" w:cs="IBM Plex Mono" w:eastAsia="IBM Plex Mono" w:hAnsi="IBM Plex Mono"/>
                <w:color w:val="334155"/>
                <w:sz w:val="18"/>
                <w:szCs w:val="18"/>
              </w:rPr>
              <w:t xml:space="preserve">Mampu menerapkan pendekatan sindromik dan regimen terapi IMS sesuai pedoman nasional</w:t>
            </w:r>
          </w:p>
        </w:tc>
      </w:tr>
      <w:tr>
        <w:tc>
          <w:tcPr>
            <w:tcW w:type="dxa" w:w="4675"/>
            <w:shd w:fill="FFFFFF" w:val="clear"/>
            <w:tcMar>
              <w:top w:type="dxa" w:w="100"/>
              <w:left w:type="dxa" w:w="100"/>
              <w:bottom w:type="dxa" w:w="100"/>
              <w:right w:type="dxa" w:w="100"/>
            </w:tcMar>
          </w:tcPr>
          <w:p>
            <w:r>
              <w:rPr>
                <w:rFonts w:ascii="IBM Plex Mono" w:cs="IBM Plex Mono" w:eastAsia="IBM Plex Mono" w:hAnsi="IBM Plex Mono"/>
                <w:color w:val="334155"/>
                <w:sz w:val="18"/>
                <w:szCs w:val="18"/>
              </w:rPr>
              <w:t xml:space="preserve">Perspektif sosial</w:t>
            </w:r>
          </w:p>
        </w:tc>
        <w:tc>
          <w:tcPr>
            <w:tcW w:type="dxa" w:w="4675"/>
            <w:shd w:fill="FFFFFF" w:val="clear"/>
            <w:tcMar>
              <w:top w:type="dxa" w:w="100"/>
              <w:left w:type="dxa" w:w="100"/>
              <w:bottom w:type="dxa" w:w="100"/>
              <w:right w:type="dxa" w:w="100"/>
            </w:tcMar>
          </w:tcPr>
          <w:p>
            <w:r>
              <w:rPr>
                <w:rFonts w:ascii="IBM Plex Mono" w:cs="IBM Plex Mono" w:eastAsia="IBM Plex Mono" w:hAnsi="IBM Plex Mono"/>
                <w:color w:val="334155"/>
                <w:sz w:val="18"/>
                <w:szCs w:val="18"/>
              </w:rPr>
              <w:t xml:space="preserve">Mampu mengidentifikasi determinan sosial dan merancang intervensi berbasis komunitas untuk ISR/IMS</w:t>
            </w:r>
          </w:p>
        </w:tc>
      </w:tr>
    </w:tbl>
    <w:p>
      <w:pPr>
        <w:spacing w:after="160"/>
      </w:pPr>
    </w:p>
    <w:p>
      <w:pPr>
        <w:pStyle w:val="Heading2"/>
        <w:spacing w:after="160" w:before="320"/>
      </w:pPr>
      <w:r>
        <w:rPr>
          <w:rFonts w:ascii="Source Serif 4" w:cs="Source Serif 4" w:eastAsia="Source Serif 4" w:hAnsi="Source Serif 4"/>
          <w:b/>
          <w:bCs/>
          <w:color w:val="4F46E5"/>
          <w:sz w:val="26"/>
          <w:szCs w:val="26"/>
        </w:rPr>
        <w:t xml:space="preserve">Rujukan Silang ke PPK Terkait</w:t>
      </w:r>
    </w:p>
    <w:p>
      <w:pPr>
        <w:spacing w:after="200" w:line="300"/>
        <w:jc w:val="both"/>
      </w:pPr>
      <w:r>
        <w:rPr>
          <w:rFonts w:ascii="IBM Plex Sans" w:cs="IBM Plex Sans" w:eastAsia="IBM Plex Sans" w:hAnsi="IBM Plex Sans"/>
          <w:color w:val="334155"/>
          <w:sz w:val="22"/>
          <w:szCs w:val="22"/>
        </w:rPr>
        <w:t xml:space="preserve">Pembahasan mendalam tata laksana klinis per diagnosis pada buku ini dirujuk ke dokumen Panduan Praktik Klinis (PPK) individual dalam Ekosistem Literatur Standar SpOG, meliputi antara lain: PPK Vaginitis, PPK Servisitis, PPK Kondiloma Akuminatum, PPK Kista dan Abses Bartholin, PPK Penyakit Radang Panggul, PPK Infeksi Daerah Operasi Ginekologi/Obstetri, PPK Mioma Uteri, dan PPK Infeksi Menular Seksual. Panduan Praktik Klinis Kelompok (PPKK) terkait skrining dan edukasi komunitas ISR/IMS turut disusun sebagai bagian dari ekosistem literatur yang sama.</w:t>
      </w:r>
    </w:p>
    <w:p>
      <w:r>
        <w:br w:type="page"/>
      </w:r>
    </w:p>
    <w:p>
      <w:pPr>
        <w:pStyle w:val="Heading1"/>
        <w:pBdr>
          <w:bottom w:val="single" w:color="4F46E5" w:sz="12" w:space="4"/>
        </w:pBdr>
        <w:spacing w:after="240" w:before="480"/>
      </w:pPr>
      <w:r>
        <w:rPr>
          <w:rFonts w:ascii="Source Serif 4" w:cs="Source Serif 4" w:eastAsia="Source Serif 4" w:hAnsi="Source Serif 4"/>
          <w:b/>
          <w:bCs/>
          <w:color w:val="4F46E5"/>
          <w:sz w:val="32"/>
          <w:szCs w:val="32"/>
        </w:rPr>
        <w:t xml:space="preserve">Glosarium</w:t>
      </w:r>
    </w:p>
    <w:p>
      <w:pPr>
        <w:spacing w:after="200" w:line="300"/>
        <w:jc w:val="both"/>
      </w:pPr>
      <w:r>
        <w:rPr>
          <w:rFonts w:ascii="IBM Plex Sans" w:cs="IBM Plex Sans" w:eastAsia="IBM Plex Sans" w:hAnsi="IBM Plex Sans"/>
          <w:color w:val="334155"/>
          <w:sz w:val="22"/>
          <w:szCs w:val="22"/>
        </w:rPr>
        <w:t xml:space="preserve">Glosarium berikut memuat istilah teknis yang digunakan dalam buku ini, disusun alfabetis, untuk membantu pembaca menelusuri padanan istilah Indonesia dan Inggris beserta definisi singkatnya.</w:t>
      </w:r>
    </w:p>
    <w:p>
      <w:pPr>
        <w:spacing w:after="100" w:before="160"/>
      </w:pPr>
      <w:r>
        <w:rPr>
          <w:rFonts w:ascii="IBM Plex Sans" w:cs="IBM Plex Sans" w:eastAsia="IBM Plex Sans" w:hAnsi="IBM Plex Sans"/>
          <w:b/>
          <w:bCs/>
          <w:i/>
          <w:iCs/>
          <w:color w:val="334155"/>
          <w:sz w:val="19"/>
          <w:szCs w:val="19"/>
        </w:rPr>
        <w:t xml:space="preserve">Daftar Istilah</w:t>
      </w:r>
    </w:p>
    <w:tbl>
      <w:tblPr>
        <w:tblW w:type="pct" w:w="100%"/>
        <w:tblBorders>
          <w:top w:val="single" w:color="CBD5E1" w:sz="4"/>
          <w:left w:val="single" w:color="CBD5E1" w:sz="4"/>
          <w:bottom w:val="single" w:color="CBD5E1" w:sz="4"/>
          <w:right w:val="single" w:color="CBD5E1" w:sz="4"/>
          <w:insideH w:val="single" w:color="E2E8F0" w:sz="2"/>
          <w:insideV w:val="single" w:color="E2E8F0" w:sz="2"/>
        </w:tblBorders>
      </w:tblPr>
      <w:tblGrid>
        <w:gridCol w:w="3116"/>
        <w:gridCol w:w="3116"/>
        <w:gridCol w:w="3116"/>
      </w:tblGrid>
      <w:tr>
        <w:trPr>
          <w:tblHeader/>
        </w:trPr>
        <w:tc>
          <w:tcPr>
            <w:tcW w:type="dxa" w:w="3116"/>
            <w:shd w:fill="4F46E5" w:val="clear"/>
            <w:tcMar>
              <w:top w:type="dxa" w:w="100"/>
              <w:left w:type="dxa" w:w="100"/>
              <w:bottom w:type="dxa" w:w="100"/>
              <w:right w:type="dxa" w:w="100"/>
            </w:tcMar>
          </w:tcPr>
          <w:p>
            <w:r>
              <w:rPr>
                <w:rFonts w:ascii="IBM Plex Sans" w:cs="IBM Plex Sans" w:eastAsia="IBM Plex Sans" w:hAnsi="IBM Plex Sans"/>
                <w:b/>
                <w:bCs/>
                <w:color w:val="FFFFFF"/>
                <w:sz w:val="19"/>
                <w:szCs w:val="19"/>
              </w:rPr>
              <w:t xml:space="preserve">Istilah</w:t>
            </w:r>
          </w:p>
        </w:tc>
        <w:tc>
          <w:tcPr>
            <w:tcW w:type="dxa" w:w="3116"/>
            <w:shd w:fill="4F46E5" w:val="clear"/>
            <w:tcMar>
              <w:top w:type="dxa" w:w="100"/>
              <w:left w:type="dxa" w:w="100"/>
              <w:bottom w:type="dxa" w:w="100"/>
              <w:right w:type="dxa" w:w="100"/>
            </w:tcMar>
          </w:tcPr>
          <w:p>
            <w:r>
              <w:rPr>
                <w:rFonts w:ascii="IBM Plex Sans" w:cs="IBM Plex Sans" w:eastAsia="IBM Plex Sans" w:hAnsi="IBM Plex Sans"/>
                <w:b/>
                <w:bCs/>
                <w:color w:val="FFFFFF"/>
                <w:sz w:val="19"/>
                <w:szCs w:val="19"/>
              </w:rPr>
              <w:t xml:space="preserve">Padanan/Kepanjangan</w:t>
            </w:r>
          </w:p>
        </w:tc>
        <w:tc>
          <w:tcPr>
            <w:tcW w:type="dxa" w:w="3116"/>
            <w:shd w:fill="4F46E5" w:val="clear"/>
            <w:tcMar>
              <w:top w:type="dxa" w:w="100"/>
              <w:left w:type="dxa" w:w="100"/>
              <w:bottom w:type="dxa" w:w="100"/>
              <w:right w:type="dxa" w:w="100"/>
            </w:tcMar>
          </w:tcPr>
          <w:p>
            <w:r>
              <w:rPr>
                <w:rFonts w:ascii="IBM Plex Sans" w:cs="IBM Plex Sans" w:eastAsia="IBM Plex Sans" w:hAnsi="IBM Plex Sans"/>
                <w:b/>
                <w:bCs/>
                <w:color w:val="FFFFFF"/>
                <w:sz w:val="19"/>
                <w:szCs w:val="19"/>
              </w:rPr>
              <w:t xml:space="preserve">Definisi Singkat</w:t>
            </w:r>
          </w:p>
        </w:tc>
      </w:tr>
      <w:tr>
        <w:tc>
          <w:tcPr>
            <w:tcW w:type="dxa" w:w="3116"/>
            <w:shd w:fill="FFFFFF" w:val="clear"/>
            <w:tcMar>
              <w:top w:type="dxa" w:w="100"/>
              <w:left w:type="dxa" w:w="100"/>
              <w:bottom w:type="dxa" w:w="100"/>
              <w:right w:type="dxa" w:w="100"/>
            </w:tcMar>
          </w:tcPr>
          <w:p>
            <w:r>
              <w:rPr>
                <w:rFonts w:ascii="IBM Plex Mono" w:cs="IBM Plex Mono" w:eastAsia="IBM Plex Mono" w:hAnsi="IBM Plex Mono"/>
                <w:color w:val="334155"/>
                <w:sz w:val="18"/>
                <w:szCs w:val="18"/>
              </w:rPr>
              <w:t xml:space="preserve">Abses tuboovarium</w:t>
            </w:r>
          </w:p>
        </w:tc>
        <w:tc>
          <w:tcPr>
            <w:tcW w:type="dxa" w:w="3116"/>
            <w:shd w:fill="FFFFFF" w:val="clear"/>
            <w:tcMar>
              <w:top w:type="dxa" w:w="100"/>
              <w:left w:type="dxa" w:w="100"/>
              <w:bottom w:type="dxa" w:w="100"/>
              <w:right w:type="dxa" w:w="100"/>
            </w:tcMar>
          </w:tcPr>
          <w:p>
            <w:r>
              <w:rPr>
                <w:rFonts w:ascii="IBM Plex Mono" w:cs="IBM Plex Mono" w:eastAsia="IBM Plex Mono" w:hAnsi="IBM Plex Mono"/>
                <w:color w:val="334155"/>
                <w:sz w:val="18"/>
                <w:szCs w:val="18"/>
              </w:rPr>
              <w:t xml:space="preserve">Tubo-ovarian abscess</w:t>
            </w:r>
          </w:p>
        </w:tc>
        <w:tc>
          <w:tcPr>
            <w:tcW w:type="dxa" w:w="3116"/>
            <w:shd w:fill="FFFFFF" w:val="clear"/>
            <w:tcMar>
              <w:top w:type="dxa" w:w="100"/>
              <w:left w:type="dxa" w:w="100"/>
              <w:bottom w:type="dxa" w:w="100"/>
              <w:right w:type="dxa" w:w="100"/>
            </w:tcMar>
          </w:tcPr>
          <w:p>
            <w:r>
              <w:rPr>
                <w:rFonts w:ascii="IBM Plex Mono" w:cs="IBM Plex Mono" w:eastAsia="IBM Plex Mono" w:hAnsi="IBM Plex Mono"/>
                <w:color w:val="334155"/>
                <w:sz w:val="18"/>
                <w:szCs w:val="18"/>
              </w:rPr>
              <w:t xml:space="preserve">Kumpulan nanah pada tuba falopi dan ovarium akibat komplikasi penyakit radang panggul yang tidak tertangani.</w:t>
            </w:r>
          </w:p>
        </w:tc>
      </w:tr>
      <w:tr>
        <w:tc>
          <w:tcPr>
            <w:tcW w:type="dxa" w:w="3116"/>
            <w:shd w:fill="F1F5F9" w:val="clear"/>
            <w:tcMar>
              <w:top w:type="dxa" w:w="100"/>
              <w:left w:type="dxa" w:w="100"/>
              <w:bottom w:type="dxa" w:w="100"/>
              <w:right w:type="dxa" w:w="100"/>
            </w:tcMar>
          </w:tcPr>
          <w:p>
            <w:r>
              <w:rPr>
                <w:rFonts w:ascii="IBM Plex Mono" w:cs="IBM Plex Mono" w:eastAsia="IBM Plex Mono" w:hAnsi="IBM Plex Mono"/>
                <w:color w:val="334155"/>
                <w:sz w:val="18"/>
                <w:szCs w:val="18"/>
              </w:rPr>
              <w:t xml:space="preserve">Amsel, kriteria</w:t>
            </w:r>
          </w:p>
        </w:tc>
        <w:tc>
          <w:tcPr>
            <w:tcW w:type="dxa" w:w="3116"/>
            <w:shd w:fill="F1F5F9" w:val="clear"/>
            <w:tcMar>
              <w:top w:type="dxa" w:w="100"/>
              <w:left w:type="dxa" w:w="100"/>
              <w:bottom w:type="dxa" w:w="100"/>
              <w:right w:type="dxa" w:w="100"/>
            </w:tcMar>
          </w:tcPr>
          <w:p>
            <w:r>
              <w:rPr>
                <w:rFonts w:ascii="IBM Plex Mono" w:cs="IBM Plex Mono" w:eastAsia="IBM Plex Mono" w:hAnsi="IBM Plex Mono"/>
                <w:color w:val="334155"/>
                <w:sz w:val="18"/>
                <w:szCs w:val="18"/>
              </w:rPr>
              <w:t xml:space="preserve">Amsel's criteria</w:t>
            </w:r>
          </w:p>
        </w:tc>
        <w:tc>
          <w:tcPr>
            <w:tcW w:type="dxa" w:w="3116"/>
            <w:shd w:fill="F1F5F9" w:val="clear"/>
            <w:tcMar>
              <w:top w:type="dxa" w:w="100"/>
              <w:left w:type="dxa" w:w="100"/>
              <w:bottom w:type="dxa" w:w="100"/>
              <w:right w:type="dxa" w:w="100"/>
            </w:tcMar>
          </w:tcPr>
          <w:p>
            <w:r>
              <w:rPr>
                <w:rFonts w:ascii="IBM Plex Mono" w:cs="IBM Plex Mono" w:eastAsia="IBM Plex Mono" w:hAnsi="IBM Plex Mono"/>
                <w:color w:val="334155"/>
                <w:sz w:val="18"/>
                <w:szCs w:val="18"/>
              </w:rPr>
              <w:t xml:space="preserve">Seperangkat kriteria klinis praktis untuk menegakkan diagnosis vaginosis bakterialis di layanan dengan keterbatasan laboratorium.</w:t>
            </w:r>
          </w:p>
        </w:tc>
      </w:tr>
      <w:tr>
        <w:tc>
          <w:tcPr>
            <w:tcW w:type="dxa" w:w="3116"/>
            <w:shd w:fill="FFFFFF" w:val="clear"/>
            <w:tcMar>
              <w:top w:type="dxa" w:w="100"/>
              <w:left w:type="dxa" w:w="100"/>
              <w:bottom w:type="dxa" w:w="100"/>
              <w:right w:type="dxa" w:w="100"/>
            </w:tcMar>
          </w:tcPr>
          <w:p>
            <w:r>
              <w:rPr>
                <w:rFonts w:ascii="IBM Plex Mono" w:cs="IBM Plex Mono" w:eastAsia="IBM Plex Mono" w:hAnsi="IBM Plex Mono"/>
                <w:color w:val="334155"/>
                <w:sz w:val="18"/>
                <w:szCs w:val="18"/>
              </w:rPr>
              <w:t xml:space="preserve">Duh (discharge)</w:t>
            </w:r>
          </w:p>
        </w:tc>
        <w:tc>
          <w:tcPr>
            <w:tcW w:type="dxa" w:w="3116"/>
            <w:shd w:fill="FFFFFF" w:val="clear"/>
            <w:tcMar>
              <w:top w:type="dxa" w:w="100"/>
              <w:left w:type="dxa" w:w="100"/>
              <w:bottom w:type="dxa" w:w="100"/>
              <w:right w:type="dxa" w:w="100"/>
            </w:tcMar>
          </w:tcPr>
          <w:p>
            <w:r>
              <w:rPr>
                <w:rFonts w:ascii="IBM Plex Mono" w:cs="IBM Plex Mono" w:eastAsia="IBM Plex Mono" w:hAnsi="IBM Plex Mono"/>
                <w:color w:val="334155"/>
                <w:sz w:val="18"/>
                <w:szCs w:val="18"/>
              </w:rPr>
              <w:t xml:space="preserve">Vaginal/cervical discharge</w:t>
            </w:r>
          </w:p>
        </w:tc>
        <w:tc>
          <w:tcPr>
            <w:tcW w:type="dxa" w:w="3116"/>
            <w:shd w:fill="FFFFFF" w:val="clear"/>
            <w:tcMar>
              <w:top w:type="dxa" w:w="100"/>
              <w:left w:type="dxa" w:w="100"/>
              <w:bottom w:type="dxa" w:w="100"/>
              <w:right w:type="dxa" w:w="100"/>
            </w:tcMar>
          </w:tcPr>
          <w:p>
            <w:r>
              <w:rPr>
                <w:rFonts w:ascii="IBM Plex Mono" w:cs="IBM Plex Mono" w:eastAsia="IBM Plex Mono" w:hAnsi="IBM Plex Mono"/>
                <w:color w:val="334155"/>
                <w:sz w:val="18"/>
                <w:szCs w:val="18"/>
              </w:rPr>
              <w:t xml:space="preserve">Cairan yang keluar dari vagina atau serviks; dapat bersifat fisiologis atau patologis tergantung karakteristik dan konteks klinis.</w:t>
            </w:r>
          </w:p>
        </w:tc>
      </w:tr>
      <w:tr>
        <w:tc>
          <w:tcPr>
            <w:tcW w:type="dxa" w:w="3116"/>
            <w:shd w:fill="F1F5F9" w:val="clear"/>
            <w:tcMar>
              <w:top w:type="dxa" w:w="100"/>
              <w:left w:type="dxa" w:w="100"/>
              <w:bottom w:type="dxa" w:w="100"/>
              <w:right w:type="dxa" w:w="100"/>
            </w:tcMar>
          </w:tcPr>
          <w:p>
            <w:r>
              <w:rPr>
                <w:rFonts w:ascii="IBM Plex Mono" w:cs="IBM Plex Mono" w:eastAsia="IBM Plex Mono" w:hAnsi="IBM Plex Mono"/>
                <w:color w:val="334155"/>
                <w:sz w:val="18"/>
                <w:szCs w:val="18"/>
              </w:rPr>
              <w:t xml:space="preserve">Expedited partner therapy (EPT)</w:t>
            </w:r>
          </w:p>
        </w:tc>
        <w:tc>
          <w:tcPr>
            <w:tcW w:type="dxa" w:w="3116"/>
            <w:shd w:fill="F1F5F9" w:val="clear"/>
            <w:tcMar>
              <w:top w:type="dxa" w:w="100"/>
              <w:left w:type="dxa" w:w="100"/>
              <w:bottom w:type="dxa" w:w="100"/>
              <w:right w:type="dxa" w:w="100"/>
            </w:tcMar>
          </w:tcPr>
          <w:p>
            <w:r>
              <w:rPr>
                <w:rFonts w:ascii="IBM Plex Mono" w:cs="IBM Plex Mono" w:eastAsia="IBM Plex Mono" w:hAnsi="IBM Plex Mono"/>
                <w:color w:val="334155"/>
                <w:sz w:val="18"/>
                <w:szCs w:val="18"/>
              </w:rPr>
              <w:t xml:space="preserve">Terapi pasangan dipercepat</w:t>
            </w:r>
          </w:p>
        </w:tc>
        <w:tc>
          <w:tcPr>
            <w:tcW w:type="dxa" w:w="3116"/>
            <w:shd w:fill="F1F5F9" w:val="clear"/>
            <w:tcMar>
              <w:top w:type="dxa" w:w="100"/>
              <w:left w:type="dxa" w:w="100"/>
              <w:bottom w:type="dxa" w:w="100"/>
              <w:right w:type="dxa" w:w="100"/>
            </w:tcMar>
          </w:tcPr>
          <w:p>
            <w:r>
              <w:rPr>
                <w:rFonts w:ascii="IBM Plex Mono" w:cs="IBM Plex Mono" w:eastAsia="IBM Plex Mono" w:hAnsi="IBM Plex Mono"/>
                <w:color w:val="334155"/>
                <w:sz w:val="18"/>
                <w:szCs w:val="18"/>
              </w:rPr>
              <w:t xml:space="preserve">Strategi memberikan resep atau obat kepada pasangan seksual pasien IMS tanpa pemeriksaan langsung, untuk mempercepat tata laksana dan mencegah reinfeksi.</w:t>
            </w:r>
          </w:p>
        </w:tc>
      </w:tr>
      <w:tr>
        <w:tc>
          <w:tcPr>
            <w:tcW w:type="dxa" w:w="3116"/>
            <w:shd w:fill="FFFFFF" w:val="clear"/>
            <w:tcMar>
              <w:top w:type="dxa" w:w="100"/>
              <w:left w:type="dxa" w:w="100"/>
              <w:bottom w:type="dxa" w:w="100"/>
              <w:right w:type="dxa" w:w="100"/>
            </w:tcMar>
          </w:tcPr>
          <w:p>
            <w:r>
              <w:rPr>
                <w:rFonts w:ascii="IBM Plex Mono" w:cs="IBM Plex Mono" w:eastAsia="IBM Plex Mono" w:hAnsi="IBM Plex Mono"/>
                <w:color w:val="334155"/>
                <w:sz w:val="18"/>
                <w:szCs w:val="18"/>
              </w:rPr>
              <w:t xml:space="preserve">Kista Bartholin</w:t>
            </w:r>
          </w:p>
        </w:tc>
        <w:tc>
          <w:tcPr>
            <w:tcW w:type="dxa" w:w="3116"/>
            <w:shd w:fill="FFFFFF" w:val="clear"/>
            <w:tcMar>
              <w:top w:type="dxa" w:w="100"/>
              <w:left w:type="dxa" w:w="100"/>
              <w:bottom w:type="dxa" w:w="100"/>
              <w:right w:type="dxa" w:w="100"/>
            </w:tcMar>
          </w:tcPr>
          <w:p>
            <w:r>
              <w:rPr>
                <w:rFonts w:ascii="IBM Plex Mono" w:cs="IBM Plex Mono" w:eastAsia="IBM Plex Mono" w:hAnsi="IBM Plex Mono"/>
                <w:color w:val="334155"/>
                <w:sz w:val="18"/>
                <w:szCs w:val="18"/>
              </w:rPr>
              <w:t xml:space="preserve">Bartholin's cyst</w:t>
            </w:r>
          </w:p>
        </w:tc>
        <w:tc>
          <w:tcPr>
            <w:tcW w:type="dxa" w:w="3116"/>
            <w:shd w:fill="FFFFFF" w:val="clear"/>
            <w:tcMar>
              <w:top w:type="dxa" w:w="100"/>
              <w:left w:type="dxa" w:w="100"/>
              <w:bottom w:type="dxa" w:w="100"/>
              <w:right w:type="dxa" w:w="100"/>
            </w:tcMar>
          </w:tcPr>
          <w:p>
            <w:r>
              <w:rPr>
                <w:rFonts w:ascii="IBM Plex Mono" w:cs="IBM Plex Mono" w:eastAsia="IBM Plex Mono" w:hAnsi="IBM Plex Mono"/>
                <w:color w:val="334155"/>
                <w:sz w:val="18"/>
                <w:szCs w:val="18"/>
              </w:rPr>
              <w:t xml:space="preserve">Penumpukan sekret akibat obstruksi duktus kelenjar Bartholin, dapat berkembang menjadi abses bila terinfeksi.</w:t>
            </w:r>
          </w:p>
        </w:tc>
      </w:tr>
      <w:tr>
        <w:tc>
          <w:tcPr>
            <w:tcW w:type="dxa" w:w="3116"/>
            <w:shd w:fill="F1F5F9" w:val="clear"/>
            <w:tcMar>
              <w:top w:type="dxa" w:w="100"/>
              <w:left w:type="dxa" w:w="100"/>
              <w:bottom w:type="dxa" w:w="100"/>
              <w:right w:type="dxa" w:w="100"/>
            </w:tcMar>
          </w:tcPr>
          <w:p>
            <w:r>
              <w:rPr>
                <w:rFonts w:ascii="IBM Plex Mono" w:cs="IBM Plex Mono" w:eastAsia="IBM Plex Mono" w:hAnsi="IBM Plex Mono"/>
                <w:color w:val="334155"/>
                <w:sz w:val="18"/>
                <w:szCs w:val="18"/>
              </w:rPr>
              <w:t xml:space="preserve">Klue cells (clue cells)</w:t>
            </w:r>
          </w:p>
        </w:tc>
        <w:tc>
          <w:tcPr>
            <w:tcW w:type="dxa" w:w="3116"/>
            <w:shd w:fill="F1F5F9" w:val="clear"/>
            <w:tcMar>
              <w:top w:type="dxa" w:w="100"/>
              <w:left w:type="dxa" w:w="100"/>
              <w:bottom w:type="dxa" w:w="100"/>
              <w:right w:type="dxa" w:w="100"/>
            </w:tcMar>
          </w:tcPr>
          <w:p>
            <w:r>
              <w:rPr>
                <w:rFonts w:ascii="IBM Plex Mono" w:cs="IBM Plex Mono" w:eastAsia="IBM Plex Mono" w:hAnsi="IBM Plex Mono"/>
                <w:color w:val="334155"/>
                <w:sz w:val="18"/>
                <w:szCs w:val="18"/>
              </w:rPr>
              <w:t xml:space="preserve">Clue cells</w:t>
            </w:r>
          </w:p>
        </w:tc>
        <w:tc>
          <w:tcPr>
            <w:tcW w:type="dxa" w:w="3116"/>
            <w:shd w:fill="F1F5F9" w:val="clear"/>
            <w:tcMar>
              <w:top w:type="dxa" w:w="100"/>
              <w:left w:type="dxa" w:w="100"/>
              <w:bottom w:type="dxa" w:w="100"/>
              <w:right w:type="dxa" w:w="100"/>
            </w:tcMar>
          </w:tcPr>
          <w:p>
            <w:r>
              <w:rPr>
                <w:rFonts w:ascii="IBM Plex Mono" w:cs="IBM Plex Mono" w:eastAsia="IBM Plex Mono" w:hAnsi="IBM Plex Mono"/>
                <w:color w:val="334155"/>
                <w:sz w:val="18"/>
                <w:szCs w:val="18"/>
              </w:rPr>
              <w:t xml:space="preserve">Sel epitel vagina yang diselimuti bakteri, ditemukan pada pemeriksaan mikroskopis sediaan basah sebagai penanda vaginosis bakterialis.</w:t>
            </w:r>
          </w:p>
        </w:tc>
      </w:tr>
      <w:tr>
        <w:tc>
          <w:tcPr>
            <w:tcW w:type="dxa" w:w="3116"/>
            <w:shd w:fill="FFFFFF" w:val="clear"/>
            <w:tcMar>
              <w:top w:type="dxa" w:w="100"/>
              <w:left w:type="dxa" w:w="100"/>
              <w:bottom w:type="dxa" w:w="100"/>
              <w:right w:type="dxa" w:w="100"/>
            </w:tcMar>
          </w:tcPr>
          <w:p>
            <w:r>
              <w:rPr>
                <w:rFonts w:ascii="IBM Plex Mono" w:cs="IBM Plex Mono" w:eastAsia="IBM Plex Mono" w:hAnsi="IBM Plex Mono"/>
                <w:color w:val="334155"/>
                <w:sz w:val="18"/>
                <w:szCs w:val="18"/>
              </w:rPr>
              <w:t xml:space="preserve">Marsupialisasi</w:t>
            </w:r>
          </w:p>
        </w:tc>
        <w:tc>
          <w:tcPr>
            <w:tcW w:type="dxa" w:w="3116"/>
            <w:shd w:fill="FFFFFF" w:val="clear"/>
            <w:tcMar>
              <w:top w:type="dxa" w:w="100"/>
              <w:left w:type="dxa" w:w="100"/>
              <w:bottom w:type="dxa" w:w="100"/>
              <w:right w:type="dxa" w:w="100"/>
            </w:tcMar>
          </w:tcPr>
          <w:p>
            <w:r>
              <w:rPr>
                <w:rFonts w:ascii="IBM Plex Mono" w:cs="IBM Plex Mono" w:eastAsia="IBM Plex Mono" w:hAnsi="IBM Plex Mono"/>
                <w:color w:val="334155"/>
                <w:sz w:val="18"/>
                <w:szCs w:val="18"/>
              </w:rPr>
              <w:t xml:space="preserve">Marsupialization</w:t>
            </w:r>
          </w:p>
        </w:tc>
        <w:tc>
          <w:tcPr>
            <w:tcW w:type="dxa" w:w="3116"/>
            <w:shd w:fill="FFFFFF" w:val="clear"/>
            <w:tcMar>
              <w:top w:type="dxa" w:w="100"/>
              <w:left w:type="dxa" w:w="100"/>
              <w:bottom w:type="dxa" w:w="100"/>
              <w:right w:type="dxa" w:w="100"/>
            </w:tcMar>
          </w:tcPr>
          <w:p>
            <w:r>
              <w:rPr>
                <w:rFonts w:ascii="IBM Plex Mono" w:cs="IBM Plex Mono" w:eastAsia="IBM Plex Mono" w:hAnsi="IBM Plex Mono"/>
                <w:color w:val="334155"/>
                <w:sz w:val="18"/>
                <w:szCs w:val="18"/>
              </w:rPr>
              <w:t xml:space="preserve">Tindakan bedah membuka kista atau abses dan menjahit tepi kulitnya ke tepi kapsul kista untuk membentuk saluran drainase permanen.</w:t>
            </w:r>
          </w:p>
        </w:tc>
      </w:tr>
      <w:tr>
        <w:tc>
          <w:tcPr>
            <w:tcW w:type="dxa" w:w="3116"/>
            <w:shd w:fill="F1F5F9" w:val="clear"/>
            <w:tcMar>
              <w:top w:type="dxa" w:w="100"/>
              <w:left w:type="dxa" w:w="100"/>
              <w:bottom w:type="dxa" w:w="100"/>
              <w:right w:type="dxa" w:w="100"/>
            </w:tcMar>
          </w:tcPr>
          <w:p>
            <w:r>
              <w:rPr>
                <w:rFonts w:ascii="IBM Plex Mono" w:cs="IBM Plex Mono" w:eastAsia="IBM Plex Mono" w:hAnsi="IBM Plex Mono"/>
                <w:color w:val="334155"/>
                <w:sz w:val="18"/>
                <w:szCs w:val="18"/>
              </w:rPr>
              <w:t xml:space="preserve">Nucleic Acid Amplification Test (NAAT)</w:t>
            </w:r>
          </w:p>
        </w:tc>
        <w:tc>
          <w:tcPr>
            <w:tcW w:type="dxa" w:w="3116"/>
            <w:shd w:fill="F1F5F9" w:val="clear"/>
            <w:tcMar>
              <w:top w:type="dxa" w:w="100"/>
              <w:left w:type="dxa" w:w="100"/>
              <w:bottom w:type="dxa" w:w="100"/>
              <w:right w:type="dxa" w:w="100"/>
            </w:tcMar>
          </w:tcPr>
          <w:p>
            <w:r>
              <w:rPr>
                <w:rFonts w:ascii="IBM Plex Mono" w:cs="IBM Plex Mono" w:eastAsia="IBM Plex Mono" w:hAnsi="IBM Plex Mono"/>
                <w:color w:val="334155"/>
                <w:sz w:val="18"/>
                <w:szCs w:val="18"/>
              </w:rPr>
              <w:t xml:space="preserve">Uji amplifikasi asam nukleat</w:t>
            </w:r>
          </w:p>
        </w:tc>
        <w:tc>
          <w:tcPr>
            <w:tcW w:type="dxa" w:w="3116"/>
            <w:shd w:fill="F1F5F9" w:val="clear"/>
            <w:tcMar>
              <w:top w:type="dxa" w:w="100"/>
              <w:left w:type="dxa" w:w="100"/>
              <w:bottom w:type="dxa" w:w="100"/>
              <w:right w:type="dxa" w:w="100"/>
            </w:tcMar>
          </w:tcPr>
          <w:p>
            <w:r>
              <w:rPr>
                <w:rFonts w:ascii="IBM Plex Mono" w:cs="IBM Plex Mono" w:eastAsia="IBM Plex Mono" w:hAnsi="IBM Plex Mono"/>
                <w:color w:val="334155"/>
                <w:sz w:val="18"/>
                <w:szCs w:val="18"/>
              </w:rPr>
              <w:t xml:space="preserve">Metode diagnostik molekuler sensitif untuk mendeteksi materi genetik patogen, digunakan antara lain untuk konfirmasi Chlamydia trachomatis dan Neisseria gonorrhoeae.</w:t>
            </w:r>
          </w:p>
        </w:tc>
      </w:tr>
      <w:tr>
        <w:tc>
          <w:tcPr>
            <w:tcW w:type="dxa" w:w="3116"/>
            <w:shd w:fill="FFFFFF" w:val="clear"/>
            <w:tcMar>
              <w:top w:type="dxa" w:w="100"/>
              <w:left w:type="dxa" w:w="100"/>
              <w:bottom w:type="dxa" w:w="100"/>
              <w:right w:type="dxa" w:w="100"/>
            </w:tcMar>
          </w:tcPr>
          <w:p>
            <w:r>
              <w:rPr>
                <w:rFonts w:ascii="IBM Plex Mono" w:cs="IBM Plex Mono" w:eastAsia="IBM Plex Mono" w:hAnsi="IBM Plex Mono"/>
                <w:color w:val="334155"/>
                <w:sz w:val="18"/>
                <w:szCs w:val="18"/>
              </w:rPr>
              <w:t xml:space="preserve">Pendekatan sindromik</w:t>
            </w:r>
          </w:p>
        </w:tc>
        <w:tc>
          <w:tcPr>
            <w:tcW w:type="dxa" w:w="3116"/>
            <w:shd w:fill="FFFFFF" w:val="clear"/>
            <w:tcMar>
              <w:top w:type="dxa" w:w="100"/>
              <w:left w:type="dxa" w:w="100"/>
              <w:bottom w:type="dxa" w:w="100"/>
              <w:right w:type="dxa" w:w="100"/>
            </w:tcMar>
          </w:tcPr>
          <w:p>
            <w:r>
              <w:rPr>
                <w:rFonts w:ascii="IBM Plex Mono" w:cs="IBM Plex Mono" w:eastAsia="IBM Plex Mono" w:hAnsi="IBM Plex Mono"/>
                <w:color w:val="334155"/>
                <w:sz w:val="18"/>
                <w:szCs w:val="18"/>
              </w:rPr>
              <w:t xml:space="preserve">Syndromic management</w:t>
            </w:r>
          </w:p>
        </w:tc>
        <w:tc>
          <w:tcPr>
            <w:tcW w:type="dxa" w:w="3116"/>
            <w:shd w:fill="FFFFFF" w:val="clear"/>
            <w:tcMar>
              <w:top w:type="dxa" w:w="100"/>
              <w:left w:type="dxa" w:w="100"/>
              <w:bottom w:type="dxa" w:w="100"/>
              <w:right w:type="dxa" w:w="100"/>
            </w:tcMar>
          </w:tcPr>
          <w:p>
            <w:r>
              <w:rPr>
                <w:rFonts w:ascii="IBM Plex Mono" w:cs="IBM Plex Mono" w:eastAsia="IBM Plex Mono" w:hAnsi="IBM Plex Mono"/>
                <w:color w:val="334155"/>
                <w:sz w:val="18"/>
                <w:szCs w:val="18"/>
              </w:rPr>
              <w:t xml:space="preserve">Strategi tata laksana empiris berdasarkan kelompok gejala klinis tanpa menunggu konfirmasi laboratorium etiologi spesifik.</w:t>
            </w:r>
          </w:p>
        </w:tc>
      </w:tr>
      <w:tr>
        <w:tc>
          <w:tcPr>
            <w:tcW w:type="dxa" w:w="3116"/>
            <w:shd w:fill="F1F5F9" w:val="clear"/>
            <w:tcMar>
              <w:top w:type="dxa" w:w="100"/>
              <w:left w:type="dxa" w:w="100"/>
              <w:bottom w:type="dxa" w:w="100"/>
              <w:right w:type="dxa" w:w="100"/>
            </w:tcMar>
          </w:tcPr>
          <w:p>
            <w:r>
              <w:rPr>
                <w:rFonts w:ascii="IBM Plex Mono" w:cs="IBM Plex Mono" w:eastAsia="IBM Plex Mono" w:hAnsi="IBM Plex Mono"/>
                <w:color w:val="334155"/>
                <w:sz w:val="18"/>
                <w:szCs w:val="18"/>
              </w:rPr>
              <w:t xml:space="preserve">Penyakit Radang Panggul (PID)</w:t>
            </w:r>
          </w:p>
        </w:tc>
        <w:tc>
          <w:tcPr>
            <w:tcW w:type="dxa" w:w="3116"/>
            <w:shd w:fill="F1F5F9" w:val="clear"/>
            <w:tcMar>
              <w:top w:type="dxa" w:w="100"/>
              <w:left w:type="dxa" w:w="100"/>
              <w:bottom w:type="dxa" w:w="100"/>
              <w:right w:type="dxa" w:w="100"/>
            </w:tcMar>
          </w:tcPr>
          <w:p>
            <w:r>
              <w:rPr>
                <w:rFonts w:ascii="IBM Plex Mono" w:cs="IBM Plex Mono" w:eastAsia="IBM Plex Mono" w:hAnsi="IBM Plex Mono"/>
                <w:color w:val="334155"/>
                <w:sz w:val="18"/>
                <w:szCs w:val="18"/>
              </w:rPr>
              <w:t xml:space="preserve">Pelvic Inflammatory Disease</w:t>
            </w:r>
          </w:p>
        </w:tc>
        <w:tc>
          <w:tcPr>
            <w:tcW w:type="dxa" w:w="3116"/>
            <w:shd w:fill="F1F5F9" w:val="clear"/>
            <w:tcMar>
              <w:top w:type="dxa" w:w="100"/>
              <w:left w:type="dxa" w:w="100"/>
              <w:bottom w:type="dxa" w:w="100"/>
              <w:right w:type="dxa" w:w="100"/>
            </w:tcMar>
          </w:tcPr>
          <w:p>
            <w:r>
              <w:rPr>
                <w:rFonts w:ascii="IBM Plex Mono" w:cs="IBM Plex Mono" w:eastAsia="IBM Plex Mono" w:hAnsi="IBM Plex Mono"/>
                <w:color w:val="334155"/>
                <w:sz w:val="18"/>
                <w:szCs w:val="18"/>
              </w:rPr>
              <w:t xml:space="preserve">Sindrom klinis akibat infeksi asenden pada endometrium, tuba falopi, ovarium, dan struktur pelvis di sekitarnya.</w:t>
            </w:r>
          </w:p>
        </w:tc>
      </w:tr>
      <w:tr>
        <w:tc>
          <w:tcPr>
            <w:tcW w:type="dxa" w:w="3116"/>
            <w:shd w:fill="FFFFFF" w:val="clear"/>
            <w:tcMar>
              <w:top w:type="dxa" w:w="100"/>
              <w:left w:type="dxa" w:w="100"/>
              <w:bottom w:type="dxa" w:w="100"/>
              <w:right w:type="dxa" w:w="100"/>
            </w:tcMar>
          </w:tcPr>
          <w:p>
            <w:r>
              <w:rPr>
                <w:rFonts w:ascii="IBM Plex Mono" w:cs="IBM Plex Mono" w:eastAsia="IBM Plex Mono" w:hAnsi="IBM Plex Mono"/>
                <w:color w:val="334155"/>
                <w:sz w:val="18"/>
                <w:szCs w:val="18"/>
              </w:rPr>
              <w:t xml:space="preserve">Servisitis</w:t>
            </w:r>
          </w:p>
        </w:tc>
        <w:tc>
          <w:tcPr>
            <w:tcW w:type="dxa" w:w="3116"/>
            <w:shd w:fill="FFFFFF" w:val="clear"/>
            <w:tcMar>
              <w:top w:type="dxa" w:w="100"/>
              <w:left w:type="dxa" w:w="100"/>
              <w:bottom w:type="dxa" w:w="100"/>
              <w:right w:type="dxa" w:w="100"/>
            </w:tcMar>
          </w:tcPr>
          <w:p>
            <w:r>
              <w:rPr>
                <w:rFonts w:ascii="IBM Plex Mono" w:cs="IBM Plex Mono" w:eastAsia="IBM Plex Mono" w:hAnsi="IBM Plex Mono"/>
                <w:color w:val="334155"/>
                <w:sz w:val="18"/>
                <w:szCs w:val="18"/>
              </w:rPr>
              <w:t xml:space="preserve">Cervicitis</w:t>
            </w:r>
          </w:p>
        </w:tc>
        <w:tc>
          <w:tcPr>
            <w:tcW w:type="dxa" w:w="3116"/>
            <w:shd w:fill="FFFFFF" w:val="clear"/>
            <w:tcMar>
              <w:top w:type="dxa" w:w="100"/>
              <w:left w:type="dxa" w:w="100"/>
              <w:bottom w:type="dxa" w:w="100"/>
              <w:right w:type="dxa" w:w="100"/>
            </w:tcMar>
          </w:tcPr>
          <w:p>
            <w:r>
              <w:rPr>
                <w:rFonts w:ascii="IBM Plex Mono" w:cs="IBM Plex Mono" w:eastAsia="IBM Plex Mono" w:hAnsi="IBM Plex Mono"/>
                <w:color w:val="334155"/>
                <w:sz w:val="18"/>
                <w:szCs w:val="18"/>
              </w:rPr>
              <w:t xml:space="preserve">Peradangan pada serviks uteri, umumnya akibat infeksi Chlamydia trachomatis atau Neisseria gonorrhoeae.</w:t>
            </w:r>
          </w:p>
        </w:tc>
      </w:tr>
      <w:tr>
        <w:tc>
          <w:tcPr>
            <w:tcW w:type="dxa" w:w="3116"/>
            <w:shd w:fill="F1F5F9" w:val="clear"/>
            <w:tcMar>
              <w:top w:type="dxa" w:w="100"/>
              <w:left w:type="dxa" w:w="100"/>
              <w:bottom w:type="dxa" w:w="100"/>
              <w:right w:type="dxa" w:w="100"/>
            </w:tcMar>
          </w:tcPr>
          <w:p>
            <w:r>
              <w:rPr>
                <w:rFonts w:ascii="IBM Plex Mono" w:cs="IBM Plex Mono" w:eastAsia="IBM Plex Mono" w:hAnsi="IBM Plex Mono"/>
                <w:color w:val="334155"/>
                <w:sz w:val="18"/>
                <w:szCs w:val="18"/>
              </w:rPr>
              <w:t xml:space="preserve">Sindrom Fitz-Hugh-Curtis</w:t>
            </w:r>
          </w:p>
        </w:tc>
        <w:tc>
          <w:tcPr>
            <w:tcW w:type="dxa" w:w="3116"/>
            <w:shd w:fill="F1F5F9" w:val="clear"/>
            <w:tcMar>
              <w:top w:type="dxa" w:w="100"/>
              <w:left w:type="dxa" w:w="100"/>
              <w:bottom w:type="dxa" w:w="100"/>
              <w:right w:type="dxa" w:w="100"/>
            </w:tcMar>
          </w:tcPr>
          <w:p>
            <w:r>
              <w:rPr>
                <w:rFonts w:ascii="IBM Plex Mono" w:cs="IBM Plex Mono" w:eastAsia="IBM Plex Mono" w:hAnsi="IBM Plex Mono"/>
                <w:color w:val="334155"/>
                <w:sz w:val="18"/>
                <w:szCs w:val="18"/>
              </w:rPr>
              <w:t xml:space="preserve">Fitz-Hugh-Curtis syndrome</w:t>
            </w:r>
          </w:p>
        </w:tc>
        <w:tc>
          <w:tcPr>
            <w:tcW w:type="dxa" w:w="3116"/>
            <w:shd w:fill="F1F5F9" w:val="clear"/>
            <w:tcMar>
              <w:top w:type="dxa" w:w="100"/>
              <w:left w:type="dxa" w:w="100"/>
              <w:bottom w:type="dxa" w:w="100"/>
              <w:right w:type="dxa" w:w="100"/>
            </w:tcMar>
          </w:tcPr>
          <w:p>
            <w:r>
              <w:rPr>
                <w:rFonts w:ascii="IBM Plex Mono" w:cs="IBM Plex Mono" w:eastAsia="IBM Plex Mono" w:hAnsi="IBM Plex Mono"/>
                <w:color w:val="334155"/>
                <w:sz w:val="18"/>
                <w:szCs w:val="18"/>
              </w:rPr>
              <w:t xml:space="preserve">Perihepatitis (peradangan kapsul hati) akibat penjalaran infeksi dari penyakit radang panggul.</w:t>
            </w:r>
          </w:p>
        </w:tc>
      </w:tr>
      <w:tr>
        <w:tc>
          <w:tcPr>
            <w:tcW w:type="dxa" w:w="3116"/>
            <w:shd w:fill="FFFFFF" w:val="clear"/>
            <w:tcMar>
              <w:top w:type="dxa" w:w="100"/>
              <w:left w:type="dxa" w:w="100"/>
              <w:bottom w:type="dxa" w:w="100"/>
              <w:right w:type="dxa" w:w="100"/>
            </w:tcMar>
          </w:tcPr>
          <w:p>
            <w:r>
              <w:rPr>
                <w:rFonts w:ascii="IBM Plex Mono" w:cs="IBM Plex Mono" w:eastAsia="IBM Plex Mono" w:hAnsi="IBM Plex Mono"/>
                <w:color w:val="334155"/>
                <w:sz w:val="18"/>
                <w:szCs w:val="18"/>
              </w:rPr>
              <w:t xml:space="preserve">Vaginitis</w:t>
            </w:r>
          </w:p>
        </w:tc>
        <w:tc>
          <w:tcPr>
            <w:tcW w:type="dxa" w:w="3116"/>
            <w:shd w:fill="FFFFFF" w:val="clear"/>
            <w:tcMar>
              <w:top w:type="dxa" w:w="100"/>
              <w:left w:type="dxa" w:w="100"/>
              <w:bottom w:type="dxa" w:w="100"/>
              <w:right w:type="dxa" w:w="100"/>
            </w:tcMar>
          </w:tcPr>
          <w:p>
            <w:r>
              <w:rPr>
                <w:rFonts w:ascii="IBM Plex Mono" w:cs="IBM Plex Mono" w:eastAsia="IBM Plex Mono" w:hAnsi="IBM Plex Mono"/>
                <w:color w:val="334155"/>
                <w:sz w:val="18"/>
                <w:szCs w:val="18"/>
              </w:rPr>
              <w:t xml:space="preserve">Vaginitis</w:t>
            </w:r>
          </w:p>
        </w:tc>
        <w:tc>
          <w:tcPr>
            <w:tcW w:type="dxa" w:w="3116"/>
            <w:shd w:fill="FFFFFF" w:val="clear"/>
            <w:tcMar>
              <w:top w:type="dxa" w:w="100"/>
              <w:left w:type="dxa" w:w="100"/>
              <w:bottom w:type="dxa" w:w="100"/>
              <w:right w:type="dxa" w:w="100"/>
            </w:tcMar>
          </w:tcPr>
          <w:p>
            <w:r>
              <w:rPr>
                <w:rFonts w:ascii="IBM Plex Mono" w:cs="IBM Plex Mono" w:eastAsia="IBM Plex Mono" w:hAnsi="IBM Plex Mono"/>
                <w:color w:val="334155"/>
                <w:sz w:val="18"/>
                <w:szCs w:val="18"/>
              </w:rPr>
              <w:t xml:space="preserve">Peradangan mukosa vagina, tersering akibat vaginosis bakterialis, kandidiasis vulvovaginalis, atau trikomoniasis.</w:t>
            </w:r>
          </w:p>
        </w:tc>
      </w:tr>
      <w:tr>
        <w:tc>
          <w:tcPr>
            <w:tcW w:type="dxa" w:w="3116"/>
            <w:shd w:fill="F1F5F9" w:val="clear"/>
            <w:tcMar>
              <w:top w:type="dxa" w:w="100"/>
              <w:left w:type="dxa" w:w="100"/>
              <w:bottom w:type="dxa" w:w="100"/>
              <w:right w:type="dxa" w:w="100"/>
            </w:tcMar>
          </w:tcPr>
          <w:p>
            <w:r>
              <w:rPr>
                <w:rFonts w:ascii="IBM Plex Mono" w:cs="IBM Plex Mono" w:eastAsia="IBM Plex Mono" w:hAnsi="IBM Plex Mono"/>
                <w:color w:val="334155"/>
                <w:sz w:val="18"/>
                <w:szCs w:val="18"/>
              </w:rPr>
              <w:t xml:space="preserve">Vaginosis bakterialis</w:t>
            </w:r>
          </w:p>
        </w:tc>
        <w:tc>
          <w:tcPr>
            <w:tcW w:type="dxa" w:w="3116"/>
            <w:shd w:fill="F1F5F9" w:val="clear"/>
            <w:tcMar>
              <w:top w:type="dxa" w:w="100"/>
              <w:left w:type="dxa" w:w="100"/>
              <w:bottom w:type="dxa" w:w="100"/>
              <w:right w:type="dxa" w:w="100"/>
            </w:tcMar>
          </w:tcPr>
          <w:p>
            <w:r>
              <w:rPr>
                <w:rFonts w:ascii="IBM Plex Mono" w:cs="IBM Plex Mono" w:eastAsia="IBM Plex Mono" w:hAnsi="IBM Plex Mono"/>
                <w:color w:val="334155"/>
                <w:sz w:val="18"/>
                <w:szCs w:val="18"/>
              </w:rPr>
              <w:t xml:space="preserve">Bacterial vaginosis</w:t>
            </w:r>
          </w:p>
        </w:tc>
        <w:tc>
          <w:tcPr>
            <w:tcW w:type="dxa" w:w="3116"/>
            <w:shd w:fill="F1F5F9" w:val="clear"/>
            <w:tcMar>
              <w:top w:type="dxa" w:w="100"/>
              <w:left w:type="dxa" w:w="100"/>
              <w:bottom w:type="dxa" w:w="100"/>
              <w:right w:type="dxa" w:w="100"/>
            </w:tcMar>
          </w:tcPr>
          <w:p>
            <w:r>
              <w:rPr>
                <w:rFonts w:ascii="IBM Plex Mono" w:cs="IBM Plex Mono" w:eastAsia="IBM Plex Mono" w:hAnsi="IBM Plex Mono"/>
                <w:color w:val="334155"/>
                <w:sz w:val="18"/>
                <w:szCs w:val="18"/>
              </w:rPr>
              <w:t xml:space="preserve">Pergeseran ekosistem mikrobiota vagina dari dominasi Lactobacillus ke flora anaerob campuran, menimbulkan duh berbau khas.</w:t>
            </w:r>
          </w:p>
        </w:tc>
      </w:tr>
      <w:tr>
        <w:tc>
          <w:tcPr>
            <w:tcW w:type="dxa" w:w="3116"/>
            <w:shd w:fill="FFFFFF" w:val="clear"/>
            <w:tcMar>
              <w:top w:type="dxa" w:w="100"/>
              <w:left w:type="dxa" w:w="100"/>
              <w:bottom w:type="dxa" w:w="100"/>
              <w:right w:type="dxa" w:w="100"/>
            </w:tcMar>
          </w:tcPr>
          <w:p>
            <w:r>
              <w:rPr>
                <w:rFonts w:ascii="IBM Plex Mono" w:cs="IBM Plex Mono" w:eastAsia="IBM Plex Mono" w:hAnsi="IBM Plex Mono"/>
                <w:color w:val="334155"/>
                <w:sz w:val="18"/>
                <w:szCs w:val="18"/>
              </w:rPr>
              <w:t xml:space="preserve">Kateter Word</w:t>
            </w:r>
          </w:p>
        </w:tc>
        <w:tc>
          <w:tcPr>
            <w:tcW w:type="dxa" w:w="3116"/>
            <w:shd w:fill="FFFFFF" w:val="clear"/>
            <w:tcMar>
              <w:top w:type="dxa" w:w="100"/>
              <w:left w:type="dxa" w:w="100"/>
              <w:bottom w:type="dxa" w:w="100"/>
              <w:right w:type="dxa" w:w="100"/>
            </w:tcMar>
          </w:tcPr>
          <w:p>
            <w:r>
              <w:rPr>
                <w:rFonts w:ascii="IBM Plex Mono" w:cs="IBM Plex Mono" w:eastAsia="IBM Plex Mono" w:hAnsi="IBM Plex Mono"/>
                <w:color w:val="334155"/>
                <w:sz w:val="18"/>
                <w:szCs w:val="18"/>
              </w:rPr>
              <w:t xml:space="preserve">Word catheter</w:t>
            </w:r>
          </w:p>
        </w:tc>
        <w:tc>
          <w:tcPr>
            <w:tcW w:type="dxa" w:w="3116"/>
            <w:shd w:fill="FFFFFF" w:val="clear"/>
            <w:tcMar>
              <w:top w:type="dxa" w:w="100"/>
              <w:left w:type="dxa" w:w="100"/>
              <w:bottom w:type="dxa" w:w="100"/>
              <w:right w:type="dxa" w:w="100"/>
            </w:tcMar>
          </w:tcPr>
          <w:p>
            <w:r>
              <w:rPr>
                <w:rFonts w:ascii="IBM Plex Mono" w:cs="IBM Plex Mono" w:eastAsia="IBM Plex Mono" w:hAnsi="IBM Plex Mono"/>
                <w:color w:val="334155"/>
                <w:sz w:val="18"/>
                <w:szCs w:val="18"/>
              </w:rPr>
              <w:t xml:space="preserve">Kateter balon kecil yang dimasukkan ke rongga kista atau abses Bartholin untuk membentuk saluran drainase tanpa insisi luas.</w:t>
            </w:r>
          </w:p>
        </w:tc>
      </w:tr>
    </w:tbl>
    <w:p>
      <w:pPr>
        <w:spacing w:after="160"/>
      </w:pPr>
    </w:p>
    <w:p>
      <w:r>
        <w:br w:type="page"/>
      </w:r>
    </w:p>
    <w:p>
      <w:pPr>
        <w:pStyle w:val="Heading1"/>
        <w:pBdr>
          <w:bottom w:val="single" w:color="4F46E5" w:sz="12" w:space="4"/>
        </w:pBdr>
        <w:spacing w:after="240" w:before="480"/>
      </w:pPr>
      <w:r>
        <w:rPr>
          <w:rFonts w:ascii="Source Serif 4" w:cs="Source Serif 4" w:eastAsia="Source Serif 4" w:hAnsi="Source Serif 4"/>
          <w:b/>
          <w:bCs/>
          <w:color w:val="4F46E5"/>
          <w:sz w:val="32"/>
          <w:szCs w:val="32"/>
        </w:rPr>
        <w:t xml:space="preserve">Kepustakaan</w:t>
      </w:r>
    </w:p>
    <w:p>
      <w:pPr>
        <w:spacing w:after="200" w:line="300"/>
        <w:jc w:val="both"/>
      </w:pPr>
      <w:r>
        <w:rPr>
          <w:rFonts w:ascii="IBM Plex Sans" w:cs="IBM Plex Sans" w:eastAsia="IBM Plex Sans" w:hAnsi="IBM Plex Sans"/>
          <w:color w:val="334155"/>
          <w:sz w:val="22"/>
          <w:szCs w:val="22"/>
        </w:rPr>
        <w:t xml:space="preserve">Kepustakaan berikut mencantumkan sumber utama yang menjadi dasar penyusunan buku tematik ini. Peraturan perundang-undangan dirujuk dari salinan resmi yang diverifikasi langsung; pedoman internasional dicantumkan beserta tautan resmi penerbit.</w:t>
      </w:r>
    </w:p>
    <w:p>
      <w:pPr>
        <w:spacing w:after="100" w:before="160"/>
      </w:pPr>
      <w:r>
        <w:rPr>
          <w:rFonts w:ascii="IBM Plex Sans" w:cs="IBM Plex Sans" w:eastAsia="IBM Plex Sans" w:hAnsi="IBM Plex Sans"/>
          <w:b/>
          <w:bCs/>
          <w:i/>
          <w:iCs/>
          <w:color w:val="334155"/>
          <w:sz w:val="19"/>
          <w:szCs w:val="19"/>
        </w:rPr>
        <w:t xml:space="preserve">Daftar Pustaka</w:t>
      </w:r>
    </w:p>
    <w:tbl>
      <w:tblPr>
        <w:tblW w:type="pct" w:w="100%"/>
        <w:tblBorders>
          <w:top w:val="single" w:color="CBD5E1" w:sz="4"/>
          <w:left w:val="single" w:color="CBD5E1" w:sz="4"/>
          <w:bottom w:val="single" w:color="CBD5E1" w:sz="4"/>
          <w:right w:val="single" w:color="CBD5E1" w:sz="4"/>
          <w:insideH w:val="single" w:color="E2E8F0" w:sz="2"/>
          <w:insideV w:val="single" w:color="E2E8F0" w:sz="2"/>
        </w:tblBorders>
      </w:tblPr>
      <w:tblGrid>
        <w:gridCol w:w="2337"/>
        <w:gridCol w:w="2337"/>
        <w:gridCol w:w="2337"/>
        <w:gridCol w:w="2337"/>
      </w:tblGrid>
      <w:tr>
        <w:trPr>
          <w:tblHeader/>
        </w:trPr>
        <w:tc>
          <w:tcPr>
            <w:tcW w:type="dxa" w:w="2337"/>
            <w:shd w:fill="4F46E5" w:val="clear"/>
            <w:tcMar>
              <w:top w:type="dxa" w:w="100"/>
              <w:left w:type="dxa" w:w="100"/>
              <w:bottom w:type="dxa" w:w="100"/>
              <w:right w:type="dxa" w:w="100"/>
            </w:tcMar>
          </w:tcPr>
          <w:p>
            <w:r>
              <w:rPr>
                <w:rFonts w:ascii="IBM Plex Sans" w:cs="IBM Plex Sans" w:eastAsia="IBM Plex Sans" w:hAnsi="IBM Plex Sans"/>
                <w:b/>
                <w:bCs/>
                <w:color w:val="FFFFFF"/>
                <w:sz w:val="19"/>
                <w:szCs w:val="19"/>
              </w:rPr>
              <w:t xml:space="preserve">No</w:t>
            </w:r>
          </w:p>
        </w:tc>
        <w:tc>
          <w:tcPr>
            <w:tcW w:type="dxa" w:w="2337"/>
            <w:shd w:fill="4F46E5" w:val="clear"/>
            <w:tcMar>
              <w:top w:type="dxa" w:w="100"/>
              <w:left w:type="dxa" w:w="100"/>
              <w:bottom w:type="dxa" w:w="100"/>
              <w:right w:type="dxa" w:w="100"/>
            </w:tcMar>
          </w:tcPr>
          <w:p>
            <w:r>
              <w:rPr>
                <w:rFonts w:ascii="IBM Plex Sans" w:cs="IBM Plex Sans" w:eastAsia="IBM Plex Sans" w:hAnsi="IBM Plex Sans"/>
                <w:b/>
                <w:bCs/>
                <w:color w:val="FFFFFF"/>
                <w:sz w:val="19"/>
                <w:szCs w:val="19"/>
              </w:rPr>
              <w:t xml:space="preserve">Sumber</w:t>
            </w:r>
          </w:p>
        </w:tc>
        <w:tc>
          <w:tcPr>
            <w:tcW w:type="dxa" w:w="2337"/>
            <w:shd w:fill="4F46E5" w:val="clear"/>
            <w:tcMar>
              <w:top w:type="dxa" w:w="100"/>
              <w:left w:type="dxa" w:w="100"/>
              <w:bottom w:type="dxa" w:w="100"/>
              <w:right w:type="dxa" w:w="100"/>
            </w:tcMar>
          </w:tcPr>
          <w:p>
            <w:r>
              <w:rPr>
                <w:rFonts w:ascii="IBM Plex Sans" w:cs="IBM Plex Sans" w:eastAsia="IBM Plex Sans" w:hAnsi="IBM Plex Sans"/>
                <w:b/>
                <w:bCs/>
                <w:color w:val="FFFFFF"/>
                <w:sz w:val="19"/>
                <w:szCs w:val="19"/>
              </w:rPr>
              <w:t xml:space="preserve">Tahun</w:t>
            </w:r>
          </w:p>
        </w:tc>
        <w:tc>
          <w:tcPr>
            <w:tcW w:type="dxa" w:w="2337"/>
            <w:shd w:fill="4F46E5" w:val="clear"/>
            <w:tcMar>
              <w:top w:type="dxa" w:w="100"/>
              <w:left w:type="dxa" w:w="100"/>
              <w:bottom w:type="dxa" w:w="100"/>
              <w:right w:type="dxa" w:w="100"/>
            </w:tcMar>
          </w:tcPr>
          <w:p>
            <w:r>
              <w:rPr>
                <w:rFonts w:ascii="IBM Plex Sans" w:cs="IBM Plex Sans" w:eastAsia="IBM Plex Sans" w:hAnsi="IBM Plex Sans"/>
                <w:b/>
                <w:bCs/>
                <w:color w:val="FFFFFF"/>
                <w:sz w:val="19"/>
                <w:szCs w:val="19"/>
              </w:rPr>
              <w:t xml:space="preserve">Tautan/Keterangan</w:t>
            </w:r>
          </w:p>
        </w:tc>
      </w:tr>
      <w:tr>
        <w:tc>
          <w:tcPr>
            <w:tcW w:type="dxa" w:w="2337"/>
            <w:shd w:fill="FFFFFF" w:val="clear"/>
            <w:tcMar>
              <w:top w:type="dxa" w:w="100"/>
              <w:left w:type="dxa" w:w="100"/>
              <w:bottom w:type="dxa" w:w="100"/>
              <w:right w:type="dxa" w:w="100"/>
            </w:tcMar>
          </w:tcPr>
          <w:p>
            <w:r>
              <w:rPr>
                <w:rFonts w:ascii="IBM Plex Mono" w:cs="IBM Plex Mono" w:eastAsia="IBM Plex Mono" w:hAnsi="IBM Plex Mono"/>
                <w:color w:val="334155"/>
                <w:sz w:val="18"/>
                <w:szCs w:val="18"/>
              </w:rPr>
              <w:t xml:space="preserve">1</w:t>
            </w:r>
          </w:p>
        </w:tc>
        <w:tc>
          <w:tcPr>
            <w:tcW w:type="dxa" w:w="2337"/>
            <w:shd w:fill="FFFFFF" w:val="clear"/>
            <w:tcMar>
              <w:top w:type="dxa" w:w="100"/>
              <w:left w:type="dxa" w:w="100"/>
              <w:bottom w:type="dxa" w:w="100"/>
              <w:right w:type="dxa" w:w="100"/>
            </w:tcMar>
          </w:tcPr>
          <w:p>
            <w:r>
              <w:rPr>
                <w:rFonts w:ascii="IBM Plex Mono" w:cs="IBM Plex Mono" w:eastAsia="IBM Plex Mono" w:hAnsi="IBM Plex Mono"/>
                <w:color w:val="334155"/>
                <w:sz w:val="18"/>
                <w:szCs w:val="18"/>
              </w:rPr>
              <w:t xml:space="preserve">Keputusan Ketua Konsil Kesehatan Indonesia Nomor HK.01.02/KKI/1318/2026 tentang Standar Kompetensi Dokter Spesialis dan Subspesialis Bidang Obstetri dan Ginekologi</w:t>
            </w:r>
          </w:p>
        </w:tc>
        <w:tc>
          <w:tcPr>
            <w:tcW w:type="dxa" w:w="2337"/>
            <w:shd w:fill="FFFFFF" w:val="clear"/>
            <w:tcMar>
              <w:top w:type="dxa" w:w="100"/>
              <w:left w:type="dxa" w:w="100"/>
              <w:bottom w:type="dxa" w:w="100"/>
              <w:right w:type="dxa" w:w="100"/>
            </w:tcMar>
          </w:tcPr>
          <w:p>
            <w:r>
              <w:rPr>
                <w:rFonts w:ascii="IBM Plex Mono" w:cs="IBM Plex Mono" w:eastAsia="IBM Plex Mono" w:hAnsi="IBM Plex Mono"/>
                <w:color w:val="334155"/>
                <w:sz w:val="18"/>
                <w:szCs w:val="18"/>
              </w:rPr>
              <w:t xml:space="preserve">2026</w:t>
            </w:r>
          </w:p>
        </w:tc>
        <w:tc>
          <w:tcPr>
            <w:tcW w:type="dxa" w:w="2337"/>
            <w:shd w:fill="FFFFFF" w:val="clear"/>
            <w:tcMar>
              <w:top w:type="dxa" w:w="100"/>
              <w:left w:type="dxa" w:w="100"/>
              <w:bottom w:type="dxa" w:w="100"/>
              <w:right w:type="dxa" w:w="100"/>
            </w:tcMar>
          </w:tcPr>
          <w:p>
            <w:r>
              <w:rPr>
                <w:rFonts w:ascii="IBM Plex Mono" w:cs="IBM Plex Mono" w:eastAsia="IBM Plex Mono" w:hAnsi="IBM Plex Mono"/>
                <w:color w:val="334155"/>
                <w:sz w:val="18"/>
                <w:szCs w:val="18"/>
              </w:rPr>
              <w:t xml:space="preserve">Dokumen resmi Konsil Kesehatan Indonesia, ditetapkan di Jakarta 7 Mei 2026</w:t>
            </w:r>
          </w:p>
        </w:tc>
      </w:tr>
      <w:tr>
        <w:tc>
          <w:tcPr>
            <w:tcW w:type="dxa" w:w="2337"/>
            <w:shd w:fill="F1F5F9" w:val="clear"/>
            <w:tcMar>
              <w:top w:type="dxa" w:w="100"/>
              <w:left w:type="dxa" w:w="100"/>
              <w:bottom w:type="dxa" w:w="100"/>
              <w:right w:type="dxa" w:w="100"/>
            </w:tcMar>
          </w:tcPr>
          <w:p>
            <w:r>
              <w:rPr>
                <w:rFonts w:ascii="IBM Plex Mono" w:cs="IBM Plex Mono" w:eastAsia="IBM Plex Mono" w:hAnsi="IBM Plex Mono"/>
                <w:color w:val="334155"/>
                <w:sz w:val="18"/>
                <w:szCs w:val="18"/>
              </w:rPr>
              <w:t xml:space="preserve">2</w:t>
            </w:r>
          </w:p>
        </w:tc>
        <w:tc>
          <w:tcPr>
            <w:tcW w:type="dxa" w:w="2337"/>
            <w:shd w:fill="F1F5F9" w:val="clear"/>
            <w:tcMar>
              <w:top w:type="dxa" w:w="100"/>
              <w:left w:type="dxa" w:w="100"/>
              <w:bottom w:type="dxa" w:w="100"/>
              <w:right w:type="dxa" w:w="100"/>
            </w:tcMar>
          </w:tcPr>
          <w:p>
            <w:r>
              <w:rPr>
                <w:rFonts w:ascii="IBM Plex Mono" w:cs="IBM Plex Mono" w:eastAsia="IBM Plex Mono" w:hAnsi="IBM Plex Mono"/>
                <w:color w:val="334155"/>
                <w:sz w:val="18"/>
                <w:szCs w:val="18"/>
              </w:rPr>
              <w:t xml:space="preserve">World Health Organization. Guidelines for the Management of Symptomatic Sexually Transmitted Infections</w:t>
            </w:r>
          </w:p>
        </w:tc>
        <w:tc>
          <w:tcPr>
            <w:tcW w:type="dxa" w:w="2337"/>
            <w:shd w:fill="F1F5F9" w:val="clear"/>
            <w:tcMar>
              <w:top w:type="dxa" w:w="100"/>
              <w:left w:type="dxa" w:w="100"/>
              <w:bottom w:type="dxa" w:w="100"/>
              <w:right w:type="dxa" w:w="100"/>
            </w:tcMar>
          </w:tcPr>
          <w:p>
            <w:r>
              <w:rPr>
                <w:rFonts w:ascii="IBM Plex Mono" w:cs="IBM Plex Mono" w:eastAsia="IBM Plex Mono" w:hAnsi="IBM Plex Mono"/>
                <w:color w:val="334155"/>
                <w:sz w:val="18"/>
                <w:szCs w:val="18"/>
              </w:rPr>
              <w:t xml:space="preserve">2021</w:t>
            </w:r>
          </w:p>
        </w:tc>
        <w:tc>
          <w:tcPr>
            <w:tcW w:type="dxa" w:w="2337"/>
            <w:shd w:fill="F1F5F9" w:val="clear"/>
            <w:tcMar>
              <w:top w:type="dxa" w:w="100"/>
              <w:left w:type="dxa" w:w="100"/>
              <w:bottom w:type="dxa" w:w="100"/>
              <w:right w:type="dxa" w:w="100"/>
            </w:tcMar>
          </w:tcPr>
          <w:p>
            <w:r>
              <w:rPr>
                <w:rFonts w:ascii="IBM Plex Mono" w:cs="IBM Plex Mono" w:eastAsia="IBM Plex Mono" w:hAnsi="IBM Plex Mono"/>
                <w:color w:val="334155"/>
                <w:sz w:val="18"/>
                <w:szCs w:val="18"/>
              </w:rPr>
              <w:t xml:space="preserve">who.int/publications/i/item/9789240024168</w:t>
            </w:r>
          </w:p>
        </w:tc>
      </w:tr>
      <w:tr>
        <w:tc>
          <w:tcPr>
            <w:tcW w:type="dxa" w:w="2337"/>
            <w:shd w:fill="FFFFFF" w:val="clear"/>
            <w:tcMar>
              <w:top w:type="dxa" w:w="100"/>
              <w:left w:type="dxa" w:w="100"/>
              <w:bottom w:type="dxa" w:w="100"/>
              <w:right w:type="dxa" w:w="100"/>
            </w:tcMar>
          </w:tcPr>
          <w:p>
            <w:r>
              <w:rPr>
                <w:rFonts w:ascii="IBM Plex Mono" w:cs="IBM Plex Mono" w:eastAsia="IBM Plex Mono" w:hAnsi="IBM Plex Mono"/>
                <w:color w:val="334155"/>
                <w:sz w:val="18"/>
                <w:szCs w:val="18"/>
              </w:rPr>
              <w:t xml:space="preserve">3</w:t>
            </w:r>
          </w:p>
        </w:tc>
        <w:tc>
          <w:tcPr>
            <w:tcW w:type="dxa" w:w="2337"/>
            <w:shd w:fill="FFFFFF" w:val="clear"/>
            <w:tcMar>
              <w:top w:type="dxa" w:w="100"/>
              <w:left w:type="dxa" w:w="100"/>
              <w:bottom w:type="dxa" w:w="100"/>
              <w:right w:type="dxa" w:w="100"/>
            </w:tcMar>
          </w:tcPr>
          <w:p>
            <w:r>
              <w:rPr>
                <w:rFonts w:ascii="IBM Plex Mono" w:cs="IBM Plex Mono" w:eastAsia="IBM Plex Mono" w:hAnsi="IBM Plex Mono"/>
                <w:color w:val="334155"/>
                <w:sz w:val="18"/>
                <w:szCs w:val="18"/>
              </w:rPr>
              <w:t xml:space="preserve">Centers for Disease Control and Prevention. Sexually Transmitted Infections Treatment Guidelines, 2021</w:t>
            </w:r>
          </w:p>
        </w:tc>
        <w:tc>
          <w:tcPr>
            <w:tcW w:type="dxa" w:w="2337"/>
            <w:shd w:fill="FFFFFF" w:val="clear"/>
            <w:tcMar>
              <w:top w:type="dxa" w:w="100"/>
              <w:left w:type="dxa" w:w="100"/>
              <w:bottom w:type="dxa" w:w="100"/>
              <w:right w:type="dxa" w:w="100"/>
            </w:tcMar>
          </w:tcPr>
          <w:p>
            <w:r>
              <w:rPr>
                <w:rFonts w:ascii="IBM Plex Mono" w:cs="IBM Plex Mono" w:eastAsia="IBM Plex Mono" w:hAnsi="IBM Plex Mono"/>
                <w:color w:val="334155"/>
                <w:sz w:val="18"/>
                <w:szCs w:val="18"/>
              </w:rPr>
              <w:t xml:space="preserve">2021</w:t>
            </w:r>
          </w:p>
        </w:tc>
        <w:tc>
          <w:tcPr>
            <w:tcW w:type="dxa" w:w="2337"/>
            <w:shd w:fill="FFFFFF" w:val="clear"/>
            <w:tcMar>
              <w:top w:type="dxa" w:w="100"/>
              <w:left w:type="dxa" w:w="100"/>
              <w:bottom w:type="dxa" w:w="100"/>
              <w:right w:type="dxa" w:w="100"/>
            </w:tcMar>
          </w:tcPr>
          <w:p>
            <w:r>
              <w:rPr>
                <w:rFonts w:ascii="IBM Plex Mono" w:cs="IBM Plex Mono" w:eastAsia="IBM Plex Mono" w:hAnsi="IBM Plex Mono"/>
                <w:color w:val="334155"/>
                <w:sz w:val="18"/>
                <w:szCs w:val="18"/>
              </w:rPr>
              <w:t xml:space="preserve">cdc.gov/sti/hcp/clinical-guidance/index.html</w:t>
            </w:r>
          </w:p>
        </w:tc>
      </w:tr>
      <w:tr>
        <w:tc>
          <w:tcPr>
            <w:tcW w:type="dxa" w:w="2337"/>
            <w:shd w:fill="F1F5F9" w:val="clear"/>
            <w:tcMar>
              <w:top w:type="dxa" w:w="100"/>
              <w:left w:type="dxa" w:w="100"/>
              <w:bottom w:type="dxa" w:w="100"/>
              <w:right w:type="dxa" w:w="100"/>
            </w:tcMar>
          </w:tcPr>
          <w:p>
            <w:r>
              <w:rPr>
                <w:rFonts w:ascii="IBM Plex Mono" w:cs="IBM Plex Mono" w:eastAsia="IBM Plex Mono" w:hAnsi="IBM Plex Mono"/>
                <w:color w:val="334155"/>
                <w:sz w:val="18"/>
                <w:szCs w:val="18"/>
              </w:rPr>
              <w:t xml:space="preserve">4</w:t>
            </w:r>
          </w:p>
        </w:tc>
        <w:tc>
          <w:tcPr>
            <w:tcW w:type="dxa" w:w="2337"/>
            <w:shd w:fill="F1F5F9" w:val="clear"/>
            <w:tcMar>
              <w:top w:type="dxa" w:w="100"/>
              <w:left w:type="dxa" w:w="100"/>
              <w:bottom w:type="dxa" w:w="100"/>
              <w:right w:type="dxa" w:w="100"/>
            </w:tcMar>
          </w:tcPr>
          <w:p>
            <w:r>
              <w:rPr>
                <w:rFonts w:ascii="IBM Plex Mono" w:cs="IBM Plex Mono" w:eastAsia="IBM Plex Mono" w:hAnsi="IBM Plex Mono"/>
                <w:color w:val="334155"/>
                <w:sz w:val="18"/>
                <w:szCs w:val="18"/>
              </w:rPr>
              <w:t xml:space="preserve">American College of Obstetricians and Gynecologists. Practice Bulletin No. 195: Prevention of Infection After Gynecologic Procedures. Obstet Gynecol 2018;131:e172-e189</w:t>
            </w:r>
          </w:p>
        </w:tc>
        <w:tc>
          <w:tcPr>
            <w:tcW w:type="dxa" w:w="2337"/>
            <w:shd w:fill="F1F5F9" w:val="clear"/>
            <w:tcMar>
              <w:top w:type="dxa" w:w="100"/>
              <w:left w:type="dxa" w:w="100"/>
              <w:bottom w:type="dxa" w:w="100"/>
              <w:right w:type="dxa" w:w="100"/>
            </w:tcMar>
          </w:tcPr>
          <w:p>
            <w:r>
              <w:rPr>
                <w:rFonts w:ascii="IBM Plex Mono" w:cs="IBM Plex Mono" w:eastAsia="IBM Plex Mono" w:hAnsi="IBM Plex Mono"/>
                <w:color w:val="334155"/>
                <w:sz w:val="18"/>
                <w:szCs w:val="18"/>
              </w:rPr>
              <w:t xml:space="preserve">2018</w:t>
            </w:r>
          </w:p>
        </w:tc>
        <w:tc>
          <w:tcPr>
            <w:tcW w:type="dxa" w:w="2337"/>
            <w:shd w:fill="F1F5F9" w:val="clear"/>
            <w:tcMar>
              <w:top w:type="dxa" w:w="100"/>
              <w:left w:type="dxa" w:w="100"/>
              <w:bottom w:type="dxa" w:w="100"/>
              <w:right w:type="dxa" w:w="100"/>
            </w:tcMar>
          </w:tcPr>
          <w:p>
            <w:r>
              <w:rPr>
                <w:rFonts w:ascii="IBM Plex Mono" w:cs="IBM Plex Mono" w:eastAsia="IBM Plex Mono" w:hAnsi="IBM Plex Mono"/>
                <w:color w:val="334155"/>
                <w:sz w:val="18"/>
                <w:szCs w:val="18"/>
              </w:rPr>
              <w:t xml:space="preserve">doi.org/10.1097/AOG.0000000000002670</w:t>
            </w:r>
          </w:p>
        </w:tc>
      </w:tr>
      <w:tr>
        <w:tc>
          <w:tcPr>
            <w:tcW w:type="dxa" w:w="2337"/>
            <w:shd w:fill="FFFFFF" w:val="clear"/>
            <w:tcMar>
              <w:top w:type="dxa" w:w="100"/>
              <w:left w:type="dxa" w:w="100"/>
              <w:bottom w:type="dxa" w:w="100"/>
              <w:right w:type="dxa" w:w="100"/>
            </w:tcMar>
          </w:tcPr>
          <w:p>
            <w:r>
              <w:rPr>
                <w:rFonts w:ascii="IBM Plex Mono" w:cs="IBM Plex Mono" w:eastAsia="IBM Plex Mono" w:hAnsi="IBM Plex Mono"/>
                <w:color w:val="334155"/>
                <w:sz w:val="18"/>
                <w:szCs w:val="18"/>
              </w:rPr>
              <w:t xml:space="preserve">5</w:t>
            </w:r>
          </w:p>
        </w:tc>
        <w:tc>
          <w:tcPr>
            <w:tcW w:type="dxa" w:w="2337"/>
            <w:shd w:fill="FFFFFF" w:val="clear"/>
            <w:tcMar>
              <w:top w:type="dxa" w:w="100"/>
              <w:left w:type="dxa" w:w="100"/>
              <w:bottom w:type="dxa" w:w="100"/>
              <w:right w:type="dxa" w:w="100"/>
            </w:tcMar>
          </w:tcPr>
          <w:p>
            <w:r>
              <w:rPr>
                <w:rFonts w:ascii="IBM Plex Mono" w:cs="IBM Plex Mono" w:eastAsia="IBM Plex Mono" w:hAnsi="IBM Plex Mono"/>
                <w:color w:val="334155"/>
                <w:sz w:val="18"/>
                <w:szCs w:val="18"/>
              </w:rPr>
              <w:t xml:space="preserve">National Institute for Health and Care Excellence. Balloon Catheter Insertion for Bartholin's Cyst or Abscess (dahulu IPG323, kini HealthTech Guidance 204)</w:t>
            </w:r>
          </w:p>
        </w:tc>
        <w:tc>
          <w:tcPr>
            <w:tcW w:type="dxa" w:w="2337"/>
            <w:shd w:fill="FFFFFF" w:val="clear"/>
            <w:tcMar>
              <w:top w:type="dxa" w:w="100"/>
              <w:left w:type="dxa" w:w="100"/>
              <w:bottom w:type="dxa" w:w="100"/>
              <w:right w:type="dxa" w:w="100"/>
            </w:tcMar>
          </w:tcPr>
          <w:p>
            <w:r>
              <w:rPr>
                <w:rFonts w:ascii="IBM Plex Mono" w:cs="IBM Plex Mono" w:eastAsia="IBM Plex Mono" w:hAnsi="IBM Plex Mono"/>
                <w:color w:val="334155"/>
                <w:sz w:val="18"/>
                <w:szCs w:val="18"/>
              </w:rPr>
              <w:t xml:space="preserve">2009, ditinjau berkelanjutan</w:t>
            </w:r>
          </w:p>
        </w:tc>
        <w:tc>
          <w:tcPr>
            <w:tcW w:type="dxa" w:w="2337"/>
            <w:shd w:fill="FFFFFF" w:val="clear"/>
            <w:tcMar>
              <w:top w:type="dxa" w:w="100"/>
              <w:left w:type="dxa" w:w="100"/>
              <w:bottom w:type="dxa" w:w="100"/>
              <w:right w:type="dxa" w:w="100"/>
            </w:tcMar>
          </w:tcPr>
          <w:p>
            <w:r>
              <w:rPr>
                <w:rFonts w:ascii="IBM Plex Mono" w:cs="IBM Plex Mono" w:eastAsia="IBM Plex Mono" w:hAnsi="IBM Plex Mono"/>
                <w:color w:val="334155"/>
                <w:sz w:val="18"/>
                <w:szCs w:val="18"/>
              </w:rPr>
              <w:t xml:space="preserve">nice.org.uk/guidance/ipg323</w:t>
            </w:r>
          </w:p>
        </w:tc>
      </w:tr>
      <w:tr>
        <w:tc>
          <w:tcPr>
            <w:tcW w:type="dxa" w:w="2337"/>
            <w:shd w:fill="F1F5F9" w:val="clear"/>
            <w:tcMar>
              <w:top w:type="dxa" w:w="100"/>
              <w:left w:type="dxa" w:w="100"/>
              <w:bottom w:type="dxa" w:w="100"/>
              <w:right w:type="dxa" w:w="100"/>
            </w:tcMar>
          </w:tcPr>
          <w:p>
            <w:r>
              <w:rPr>
                <w:rFonts w:ascii="IBM Plex Mono" w:cs="IBM Plex Mono" w:eastAsia="IBM Plex Mono" w:hAnsi="IBM Plex Mono"/>
                <w:color w:val="334155"/>
                <w:sz w:val="18"/>
                <w:szCs w:val="18"/>
              </w:rPr>
              <w:t xml:space="preserve">6</w:t>
            </w:r>
          </w:p>
        </w:tc>
        <w:tc>
          <w:tcPr>
            <w:tcW w:type="dxa" w:w="2337"/>
            <w:shd w:fill="F1F5F9" w:val="clear"/>
            <w:tcMar>
              <w:top w:type="dxa" w:w="100"/>
              <w:left w:type="dxa" w:w="100"/>
              <w:bottom w:type="dxa" w:w="100"/>
              <w:right w:type="dxa" w:w="100"/>
            </w:tcMar>
          </w:tcPr>
          <w:p>
            <w:r>
              <w:rPr>
                <w:rFonts w:ascii="IBM Plex Mono" w:cs="IBM Plex Mono" w:eastAsia="IBM Plex Mono" w:hAnsi="IBM Plex Mono"/>
                <w:color w:val="334155"/>
                <w:sz w:val="18"/>
                <w:szCs w:val="18"/>
              </w:rPr>
              <w:t xml:space="preserve">International Confederation of Midwives. Essential Competencies for Midwifery Practice (revisi 2024, menggantikan edisi 2019)</w:t>
            </w:r>
          </w:p>
        </w:tc>
        <w:tc>
          <w:tcPr>
            <w:tcW w:type="dxa" w:w="2337"/>
            <w:shd w:fill="F1F5F9" w:val="clear"/>
            <w:tcMar>
              <w:top w:type="dxa" w:w="100"/>
              <w:left w:type="dxa" w:w="100"/>
              <w:bottom w:type="dxa" w:w="100"/>
              <w:right w:type="dxa" w:w="100"/>
            </w:tcMar>
          </w:tcPr>
          <w:p>
            <w:r>
              <w:rPr>
                <w:rFonts w:ascii="IBM Plex Mono" w:cs="IBM Plex Mono" w:eastAsia="IBM Plex Mono" w:hAnsi="IBM Plex Mono"/>
                <w:color w:val="334155"/>
                <w:sz w:val="18"/>
                <w:szCs w:val="18"/>
              </w:rPr>
              <w:t xml:space="preserve">2024</w:t>
            </w:r>
          </w:p>
        </w:tc>
        <w:tc>
          <w:tcPr>
            <w:tcW w:type="dxa" w:w="2337"/>
            <w:shd w:fill="F1F5F9" w:val="clear"/>
            <w:tcMar>
              <w:top w:type="dxa" w:w="100"/>
              <w:left w:type="dxa" w:w="100"/>
              <w:bottom w:type="dxa" w:w="100"/>
              <w:right w:type="dxa" w:w="100"/>
            </w:tcMar>
          </w:tcPr>
          <w:p>
            <w:r>
              <w:rPr>
                <w:rFonts w:ascii="IBM Plex Mono" w:cs="IBM Plex Mono" w:eastAsia="IBM Plex Mono" w:hAnsi="IBM Plex Mono"/>
                <w:color w:val="334155"/>
                <w:sz w:val="18"/>
                <w:szCs w:val="18"/>
              </w:rPr>
              <w:t xml:space="preserve">internationalmidwives.org/resources/essential-competencies-for-midwifery-practice/</w:t>
            </w:r>
          </w:p>
        </w:tc>
      </w:tr>
      <w:tr>
        <w:tc>
          <w:tcPr>
            <w:tcW w:type="dxa" w:w="2337"/>
            <w:shd w:fill="FFFFFF" w:val="clear"/>
            <w:tcMar>
              <w:top w:type="dxa" w:w="100"/>
              <w:left w:type="dxa" w:w="100"/>
              <w:bottom w:type="dxa" w:w="100"/>
              <w:right w:type="dxa" w:w="100"/>
            </w:tcMar>
          </w:tcPr>
          <w:p>
            <w:r>
              <w:rPr>
                <w:rFonts w:ascii="IBM Plex Mono" w:cs="IBM Plex Mono" w:eastAsia="IBM Plex Mono" w:hAnsi="IBM Plex Mono"/>
                <w:color w:val="334155"/>
                <w:sz w:val="18"/>
                <w:szCs w:val="18"/>
              </w:rPr>
              <w:t xml:space="preserve">7</w:t>
            </w:r>
          </w:p>
        </w:tc>
        <w:tc>
          <w:tcPr>
            <w:tcW w:type="dxa" w:w="2337"/>
            <w:shd w:fill="FFFFFF" w:val="clear"/>
            <w:tcMar>
              <w:top w:type="dxa" w:w="100"/>
              <w:left w:type="dxa" w:w="100"/>
              <w:bottom w:type="dxa" w:w="100"/>
              <w:right w:type="dxa" w:w="100"/>
            </w:tcMar>
          </w:tcPr>
          <w:p>
            <w:r>
              <w:rPr>
                <w:rFonts w:ascii="IBM Plex Mono" w:cs="IBM Plex Mono" w:eastAsia="IBM Plex Mono" w:hAnsi="IBM Plex Mono"/>
                <w:color w:val="334155"/>
                <w:sz w:val="18"/>
                <w:szCs w:val="18"/>
              </w:rPr>
              <w:t xml:space="preserve">Malarcher S (ed.), World Health Organization. Social Determinants of Sexual and Reproductive Health: Informing Future Research and Programme Implementation</w:t>
            </w:r>
          </w:p>
        </w:tc>
        <w:tc>
          <w:tcPr>
            <w:tcW w:type="dxa" w:w="2337"/>
            <w:shd w:fill="FFFFFF" w:val="clear"/>
            <w:tcMar>
              <w:top w:type="dxa" w:w="100"/>
              <w:left w:type="dxa" w:w="100"/>
              <w:bottom w:type="dxa" w:w="100"/>
              <w:right w:type="dxa" w:w="100"/>
            </w:tcMar>
          </w:tcPr>
          <w:p>
            <w:r>
              <w:rPr>
                <w:rFonts w:ascii="IBM Plex Mono" w:cs="IBM Plex Mono" w:eastAsia="IBM Plex Mono" w:hAnsi="IBM Plex Mono"/>
                <w:color w:val="334155"/>
                <w:sz w:val="18"/>
                <w:szCs w:val="18"/>
              </w:rPr>
              <w:t xml:space="preserve">2010</w:t>
            </w:r>
          </w:p>
        </w:tc>
        <w:tc>
          <w:tcPr>
            <w:tcW w:type="dxa" w:w="2337"/>
            <w:shd w:fill="FFFFFF" w:val="clear"/>
            <w:tcMar>
              <w:top w:type="dxa" w:w="100"/>
              <w:left w:type="dxa" w:w="100"/>
              <w:bottom w:type="dxa" w:w="100"/>
              <w:right w:type="dxa" w:w="100"/>
            </w:tcMar>
          </w:tcPr>
          <w:p>
            <w:r>
              <w:rPr>
                <w:rFonts w:ascii="IBM Plex Mono" w:cs="IBM Plex Mono" w:eastAsia="IBM Plex Mono" w:hAnsi="IBM Plex Mono"/>
                <w:color w:val="334155"/>
                <w:sz w:val="18"/>
                <w:szCs w:val="18"/>
              </w:rPr>
              <w:t xml:space="preserve">iris.who.int/handle/10665/44344</w:t>
            </w:r>
          </w:p>
        </w:tc>
      </w:tr>
    </w:tbl>
    <w:p>
      <w:pPr>
        <w:spacing w:after="160"/>
      </w:pPr>
    </w:p>
    <w:p>
      <w:r>
        <w:br w:type="page"/>
      </w:r>
    </w:p>
    <w:sectPr>
      <w:headerReference w:type="default" r:id="rId7"/>
      <w:footerReference w:type="default" r:id="rId8"/>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BD5E1" w:sz="4" w:space="4"/>
      </w:pBdr>
      <w:jc w:val="center"/>
    </w:pPr>
    <w:r>
      <w:rPr>
        <w:rFonts w:ascii="IBM Plex Sans" w:cs="IBM Plex Sans" w:eastAsia="IBM Plex Sans" w:hAnsi="IBM Plex Sans"/>
        <w:color w:val="64748B"/>
        <w:sz w:val="16"/>
        <w:szCs w:val="16"/>
      </w:rPr>
      <w:t xml:space="preserve">Dokumen 7 dari 15 — </w:t>
    </w:r>
    <w:r>
      <w:rPr>
        <w:rFonts w:ascii="IBM Plex Sans" w:cs="IBM Plex Sans" w:eastAsia="IBM Plex Sans" w:hAnsi="IBM Plex Sans"/>
        <w:color w:val="64748B"/>
        <w:sz w:val="16"/>
        <w:szCs w:val="16"/>
      </w:rPr>
      <w:t xml:space="preserve">Halaman </w:t>
    </w:r>
    <w:r>
      <w:rPr>
        <w:rFonts w:ascii="IBM Plex Sans" w:cs="IBM Plex Sans" w:eastAsia="IBM Plex Sans" w:hAnsi="IBM Plex Sans"/>
        <w:color w:val="64748B"/>
        <w:sz w:val="16"/>
        <w:szCs w:val="16"/>
      </w:rPr>
      <w:fldChar w:fldCharType="begin"/>
      <w:instrText xml:space="preserve">PAGE</w:instrText>
      <w:fldChar w:fldCharType="separate"/>
      <w:fldChar w:fldCharType="end"/>
    </w:r>
    <w:r>
      <w:rPr>
        <w:rFonts w:ascii="IBM Plex Sans" w:cs="IBM Plex Sans" w:eastAsia="IBM Plex Sans" w:hAnsi="IBM Plex Sans"/>
        <w:color w:val="64748B"/>
        <w:sz w:val="16"/>
        <w:szCs w:val="16"/>
      </w:rPr>
      <w:t xml:space="preserve"> dari </w:t>
    </w:r>
    <w:r>
      <w:rPr>
        <w:rFonts w:ascii="IBM Plex Sans" w:cs="IBM Plex Sans" w:eastAsia="IBM Plex Sans" w:hAnsi="IBM Plex Sans"/>
        <w:color w:val="64748B"/>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BD5E1" w:sz="4" w:space="4"/>
      </w:pBdr>
      <w:tabs>
        <w:tab w:val="right" w:pos="9026"/>
      </w:tabs>
    </w:pPr>
    <w:r>
      <w:rPr>
        <w:rFonts w:ascii="IBM Plex Sans" w:cs="IBM Plex Sans" w:eastAsia="IBM Plex Sans" w:hAnsi="IBM Plex Sans"/>
        <w:color w:val="64748B"/>
        <w:sz w:val="16"/>
        <w:szCs w:val="16"/>
      </w:rPr>
      <w:t xml:space="preserve">Ginekologi Umum dan Infeksi Saluran Reproduksi</w:t>
    </w:r>
    <w:r>
      <w:rPr>
        <w:rFonts w:ascii="IBM Plex Mono" w:cs="IBM Plex Mono" w:eastAsia="IBM Plex Mono" w:hAnsi="IBM Plex Mono"/>
        <w:color w:val="64748B"/>
        <w:sz w:val="16"/>
        <w:szCs w:val="16"/>
      </w:rPr>
      <w:t xml:space="preserve">	B6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BM Plex Sans" w:cs="IBM Plex Sans" w:eastAsia="IBM Plex Sans" w:hAnsi="IBM Plex Sans"/>
        <w:color w:val="334155"/>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2026-08-16T22:23:09.944Z</dcterms:created>
  <dcterms:modified xsi:type="dcterms:W3CDTF">2026-08-16T22:23:09.957Z</dcterms:modified>
</cp:coreProperties>
</file>

<file path=docProps/custom.xml><?xml version="1.0" encoding="utf-8"?>
<Properties xmlns="http://schemas.openxmlformats.org/officeDocument/2006/custom-properties" xmlns:vt="http://schemas.openxmlformats.org/officeDocument/2006/docPropsVTypes"/>
</file>