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600"/>
        <w:jc w:val="center"/>
      </w:pPr>
      <w:r>
        <w:rPr>
          <w:rFonts w:ascii="IBM Plex Sans" w:cs="IBM Plex Sans" w:eastAsia="IBM Plex Sans" w:hAnsi="IBM Plex Sans"/>
          <w:b/>
          <w:bCs/>
          <w:color w:val="B45309"/>
          <w:sz w:val="22"/>
          <w:szCs w:val="22"/>
        </w:rPr>
        <w:t xml:space="preserve">EKOSISTEM LITERATUR STANDAR SpOG</w:t>
      </w:r>
    </w:p>
    <w:p>
      <w:pPr>
        <w:spacing w:after="400"/>
        <w:jc w:val="center"/>
      </w:pPr>
      <w:r>
        <w:rPr>
          <w:rFonts w:ascii="IBM Plex Sans" w:cs="IBM Plex Sans" w:eastAsia="IBM Plex Sans" w:hAnsi="IBM Plex Sans"/>
          <w:color w:val="64748B"/>
          <w:sz w:val="20"/>
          <w:szCs w:val="20"/>
        </w:rPr>
        <w:t xml:space="preserve">Buku Tematik — Kode Unit B9</w:t>
      </w:r>
    </w:p>
    <w:p>
      <w:pPr>
        <w:spacing w:after="300"/>
        <w:jc w:val="center"/>
      </w:pPr>
      <w:r>
        <w:rPr>
          <w:rFonts w:ascii="Source Serif 4" w:cs="Source Serif 4" w:eastAsia="Source Serif 4" w:hAnsi="Source Serif 4"/>
          <w:b/>
          <w:bCs/>
          <w:color w:val="4F46E5"/>
          <w:sz w:val="46"/>
          <w:szCs w:val="46"/>
        </w:rPr>
        <w:t xml:space="preserve">Menopause, Uroginekologi Dasar, dan Prolaps Organ Panggul</w:t>
      </w:r>
    </w:p>
    <w:p>
      <w:pPr>
        <w:spacing w:after="600"/>
        <w:jc w:val="center"/>
      </w:pPr>
      <w:r>
        <w:rPr>
          <w:rFonts w:ascii="Source Serif 4" w:cs="Source Serif 4" w:eastAsia="Source Serif 4" w:hAnsi="Source Serif 4"/>
          <w:i/>
          <w:iCs/>
          <w:color w:val="334155"/>
          <w:sz w:val="24"/>
          <w:szCs w:val="24"/>
        </w:rPr>
        <w:t xml:space="preserve">Menopause, Uroginekologi Dasar, dan Prolaps Organ Panggul</w:t>
      </w:r>
    </w:p>
    <w:tbl>
      <w:tblPr>
        <w:tblW w:type="pct" w:w="70%"/>
        <w:jc w:val="center"/>
        <w:tblBorders>
          <w:top w:val="single" w:color="4F46E5" w:sz="6"/>
          <w:left w:val="single" w:color="4F46E5" w:sz="6"/>
          <w:bottom w:val="single" w:color="4F46E5" w:sz="6"/>
          <w:right w:val="single" w:color="4F46E5" w:sz="6"/>
          <w:insideH w:val="single" w:color="CBD5E1" w:sz="2"/>
          <w:insideV w:val="none"/>
        </w:tblBorders>
      </w:tblPr>
      <w:tblGrid>
        <w:gridCol w:w="100"/>
        <w:gridCol w:w="100"/>
      </w:tblGrid>
      <w:tr>
        <w:tc>
          <w:tcPr>
            <w:tcW w:type="pct" w:w="35%"/>
            <w:shd w:fill="EEF2FF" w:val="clear"/>
            <w:tcMar>
              <w:top w:type="dxa" w:w="120"/>
              <w:left w:type="dxa" w:w="160"/>
              <w:bottom w:type="dxa" w:w="120"/>
              <w:right w:type="dxa" w:w="160"/>
            </w:tcMar>
          </w:tcPr>
          <w:p>
            <w:r>
              <w:rPr>
                <w:rFonts w:ascii="IBM Plex Sans" w:cs="IBM Plex Sans" w:eastAsia="IBM Plex Sans" w:hAnsi="IBM Plex Sans"/>
                <w:b/>
                <w:bCs/>
                <w:color w:val="4F46E5"/>
                <w:sz w:val="19"/>
                <w:szCs w:val="19"/>
              </w:rPr>
              <w:t xml:space="preserve">Divisi Pengampu Kontribusi</w:t>
            </w:r>
          </w:p>
        </w:tc>
        <w:tc>
          <w:tcPr>
            <w:tcW w:type="pct" w:w="65%"/>
            <w:tcMar>
              <w:top w:type="dxa" w:w="120"/>
              <w:left w:type="dxa" w:w="160"/>
              <w:bottom w:type="dxa" w:w="120"/>
              <w:right w:type="dxa" w:w="160"/>
            </w:tcMar>
          </w:tcPr>
          <w:p>
            <w:r>
              <w:rPr>
                <w:rFonts w:ascii="IBM Plex Sans" w:cs="IBM Plex Sans" w:eastAsia="IBM Plex Sans" w:hAnsi="IBM Plex Sans"/>
                <w:color w:val="334155"/>
                <w:sz w:val="19"/>
                <w:szCs w:val="19"/>
              </w:rPr>
              <w:t xml:space="preserve">Uroginekologi Rekonstruksi</w:t>
            </w:r>
          </w:p>
        </w:tc>
      </w:tr>
      <w:tr>
        <w:tc>
          <w:tcPr>
            <w:tcW w:type="pct" w:w="35%"/>
            <w:shd w:fill="EEF2FF" w:val="clear"/>
            <w:tcMar>
              <w:top w:type="dxa" w:w="120"/>
              <w:left w:type="dxa" w:w="160"/>
              <w:bottom w:type="dxa" w:w="120"/>
              <w:right w:type="dxa" w:w="160"/>
            </w:tcMar>
          </w:tcPr>
          <w:p>
            <w:r>
              <w:rPr>
                <w:rFonts w:ascii="IBM Plex Sans" w:cs="IBM Plex Sans" w:eastAsia="IBM Plex Sans" w:hAnsi="IBM Plex Sans"/>
                <w:b/>
                <w:bCs/>
                <w:color w:val="4F46E5"/>
                <w:sz w:val="19"/>
                <w:szCs w:val="19"/>
              </w:rPr>
              <w:t xml:space="preserve">Audiens Utama</w:t>
            </w:r>
          </w:p>
        </w:tc>
        <w:tc>
          <w:tcPr>
            <w:tcW w:type="pct" w:w="65%"/>
            <w:tcMar>
              <w:top w:type="dxa" w:w="120"/>
              <w:left w:type="dxa" w:w="160"/>
              <w:bottom w:type="dxa" w:w="120"/>
              <w:right w:type="dxa" w:w="160"/>
            </w:tcMar>
          </w:tcPr>
          <w:p>
            <w:r>
              <w:rPr>
                <w:rFonts w:ascii="IBM Plex Sans" w:cs="IBM Plex Sans" w:eastAsia="IBM Plex Sans" w:hAnsi="IBM Plex Sans"/>
                <w:color w:val="334155"/>
                <w:sz w:val="19"/>
                <w:szCs w:val="19"/>
              </w:rPr>
              <w:t xml:space="preserve">Peserta Didik Program Pendidikan Dokter Spesialis (PPDS) Obstetri dan Ginekologi, Tahun II–IV</w:t>
            </w:r>
          </w:p>
        </w:tc>
      </w:tr>
      <w:tr>
        <w:tc>
          <w:tcPr>
            <w:tcW w:type="pct" w:w="35%"/>
            <w:shd w:fill="EEF2FF" w:val="clear"/>
            <w:tcMar>
              <w:top w:type="dxa" w:w="120"/>
              <w:left w:type="dxa" w:w="160"/>
              <w:bottom w:type="dxa" w:w="120"/>
              <w:right w:type="dxa" w:w="160"/>
            </w:tcMar>
          </w:tcPr>
          <w:p>
            <w:r>
              <w:rPr>
                <w:rFonts w:ascii="IBM Plex Sans" w:cs="IBM Plex Sans" w:eastAsia="IBM Plex Sans" w:hAnsi="IBM Plex Sans"/>
                <w:b/>
                <w:bCs/>
                <w:color w:val="4F46E5"/>
                <w:sz w:val="19"/>
                <w:szCs w:val="19"/>
              </w:rPr>
              <w:t xml:space="preserve">Dokumen</w:t>
            </w:r>
          </w:p>
        </w:tc>
        <w:tc>
          <w:tcPr>
            <w:tcW w:type="pct" w:w="65%"/>
            <w:tcMar>
              <w:top w:type="dxa" w:w="120"/>
              <w:left w:type="dxa" w:w="160"/>
              <w:bottom w:type="dxa" w:w="120"/>
              <w:right w:type="dxa" w:w="160"/>
            </w:tcMar>
          </w:tcPr>
          <w:p>
            <w:r>
              <w:rPr>
                <w:rFonts w:ascii="IBM Plex Sans" w:cs="IBM Plex Sans" w:eastAsia="IBM Plex Sans" w:hAnsi="IBM Plex Sans"/>
                <w:color w:val="334155"/>
                <w:sz w:val="19"/>
                <w:szCs w:val="19"/>
              </w:rPr>
              <w:t xml:space="preserve">10 dari 15 (kategori Buku Tematik)</w:t>
            </w:r>
          </w:p>
        </w:tc>
      </w:tr>
      <w:tr>
        <w:tc>
          <w:tcPr>
            <w:tcW w:type="pct" w:w="35%"/>
            <w:shd w:fill="EEF2FF" w:val="clear"/>
            <w:tcMar>
              <w:top w:type="dxa" w:w="120"/>
              <w:left w:type="dxa" w:w="160"/>
              <w:bottom w:type="dxa" w:w="120"/>
              <w:right w:type="dxa" w:w="160"/>
            </w:tcMar>
          </w:tcPr>
          <w:p>
            <w:r>
              <w:rPr>
                <w:rFonts w:ascii="IBM Plex Sans" w:cs="IBM Plex Sans" w:eastAsia="IBM Plex Sans" w:hAnsi="IBM Plex Sans"/>
                <w:b/>
                <w:bCs/>
                <w:color w:val="4F46E5"/>
                <w:sz w:val="19"/>
                <w:szCs w:val="19"/>
              </w:rPr>
              <w:t xml:space="preserve">Dasar Regulasi Utama</w:t>
            </w:r>
          </w:p>
        </w:tc>
        <w:tc>
          <w:tcPr>
            <w:tcW w:type="pct" w:w="65%"/>
            <w:tcMar>
              <w:top w:type="dxa" w:w="120"/>
              <w:left w:type="dxa" w:w="160"/>
              <w:bottom w:type="dxa" w:w="120"/>
              <w:right w:type="dxa" w:w="160"/>
            </w:tcMar>
          </w:tcPr>
          <w:p>
            <w:r>
              <w:rPr>
                <w:rFonts w:ascii="IBM Plex Sans" w:cs="IBM Plex Sans" w:eastAsia="IBM Plex Sans" w:hAnsi="IBM Plex Sans"/>
                <w:color w:val="334155"/>
                <w:sz w:val="19"/>
                <w:szCs w:val="19"/>
              </w:rPr>
              <w:t xml:space="preserve">Kepkonsil No. HK.01.02/KKI/1318/2026, Tabel 7 No. 60–64</w:t>
            </w:r>
          </w:p>
        </w:tc>
      </w:tr>
      <w:tr>
        <w:tc>
          <w:tcPr>
            <w:tcW w:type="pct" w:w="35%"/>
            <w:shd w:fill="EEF2FF" w:val="clear"/>
            <w:tcMar>
              <w:top w:type="dxa" w:w="120"/>
              <w:left w:type="dxa" w:w="160"/>
              <w:bottom w:type="dxa" w:w="120"/>
              <w:right w:type="dxa" w:w="160"/>
            </w:tcMar>
          </w:tcPr>
          <w:p>
            <w:r>
              <w:rPr>
                <w:rFonts w:ascii="IBM Plex Sans" w:cs="IBM Plex Sans" w:eastAsia="IBM Plex Sans" w:hAnsi="IBM Plex Sans"/>
                <w:b/>
                <w:bCs/>
                <w:color w:val="4F46E5"/>
                <w:sz w:val="19"/>
                <w:szCs w:val="19"/>
              </w:rPr>
              <w:t xml:space="preserve">Penulis</w:t>
            </w:r>
          </w:p>
        </w:tc>
        <w:tc>
          <w:tcPr>
            <w:tcW w:type="pct" w:w="65%"/>
            <w:tcMar>
              <w:top w:type="dxa" w:w="120"/>
              <w:left w:type="dxa" w:w="160"/>
              <w:bottom w:type="dxa" w:w="120"/>
              <w:right w:type="dxa" w:w="160"/>
            </w:tcMar>
          </w:tcPr>
          <w:p>
            <w:r>
              <w:rPr>
                <w:rFonts w:ascii="IBM Plex Sans" w:cs="IBM Plex Sans" w:eastAsia="IBM Plex Sans" w:hAnsi="IBM Plex Sans"/>
                <w:color w:val="334155"/>
                <w:sz w:val="19"/>
                <w:szCs w:val="19"/>
              </w:rPr>
              <w:t xml:space="preserve">Dr.dr. Budi Siswanto, Sp.OG., Subsp.Obginsos., SH., S.Kom.</w:t>
            </w:r>
          </w:p>
        </w:tc>
      </w:tr>
      <w:tr>
        <w:tc>
          <w:tcPr>
            <w:tcW w:type="pct" w:w="35%"/>
            <w:shd w:fill="EEF2FF" w:val="clear"/>
            <w:tcMar>
              <w:top w:type="dxa" w:w="120"/>
              <w:left w:type="dxa" w:w="160"/>
              <w:bottom w:type="dxa" w:w="120"/>
              <w:right w:type="dxa" w:w="160"/>
            </w:tcMar>
          </w:tcPr>
          <w:p>
            <w:r>
              <w:rPr>
                <w:rFonts w:ascii="IBM Plex Sans" w:cs="IBM Plex Sans" w:eastAsia="IBM Plex Sans" w:hAnsi="IBM Plex Sans"/>
                <w:b/>
                <w:bCs/>
                <w:color w:val="4F46E5"/>
                <w:sz w:val="19"/>
                <w:szCs w:val="19"/>
              </w:rPr>
              <w:t xml:space="preserve">Penerbit</w:t>
            </w:r>
          </w:p>
        </w:tc>
        <w:tc>
          <w:tcPr>
            <w:tcW w:type="pct" w:w="65%"/>
            <w:tcMar>
              <w:top w:type="dxa" w:w="120"/>
              <w:left w:type="dxa" w:w="160"/>
              <w:bottom w:type="dxa" w:w="120"/>
              <w:right w:type="dxa" w:w="160"/>
            </w:tcMar>
          </w:tcPr>
          <w:p>
            <w:r>
              <w:rPr>
                <w:rFonts w:ascii="IBM Plex Sans" w:cs="IBM Plex Sans" w:eastAsia="IBM Plex Sans" w:hAnsi="IBM Plex Sans"/>
                <w:color w:val="334155"/>
                <w:sz w:val="19"/>
                <w:szCs w:val="19"/>
              </w:rPr>
              <w:t xml:space="preserve">Perpustakaan Digital ABBA</w:t>
            </w:r>
          </w:p>
        </w:tc>
      </w:tr>
      <w:tr>
        <w:tc>
          <w:tcPr>
            <w:tcW w:type="pct" w:w="35%"/>
            <w:shd w:fill="EEF2FF" w:val="clear"/>
            <w:tcMar>
              <w:top w:type="dxa" w:w="120"/>
              <w:left w:type="dxa" w:w="160"/>
              <w:bottom w:type="dxa" w:w="120"/>
              <w:right w:type="dxa" w:w="160"/>
            </w:tcMar>
          </w:tcPr>
          <w:p>
            <w:r>
              <w:rPr>
                <w:rFonts w:ascii="IBM Plex Sans" w:cs="IBM Plex Sans" w:eastAsia="IBM Plex Sans" w:hAnsi="IBM Plex Sans"/>
                <w:b/>
                <w:bCs/>
                <w:color w:val="4F46E5"/>
                <w:sz w:val="19"/>
                <w:szCs w:val="19"/>
              </w:rPr>
              <w:t xml:space="preserve">Alamat Penerbit</w:t>
            </w:r>
          </w:p>
        </w:tc>
        <w:tc>
          <w:tcPr>
            <w:tcW w:type="pct" w:w="65%"/>
            <w:tcMar>
              <w:top w:type="dxa" w:w="120"/>
              <w:left w:type="dxa" w:w="160"/>
              <w:bottom w:type="dxa" w:w="120"/>
              <w:right w:type="dxa" w:w="160"/>
            </w:tcMar>
          </w:tcPr>
          <w:p>
            <w:r>
              <w:rPr>
                <w:rFonts w:ascii="IBM Plex Sans" w:cs="IBM Plex Sans" w:eastAsia="IBM Plex Sans" w:hAnsi="IBM Plex Sans"/>
                <w:color w:val="334155"/>
                <w:sz w:val="19"/>
                <w:szCs w:val="19"/>
              </w:rPr>
              <w:t xml:space="preserve">Jl. Kerinci Raya No. 9, Malang 65138</w:t>
            </w:r>
          </w:p>
        </w:tc>
      </w:tr>
      <w:tr>
        <w:tc>
          <w:tcPr>
            <w:tcW w:type="pct" w:w="35%"/>
            <w:shd w:fill="EEF2FF" w:val="clear"/>
            <w:tcMar>
              <w:top w:type="dxa" w:w="120"/>
              <w:left w:type="dxa" w:w="160"/>
              <w:bottom w:type="dxa" w:w="120"/>
              <w:right w:type="dxa" w:w="160"/>
            </w:tcMar>
          </w:tcPr>
          <w:p>
            <w:r>
              <w:rPr>
                <w:rFonts w:ascii="IBM Plex Sans" w:cs="IBM Plex Sans" w:eastAsia="IBM Plex Sans" w:hAnsi="IBM Plex Sans"/>
                <w:b/>
                <w:bCs/>
                <w:color w:val="4F46E5"/>
                <w:sz w:val="19"/>
                <w:szCs w:val="19"/>
              </w:rPr>
              <w:t xml:space="preserve">Edisi</w:t>
            </w:r>
          </w:p>
        </w:tc>
        <w:tc>
          <w:tcPr>
            <w:tcW w:type="pct" w:w="65%"/>
            <w:tcMar>
              <w:top w:type="dxa" w:w="120"/>
              <w:left w:type="dxa" w:w="160"/>
              <w:bottom w:type="dxa" w:w="120"/>
              <w:right w:type="dxa" w:w="160"/>
            </w:tcMar>
          </w:tcPr>
          <w:p>
            <w:r>
              <w:rPr>
                <w:rFonts w:ascii="IBM Plex Sans" w:cs="IBM Plex Sans" w:eastAsia="IBM Plex Sans" w:hAnsi="IBM Plex Sans"/>
                <w:color w:val="334155"/>
                <w:sz w:val="19"/>
                <w:szCs w:val="19"/>
              </w:rPr>
              <w:t xml:space="preserve">Cetakan Pertama, Agustus 2026</w:t>
            </w:r>
          </w:p>
        </w:tc>
      </w:tr>
    </w:tbl>
    <w:p>
      <w:r>
        <w:br w:type="page"/>
      </w:r>
    </w:p>
    <w:p>
      <w:pPr>
        <w:pStyle w:val="Heading1"/>
      </w:pPr>
      <w:r>
        <w:rPr>
          <w:rFonts w:ascii="Source Serif 4" w:cs="Source Serif 4" w:eastAsia="Source Serif 4" w:hAnsi="Source Serif 4"/>
          <w:b/>
          <w:bCs/>
          <w:color w:val="4F46E5"/>
          <w:sz w:val="34"/>
          <w:szCs w:val="34"/>
        </w:rPr>
        <w:t xml:space="preserve">Daftar Isi</w:t>
      </w:r>
    </w:p>
    <w:sdt>
      <w:sdtPr>
        <w:alias w:val="Daftar Isi"/>
      </w:sdtPr>
      <w:sdtContent>
        <w:p>
          <w:r>
            <w:fldChar w:fldCharType="begin" w:dirty="true"/>
            <w:instrText xml:space="preserve">TOC \h \o "1-3"</w:instrText>
            <w:fldChar w:fldCharType="separate"/>
          </w:r>
        </w:p>
        <w:p>
          <w:r>
            <w:fldChar w:fldCharType="end"/>
          </w:r>
        </w:p>
      </w:sdtContent>
    </w:sdt>
    <w:p>
      <w:r>
        <w:br w:type="page"/>
      </w:r>
    </w:p>
    <w:p>
      <w:pPr>
        <w:pStyle w:val="Heading1"/>
        <w:pageBreakBefore/>
        <w:pBdr>
          <w:bottom w:val="single" w:color="4F46E5" w:sz="8" w:space="8"/>
        </w:pBdr>
        <w:spacing w:after="260" w:before="0"/>
      </w:pPr>
      <w:r>
        <w:rPr>
          <w:rFonts w:ascii="Source Serif 4" w:cs="Source Serif 4" w:eastAsia="Source Serif 4" w:hAnsi="Source Serif 4"/>
          <w:b/>
          <w:bCs/>
          <w:color w:val="4F46E5"/>
          <w:sz w:val="34"/>
          <w:szCs w:val="34"/>
        </w:rPr>
        <w:t xml:space="preserve">Bab I Pendahuluan</w:t>
      </w:r>
    </w:p>
    <w:tbl>
      <w:tblPr>
        <w:tblW w:type="pct" w:w="100%"/>
        <w:tblBorders>
          <w:top w:val="single" w:color="B45309" w:sz="6"/>
          <w:left w:val="single" w:color="B45309" w:sz="6"/>
          <w:bottom w:val="single" w:color="B45309" w:sz="6"/>
          <w:right w:val="single" w:color="B45309" w:sz="6"/>
          <w:insideH w:val="none"/>
          <w:insideV w:val="none"/>
        </w:tblBorders>
      </w:tblPr>
      <w:tblGrid>
        <w:gridCol w:w="100"/>
      </w:tblGrid>
      <w:tr>
        <w:tc>
          <w:tcPr>
            <w:shd w:fill="FFFBEB"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 Dasar Regulasi</w:t>
            </w:r>
          </w:p>
          <w:p>
            <w:pPr>
              <w:spacing w:after="0" w:line="280"/>
              <w:jc w:val="both"/>
            </w:pPr>
            <w:r>
              <w:rPr>
                <w:rFonts w:ascii="IBM Plex Mono" w:cs="IBM Plex Mono" w:eastAsia="IBM Plex Mono" w:hAnsi="IBM Plex Mono"/>
                <w:color w:val="334155"/>
                <w:sz w:val="18"/>
                <w:szCs w:val="18"/>
              </w:rPr>
              <w:t xml:space="preserve">Bab ini dan seluruh isi buku disusun berdasarkan Keputusan Ketua Konsil Kesehatan Indonesia Nomor HK.01.02/KKI/1318/2026 tentang Standar Kompetensi Dokter Spesialis dan Subspesialis Bidang Obstetri dan Ginekologi, Tabel 7 (Spektrum Penyakit dan Kondisi Klinis yang Ditangani Spesialis Obstetri dan Ginekologi), entri No. 61–64, dengan rujukan silang ke entri No. 60 untuk konteks Menopause. Tabel 7 telah diekstraksi ulang langsung dari dokumen sumber Kepkonsil, bukan dari ringkasan pihak ketiga.</w:t>
            </w:r>
          </w:p>
        </w:tc>
      </w:tr>
    </w:tbl>
    <w:p>
      <w:pPr>
        <w:spacing w:after="200"/>
      </w:pPr>
      <w:r>
        <w:rPr>
          <w:sz w:val="4"/>
          <w:szCs w:val="4"/>
        </w:rPr>
        <w:t xml:space="preserve"/>
      </w:r>
    </w:p>
    <w:p>
      <w:pPr>
        <w:pStyle w:val="Heading2"/>
        <w:spacing w:after="160" w:before="300"/>
      </w:pPr>
      <w:r>
        <w:rPr>
          <w:rFonts w:ascii="Source Serif 4" w:cs="Source Serif 4" w:eastAsia="Source Serif 4" w:hAnsi="Source Serif 4"/>
          <w:b/>
          <w:bCs/>
          <w:color w:val="4F46E5"/>
          <w:sz w:val="26"/>
          <w:szCs w:val="26"/>
        </w:rPr>
        <w:t xml:space="preserve">1.1 Latar Belakang</w:t>
      </w:r>
    </w:p>
    <w:p>
      <w:pPr>
        <w:spacing w:after="200" w:line="300"/>
        <w:jc w:val="both"/>
      </w:pPr>
      <w:r>
        <w:rPr>
          <w:rFonts w:ascii="IBM Plex Sans" w:cs="IBM Plex Sans" w:eastAsia="IBM Plex Sans" w:hAnsi="IBM Plex Sans"/>
          <w:color w:val="334155"/>
          <w:sz w:val="22"/>
          <w:szCs w:val="22"/>
        </w:rPr>
        <w:t xml:space="preserve">Transisi menopause (menopause transition), inkontinensia urin (urinary incontinence), dan prolaps organ panggul (pelvic organ prolapse, POP) merupakan tiga kondisi yang secara epidemiologis saling berkaitan erat pada perempuan usia pertengahan hingga lanjut. Penurunan kadar estrogen pada masa peri- dan pascamenopause memengaruhi integritas jaringan ikat dasar panggul (pelvic floor connective tissue), mukosa urogenital, dan fungsi kandung kemih, sehingga ketiganya kerap dijumpai bersamaan dalam praktik klinis sehari-hari seorang dokter spesialis Obstetri dan Ginekologi (SpOG).</w:t>
      </w:r>
    </w:p>
    <w:p>
      <w:pPr>
        <w:spacing w:after="200" w:line="300"/>
        <w:jc w:val="both"/>
      </w:pPr>
      <w:r>
        <w:rPr>
          <w:rFonts w:ascii="IBM Plex Sans" w:cs="IBM Plex Sans" w:eastAsia="IBM Plex Sans" w:hAnsi="IBM Plex Sans"/>
          <w:color w:val="334155"/>
          <w:sz w:val="22"/>
          <w:szCs w:val="22"/>
        </w:rPr>
        <w:t xml:space="preserve">Buku ini menyatukan tiga domain kompetensi dasar tersebut — fisiologi dan tata laksana menopause, prinsip dasar uroginekologi, serta pengenalan dan tata laksana awal prolaps organ panggul derajat ringan — sebagai satu kesatuan pembelajaran bagi peserta didik PPDS tahun II sampai IV, sebelum kompetensi tersebut diperdalam pada tingkat subspesialisasi uroginekologi rekonstruktif.</w:t>
      </w:r>
    </w:p>
    <w:p>
      <w:pPr>
        <w:pStyle w:val="Heading2"/>
        <w:spacing w:after="160" w:before="300"/>
      </w:pPr>
      <w:r>
        <w:rPr>
          <w:rFonts w:ascii="Source Serif 4" w:cs="Source Serif 4" w:eastAsia="Source Serif 4" w:hAnsi="Source Serif 4"/>
          <w:b/>
          <w:bCs/>
          <w:color w:val="4F46E5"/>
          <w:sz w:val="26"/>
          <w:szCs w:val="26"/>
        </w:rPr>
        <w:t xml:space="preserve">1.2 Ruang Lingkup dan Tujuan Pembelajaran</w:t>
      </w:r>
    </w:p>
    <w:p>
      <w:pPr>
        <w:spacing w:after="200" w:line="300"/>
        <w:jc w:val="both"/>
      </w:pPr>
      <w:r>
        <w:rPr>
          <w:rFonts w:ascii="IBM Plex Sans" w:cs="IBM Plex Sans" w:eastAsia="IBM Plex Sans" w:hAnsi="IBM Plex Sans"/>
          <w:color w:val="334155"/>
          <w:sz w:val="22"/>
          <w:szCs w:val="22"/>
        </w:rPr>
        <w:t xml:space="preserve">Ruang lingkup buku ini mencakup empat entri Tabel 7 Kepkonsil, yaitu No. 61 (Kandung kemih hiperaktif/overactive bladder), No. 62 (Retensio urin akut pasca-persalinan/post-partum urinary retention), No. 63 (Prolaps organ panggul derajat I/pelvic organ prolapse grade I), dan No. 64 (Himen imperforata/imperforate hymen). Sebagai konteks fisiologis yang tidak terpisahkan dari uroginekologi dasar, buku ini juga merujuk entri No. 60 (Menopause peri/post sederhana/simple menopause), yang menjadi dasar Bab II.</w:t>
      </w:r>
    </w:p>
    <w:p>
      <w:pPr>
        <w:spacing w:after="200" w:line="300"/>
        <w:jc w:val="both"/>
      </w:pPr>
      <w:r>
        <w:rPr>
          <w:rFonts w:ascii="IBM Plex Sans" w:cs="IBM Plex Sans" w:eastAsia="IBM Plex Sans" w:hAnsi="IBM Plex Sans"/>
          <w:color w:val="334155"/>
          <w:sz w:val="22"/>
          <w:szCs w:val="22"/>
        </w:rPr>
        <w:t xml:space="preserve">Perlu dicatat secara eksplisit bahwa entri No. 64 (Himen imperforata) merupakan kelainan kongenital yang secara topikal berada di luar fokus utama judul buku ini (menopause, uroginekologi, dan prolaps). Entri ini tetap dicantumkan pada Tabel 1 karena termasuk dalam rentang Tabel 7 No. 61–64, namun pembahasan mendalamnya dirujuk ke sumber yang secara spesifik membahas kelainan kongenital saluran reproduksi, agar tidak terjadi duplikasi materi yang dangkal pada buku ini.</w:t>
      </w:r>
    </w:p>
    <w:p>
      <w:pPr>
        <w:spacing w:after="200" w:line="300"/>
        <w:jc w:val="both"/>
      </w:pPr>
      <w:r>
        <w:rPr>
          <w:rFonts w:ascii="IBM Plex Sans" w:cs="IBM Plex Sans" w:eastAsia="IBM Plex Sans" w:hAnsi="IBM Plex Sans"/>
          <w:color w:val="334155"/>
          <w:sz w:val="22"/>
          <w:szCs w:val="22"/>
        </w:rPr>
        <w:t xml:space="preserve">Tujuan pembelajaran umum: setelah mempelajari buku ini, peserta didik PPDS diharapkan mampu (1) menjelaskan fisiologi transisi menopause dan prinsip tata laksananya; (2) melakukan anamnesis, pemeriksaan, dan tata laksana awal kandung kemih hiperaktif serta retensio urin akut pasca-persalinan; (3) mengenali dan mengklasifikasikan prolaps organ panggul derajat ringan menggunakan sistem baku internasional; serta (4) mengidentifikasi indikasi rujukan ke layanan uroginekologi rekonstruktif.</w:t>
      </w:r>
    </w:p>
    <w:p>
      <w:pPr>
        <w:pStyle w:val="Heading2"/>
        <w:spacing w:after="160" w:before="300"/>
      </w:pPr>
      <w:r>
        <w:rPr>
          <w:rFonts w:ascii="Source Serif 4" w:cs="Source Serif 4" w:eastAsia="Source Serif 4" w:hAnsi="Source Serif 4"/>
          <w:b/>
          <w:bCs/>
          <w:color w:val="4F46E5"/>
          <w:sz w:val="26"/>
          <w:szCs w:val="26"/>
        </w:rPr>
        <w:t xml:space="preserve">1.3 Peta Kompetensi Berdasarkan Tabel 7 Kepkonsil</w:t>
      </w:r>
    </w:p>
    <w:p>
      <w:pPr>
        <w:spacing w:after="200" w:line="300"/>
        <w:jc w:val="both"/>
      </w:pPr>
      <w:r>
        <w:rPr>
          <w:rFonts w:ascii="IBM Plex Sans" w:cs="IBM Plex Sans" w:eastAsia="IBM Plex Sans" w:hAnsi="IBM Plex Sans"/>
          <w:color w:val="334155"/>
          <w:sz w:val="22"/>
          <w:szCs w:val="22"/>
        </w:rPr>
        <w:t xml:space="preserve">Tabel berikut adalah ekstraksi ulang langsung (verbatim) dari dokumen sumber Kepkonsil Nomor HK.01.02/KKI/1318/2026, Lampiran, Tabel 7, halaman 64–65, tanpa mengandalkan ringkasan pihak ketiga.</w:t>
      </w:r>
    </w:p>
    <w:p>
      <w:pPr>
        <w:spacing w:after="100" w:before="200"/>
      </w:pPr>
      <w:r>
        <w:rPr>
          <w:rFonts w:ascii="IBM Plex Sans" w:cs="IBM Plex Sans" w:eastAsia="IBM Plex Sans" w:hAnsi="IBM Plex Sans"/>
          <w:b/>
          <w:bCs/>
          <w:i/>
          <w:iCs/>
          <w:color w:val="64748B"/>
          <w:sz w:val="19"/>
          <w:szCs w:val="19"/>
        </w:rPr>
        <w:t xml:space="preserve">Tabel 1. Ekstrak Tabel 7 Kepkonsil No. HK.01.02/KKI/1318/2026 — Entri No. 60–64 (Spektrum Penyakit dan Kondisi Klinis yang Ditangani Spesialis Obstetri dan Ginekologi)</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rPr>
          <w:tblHeader/>
        </w:trPr>
        <w:tc>
          <w:tcPr>
            <w:tcW w:type="dxa" w:w="1558"/>
            <w:tcBorders>
              <w:top w:val="single" w:color="CBD5E1" w:sz="2"/>
              <w:left w:val="single" w:color="CBD5E1" w:sz="2"/>
              <w:bottom w:val="single" w:color="CBD5E1" w:sz="2"/>
              <w:right w:val="single" w:color="CBD5E1" w:sz="2"/>
            </w:tcBorders>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No</w:t>
            </w:r>
          </w:p>
        </w:tc>
        <w:tc>
          <w:tcPr>
            <w:tcW w:type="dxa" w:w="1558"/>
            <w:tcBorders>
              <w:top w:val="single" w:color="CBD5E1" w:sz="2"/>
              <w:left w:val="single" w:color="CBD5E1" w:sz="2"/>
              <w:bottom w:val="single" w:color="CBD5E1" w:sz="2"/>
              <w:right w:val="single" w:color="CBD5E1" w:sz="2"/>
            </w:tcBorders>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Nama Penyakit (Id)</w:t>
            </w:r>
          </w:p>
        </w:tc>
        <w:tc>
          <w:tcPr>
            <w:tcW w:type="dxa" w:w="1558"/>
            <w:tcBorders>
              <w:top w:val="single" w:color="CBD5E1" w:sz="2"/>
              <w:left w:val="single" w:color="CBD5E1" w:sz="2"/>
              <w:bottom w:val="single" w:color="CBD5E1" w:sz="2"/>
              <w:right w:val="single" w:color="CBD5E1" w:sz="2"/>
            </w:tcBorders>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Disease (En)</w:t>
            </w:r>
          </w:p>
        </w:tc>
        <w:tc>
          <w:tcPr>
            <w:tcW w:type="dxa" w:w="1558"/>
            <w:tcBorders>
              <w:top w:val="single" w:color="CBD5E1" w:sz="2"/>
              <w:left w:val="single" w:color="CBD5E1" w:sz="2"/>
              <w:bottom w:val="single" w:color="CBD5E1" w:sz="2"/>
              <w:right w:val="single" w:color="CBD5E1" w:sz="2"/>
            </w:tcBorders>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ICD-10</w:t>
            </w:r>
          </w:p>
        </w:tc>
        <w:tc>
          <w:tcPr>
            <w:tcW w:type="dxa" w:w="1558"/>
            <w:tcBorders>
              <w:top w:val="single" w:color="CBD5E1" w:sz="2"/>
              <w:left w:val="single" w:color="CBD5E1" w:sz="2"/>
              <w:bottom w:val="single" w:color="CBD5E1" w:sz="2"/>
              <w:right w:val="single" w:color="CBD5E1" w:sz="2"/>
            </w:tcBorders>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ICD-11</w:t>
            </w:r>
          </w:p>
        </w:tc>
        <w:tc>
          <w:tcPr>
            <w:tcW w:type="dxa" w:w="1558"/>
            <w:tcBorders>
              <w:top w:val="single" w:color="CBD5E1" w:sz="2"/>
              <w:left w:val="single" w:color="CBD5E1" w:sz="2"/>
              <w:bottom w:val="single" w:color="CBD5E1" w:sz="2"/>
              <w:right w:val="single" w:color="CBD5E1" w:sz="2"/>
            </w:tcBorders>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Keterangan/Populasi Prioritas</w:t>
            </w:r>
          </w:p>
        </w:tc>
      </w:tr>
      <w:tr>
        <w:tc>
          <w:tcPr>
            <w:tcW w:type="dxa" w:w="1558"/>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60</w:t>
            </w:r>
          </w:p>
        </w:tc>
        <w:tc>
          <w:tcPr>
            <w:tcW w:type="dxa" w:w="1558"/>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Menopause (peri/post) sederhana</w:t>
            </w:r>
          </w:p>
        </w:tc>
        <w:tc>
          <w:tcPr>
            <w:tcW w:type="dxa" w:w="1558"/>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Simple menopause (peri/post)</w:t>
            </w:r>
          </w:p>
        </w:tc>
        <w:tc>
          <w:tcPr>
            <w:tcW w:type="dxa" w:w="1558"/>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N95.1</w:t>
            </w:r>
          </w:p>
        </w:tc>
        <w:tc>
          <w:tcPr>
            <w:tcW w:type="dxa" w:w="1558"/>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GA30.0</w:t>
            </w:r>
          </w:p>
        </w:tc>
        <w:tc>
          <w:tcPr>
            <w:tcW w:type="dxa" w:w="1558"/>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Gejala menopause ringan</w:t>
            </w:r>
          </w:p>
        </w:tc>
      </w:tr>
      <w:tr>
        <w:tc>
          <w:tcPr>
            <w:tcW w:type="dxa" w:w="1558"/>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61</w:t>
            </w:r>
          </w:p>
        </w:tc>
        <w:tc>
          <w:tcPr>
            <w:tcW w:type="dxa" w:w="1558"/>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Kandung kemih hiperaktif</w:t>
            </w:r>
          </w:p>
        </w:tc>
        <w:tc>
          <w:tcPr>
            <w:tcW w:type="dxa" w:w="1558"/>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Overactive bladder</w:t>
            </w:r>
          </w:p>
        </w:tc>
        <w:tc>
          <w:tcPr>
            <w:tcW w:type="dxa" w:w="1558"/>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N39.4; N32.8</w:t>
            </w:r>
          </w:p>
        </w:tc>
        <w:tc>
          <w:tcPr>
            <w:tcW w:type="dxa" w:w="1558"/>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GC50.0</w:t>
            </w:r>
          </w:p>
        </w:tc>
        <w:tc>
          <w:tcPr>
            <w:tcW w:type="dxa" w:w="1558"/>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Gejala overactive bladder (frequency, urgency, nocturia) pada wanita</w:t>
            </w:r>
          </w:p>
        </w:tc>
      </w:tr>
      <w:tr>
        <w:tc>
          <w:tcPr>
            <w:tcW w:type="dxa" w:w="1558"/>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62</w:t>
            </w:r>
          </w:p>
        </w:tc>
        <w:tc>
          <w:tcPr>
            <w:tcW w:type="dxa" w:w="1558"/>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Retensio urin akut pasca-persalinan</w:t>
            </w:r>
          </w:p>
        </w:tc>
        <w:tc>
          <w:tcPr>
            <w:tcW w:type="dxa" w:w="1558"/>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Post-partum urinary retention</w:t>
            </w:r>
          </w:p>
        </w:tc>
        <w:tc>
          <w:tcPr>
            <w:tcW w:type="dxa" w:w="1558"/>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R33</w:t>
            </w:r>
          </w:p>
        </w:tc>
        <w:tc>
          <w:tcPr>
            <w:tcW w:type="dxa" w:w="1558"/>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MF50.3</w:t>
            </w:r>
          </w:p>
        </w:tc>
        <w:tc>
          <w:tcPr>
            <w:tcW w:type="dxa" w:w="1558"/>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Retensi urine segera pasca-persalinan</w:t>
            </w:r>
          </w:p>
        </w:tc>
      </w:tr>
      <w:tr>
        <w:tc>
          <w:tcPr>
            <w:tcW w:type="dxa" w:w="1558"/>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63</w:t>
            </w:r>
          </w:p>
        </w:tc>
        <w:tc>
          <w:tcPr>
            <w:tcW w:type="dxa" w:w="1558"/>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Prolaps organ panggul derajat I</w:t>
            </w:r>
          </w:p>
        </w:tc>
        <w:tc>
          <w:tcPr>
            <w:tcW w:type="dxa" w:w="1558"/>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Pelvic organ prolapse grade I</w:t>
            </w:r>
          </w:p>
        </w:tc>
        <w:tc>
          <w:tcPr>
            <w:tcW w:type="dxa" w:w="1558"/>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N81.2</w:t>
            </w:r>
          </w:p>
        </w:tc>
        <w:tc>
          <w:tcPr>
            <w:tcW w:type="dxa" w:w="1558"/>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GC40</w:t>
            </w:r>
          </w:p>
        </w:tc>
        <w:tc>
          <w:tcPr>
            <w:tcW w:type="dxa" w:w="1558"/>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Prolaps ringan organ panggul</w:t>
            </w:r>
          </w:p>
        </w:tc>
      </w:tr>
      <w:tr>
        <w:tc>
          <w:tcPr>
            <w:tcW w:type="dxa" w:w="1558"/>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64</w:t>
            </w:r>
          </w:p>
        </w:tc>
        <w:tc>
          <w:tcPr>
            <w:tcW w:type="dxa" w:w="1558"/>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Himen imperforata</w:t>
            </w:r>
          </w:p>
        </w:tc>
        <w:tc>
          <w:tcPr>
            <w:tcW w:type="dxa" w:w="1558"/>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Imperforate hymen</w:t>
            </w:r>
          </w:p>
        </w:tc>
        <w:tc>
          <w:tcPr>
            <w:tcW w:type="dxa" w:w="1558"/>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Q52.3</w:t>
            </w:r>
          </w:p>
        </w:tc>
        <w:tc>
          <w:tcPr>
            <w:tcW w:type="dxa" w:w="1558"/>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LB42.4</w:t>
            </w:r>
          </w:p>
        </w:tc>
        <w:tc>
          <w:tcPr>
            <w:tcW w:type="dxa" w:w="1558"/>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Kelainan kongenital himen</w:t>
            </w:r>
          </w:p>
        </w:tc>
      </w:tr>
    </w:tbl>
    <w:p>
      <w:pPr>
        <w:spacing w:after="200" w:before="120"/>
      </w:pPr>
      <w:r>
        <w:rPr>
          <w:sz w:val="4"/>
          <w:szCs w:val="4"/>
        </w:rPr>
        <w:t xml:space="preserve"/>
      </w:r>
    </w:p>
    <w:p>
      <w:pPr>
        <w:spacing w:after="200" w:line="300"/>
        <w:jc w:val="both"/>
      </w:pPr>
      <w:r>
        <w:rPr>
          <w:rFonts w:ascii="IBM Plex Sans" w:cs="IBM Plex Sans" w:eastAsia="IBM Plex Sans" w:hAnsi="IBM Plex Sans"/>
          <w:color w:val="334155"/>
          <w:sz w:val="22"/>
          <w:szCs w:val="22"/>
        </w:rPr>
        <w:t xml:space="preserve">Penggunaan kode ICD-10 dan ICD-11 pada tabel di atas mengikuti ketentuan Kepkonsil bahwa klasifikasi tersebut dimaksudkan sebagai rujukan identifikasi penyakit secara sistematis dan terstandar, bukan untuk menetapkan atau membatasi kewenangan profesi tenaga medis dan tenaga kesehatan.</w:t>
      </w:r>
    </w:p>
    <w:p>
      <w:pPr>
        <w:pStyle w:val="Heading2"/>
        <w:spacing w:after="160" w:before="300"/>
      </w:pPr>
      <w:r>
        <w:rPr>
          <w:rFonts w:ascii="Source Serif 4" w:cs="Source Serif 4" w:eastAsia="Source Serif 4" w:hAnsi="Source Serif 4"/>
          <w:b/>
          <w:bCs/>
          <w:color w:val="4F46E5"/>
          <w:sz w:val="26"/>
          <w:szCs w:val="26"/>
        </w:rPr>
        <w:t xml:space="preserve">1.4 Kedudukan dalam Rangkaian Literatur Standar SpOG</w:t>
      </w:r>
    </w:p>
    <w:p>
      <w:pPr>
        <w:spacing w:after="200" w:line="300"/>
        <w:jc w:val="both"/>
      </w:pPr>
      <w:r>
        <w:rPr>
          <w:rFonts w:ascii="IBM Plex Sans" w:cs="IBM Plex Sans" w:eastAsia="IBM Plex Sans" w:hAnsi="IBM Plex Sans"/>
          <w:color w:val="334155"/>
          <w:sz w:val="22"/>
          <w:szCs w:val="22"/>
        </w:rPr>
        <w:t xml:space="preserve">Buku ini berkedudukan sebagai salah satu dari rangkaian Buku Tematik yang melengkapi Buku Utama dalam kepustakaan standar pendidikan SpOG, dan dapat menjadi rujukan dasar bagi penyusunan Pedoman Penatalaksanaan Kasus (PPK) serta Pedoman Penatalaksanaan Kasus Kelompok (PPKK) terkait di kemudian hari. Setiap entri Tabel 7 No. 60–64 yang dibahas pada buku ini berpotensi menjadi basis satu PPK tersendiri, sedangkan PPKK yang relevan (misalnya program edukasi kelompok kesehatan panggul pascamenopause) dapat merujuk balik pada buku ini sebagai kerangka substansi.</w:t>
      </w:r>
    </w:p>
    <w:p>
      <w:pPr>
        <w:spacing w:after="200" w:line="300"/>
        <w:jc w:val="both"/>
      </w:pPr>
      <w:r>
        <w:rPr>
          <w:rFonts w:ascii="IBM Plex Sans" w:cs="IBM Plex Sans" w:eastAsia="IBM Plex Sans" w:hAnsi="IBM Plex Sans"/>
          <w:color w:val="334155"/>
          <w:sz w:val="22"/>
          <w:szCs w:val="22"/>
        </w:rPr>
        <w:t xml:space="preserve">Pembaca yang mempelajari buku ini disarankan memahami terlebih dahulu peta besar kompetensi SpOG (profesionalitas dan etik, kompetensi medis, keterampilan komunikasi, pembelajaran sepanjang hayat, dan advokasi kesehatan) sebelum mendalami substansi spesifik menopause, uroginekologi dasar, dan prolaps organ panggul pada buku ini.</w:t>
      </w:r>
    </w:p>
    <w:p>
      <w:pPr>
        <w:pStyle w:val="Heading1"/>
        <w:pageBreakBefore/>
        <w:pBdr>
          <w:bottom w:val="single" w:color="4F46E5" w:sz="8" w:space="8"/>
        </w:pBdr>
        <w:spacing w:after="260" w:before="0"/>
      </w:pPr>
      <w:r>
        <w:rPr>
          <w:rFonts w:ascii="Source Serif 4" w:cs="Source Serif 4" w:eastAsia="Source Serif 4" w:hAnsi="Source Serif 4"/>
          <w:b/>
          <w:bCs/>
          <w:color w:val="4F46E5"/>
          <w:sz w:val="34"/>
          <w:szCs w:val="34"/>
        </w:rPr>
        <w:t xml:space="preserve">Bab II Fisiologi dan Tata Laksana Menopause</w:t>
      </w:r>
    </w:p>
    <w:tbl>
      <w:tblPr>
        <w:tblW w:type="pct" w:w="100%"/>
        <w:tblBorders>
          <w:top w:val="single" w:color="B45309" w:sz="6"/>
          <w:left w:val="single" w:color="B45309" w:sz="6"/>
          <w:bottom w:val="single" w:color="B45309" w:sz="6"/>
          <w:right w:val="single" w:color="B45309" w:sz="6"/>
          <w:insideH w:val="none"/>
          <w:insideV w:val="none"/>
        </w:tblBorders>
      </w:tblPr>
      <w:tblGrid>
        <w:gridCol w:w="100"/>
      </w:tblGrid>
      <w:tr>
        <w:tc>
          <w:tcPr>
            <w:shd w:fill="FFFBEB"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 Dasar Regulasi</w:t>
            </w:r>
          </w:p>
          <w:p>
            <w:pPr>
              <w:spacing w:after="0" w:line="280"/>
              <w:jc w:val="both"/>
            </w:pPr>
            <w:r>
              <w:rPr>
                <w:rFonts w:ascii="IBM Plex Mono" w:cs="IBM Plex Mono" w:eastAsia="IBM Plex Mono" w:hAnsi="IBM Plex Mono"/>
                <w:color w:val="334155"/>
                <w:sz w:val="18"/>
                <w:szCs w:val="18"/>
              </w:rPr>
              <w:t xml:space="preserve">Bab ini merujuk Tabel 7 No. 60 Kepkonsil HK.01.02/KKI/1318/2026 — Menopause (peri/post) sederhana, ICD-10 N95.1, ICD-11 GA30.0, dengan keterangan populasi prioritas gejala menopause ringan.</w:t>
            </w:r>
          </w:p>
        </w:tc>
      </w:tr>
    </w:tbl>
    <w:p>
      <w:pPr>
        <w:spacing w:after="200"/>
      </w:pPr>
      <w:r>
        <w:rPr>
          <w:sz w:val="4"/>
          <w:szCs w:val="4"/>
        </w:rPr>
        <w:t xml:space="preserve"/>
      </w:r>
    </w:p>
    <w:p>
      <w:pPr>
        <w:pStyle w:val="Heading2"/>
        <w:spacing w:after="160" w:before="300"/>
      </w:pPr>
      <w:r>
        <w:rPr>
          <w:rFonts w:ascii="Source Serif 4" w:cs="Source Serif 4" w:eastAsia="Source Serif 4" w:hAnsi="Source Serif 4"/>
          <w:b/>
          <w:bCs/>
          <w:color w:val="4F46E5"/>
          <w:sz w:val="26"/>
          <w:szCs w:val="26"/>
        </w:rPr>
        <w:t xml:space="preserve">2.1 Fisiologi Transisi Menopause</w:t>
      </w:r>
    </w:p>
    <w:p>
      <w:pPr>
        <w:spacing w:after="200" w:line="300"/>
        <w:jc w:val="both"/>
      </w:pPr>
      <w:r>
        <w:rPr>
          <w:rFonts w:ascii="IBM Plex Sans" w:cs="IBM Plex Sans" w:eastAsia="IBM Plex Sans" w:hAnsi="IBM Plex Sans"/>
          <w:color w:val="334155"/>
          <w:sz w:val="22"/>
          <w:szCs w:val="22"/>
        </w:rPr>
        <w:t xml:space="preserve">Menopause (menopause) secara klinis didefinisikan sebagai berhentinya menstruasi secara permanen akibat hilangnya aktivitas folikel ovarium, ditegakkan secara retrospektif setelah 12 bulan berturut-turut tanpa menstruasi tanpa penyebab patologis atau fisiologis lain. Masa transisi menuju kondisi tersebut, yang disebut perimenopause (perimenopause), ditandai oleh fluktuasi hormon reproduksi — terutama penurunan bertahap estradiol dan peningkatan follicle-stimulating hormone (FSH) — akibat berkurangnya cadangan folikel ovarium seiring bertambahnya usia.</w:t>
      </w:r>
    </w:p>
    <w:p>
      <w:pPr>
        <w:spacing w:after="200" w:line="300"/>
        <w:jc w:val="both"/>
      </w:pPr>
      <w:r>
        <w:rPr>
          <w:rFonts w:ascii="IBM Plex Sans" w:cs="IBM Plex Sans" w:eastAsia="IBM Plex Sans" w:hAnsi="IBM Plex Sans"/>
          <w:color w:val="334155"/>
          <w:sz w:val="22"/>
          <w:szCs w:val="22"/>
        </w:rPr>
        <w:t xml:space="preserve">Penurunan estrogen memengaruhi berbagai sistem organ yang memiliki reseptor estrogen, termasuk sistem vasomotor (menimbulkan hot flashes dan keringat malam), sistem genitourinari (menyebabkan atrofi vulvovaginal dan perubahan mukosa uretra-kandung kemih), tulang (percepatan resorpsi tulang), serta profil kardiometabolik. Kombinasi gejala genitourinari akibat defisiensi estrogen pascamenopause secara kolektif dikenal sebagai sindrom genitourinari menopause (genitourinary syndrome of menopause, GSM), istilah yang menggantikan istilah lama atrofi vulvovaginal karena mencakup manifestasi urin selain vagina.</w:t>
      </w:r>
    </w:p>
    <w:p>
      <w:pPr>
        <w:pStyle w:val="Heading2"/>
        <w:spacing w:after="160" w:before="300"/>
      </w:pPr>
      <w:r>
        <w:rPr>
          <w:rFonts w:ascii="Source Serif 4" w:cs="Source Serif 4" w:eastAsia="Source Serif 4" w:hAnsi="Source Serif 4"/>
          <w:b/>
          <w:bCs/>
          <w:color w:val="4F46E5"/>
          <w:sz w:val="26"/>
          <w:szCs w:val="26"/>
        </w:rPr>
        <w:t xml:space="preserve">2.2 Manifestasi Klinis dan Pendekatan Diagnosis</w:t>
      </w:r>
    </w:p>
    <w:p>
      <w:pPr>
        <w:spacing w:after="200" w:line="300"/>
        <w:jc w:val="both"/>
      </w:pPr>
      <w:r>
        <w:rPr>
          <w:rFonts w:ascii="IBM Plex Sans" w:cs="IBM Plex Sans" w:eastAsia="IBM Plex Sans" w:hAnsi="IBM Plex Sans"/>
          <w:color w:val="334155"/>
          <w:sz w:val="22"/>
          <w:szCs w:val="22"/>
        </w:rPr>
        <w:t xml:space="preserve">Diagnosis menopause peri/post sederhana (ICD-10 N95.1, ICD-11 GA30.0) pada praktik dasar SpOG umumnya bersifat klinis, berdasarkan pola siklus haid dan usia, tanpa memerlukan pemeriksaan hormonal rutin pada perempuan sehat di atas usia 45 tahun dengan gejala khas. Pemeriksaan kadar FSH dan estradiol dicadangkan untuk kasus dengan kecurigaan menopause dini (usia di bawah 40 tahun) atau presentasi atipikal.</w:t>
      </w:r>
    </w:p>
    <w:p>
      <w:pPr>
        <w:spacing w:after="200" w:line="300"/>
        <w:jc w:val="both"/>
      </w:pPr>
      <w:r>
        <w:rPr>
          <w:rFonts w:ascii="IBM Plex Sans" w:cs="IBM Plex Sans" w:eastAsia="IBM Plex Sans" w:hAnsi="IBM Plex Sans"/>
          <w:color w:val="334155"/>
          <w:sz w:val="22"/>
          <w:szCs w:val="22"/>
        </w:rPr>
        <w:t xml:space="preserve">Manifestasi klinis yang perlu digali secara sistematis meliputi gejala vasomotor (frekuensi dan derajat keparahan hot flashes), gangguan tidur, perubahan suasana hati, gejala genitourinari (kekeringan vagina, dispareunia, urgensi berkemih), serta faktor risiko jangka panjang seperti riwayat keluarga osteoporosis dan penyakit kardiovaskular. Skrining risiko osteoporosis dan penilaian faktor risiko kardiovaskular merupakan bagian tidak terpisahkan dari konsultasi menopause komprehensif.</w:t>
      </w:r>
    </w:p>
    <w:p>
      <w:pPr>
        <w:pStyle w:val="Heading2"/>
        <w:spacing w:after="160" w:before="300"/>
      </w:pPr>
      <w:r>
        <w:rPr>
          <w:rFonts w:ascii="Source Serif 4" w:cs="Source Serif 4" w:eastAsia="Source Serif 4" w:hAnsi="Source Serif 4"/>
          <w:b/>
          <w:bCs/>
          <w:color w:val="4F46E5"/>
          <w:sz w:val="26"/>
          <w:szCs w:val="26"/>
        </w:rPr>
        <w:t xml:space="preserve">2.3 Prinsip Tata Laksana</w:t>
      </w:r>
    </w:p>
    <w:p>
      <w:pPr>
        <w:spacing w:after="200" w:line="300"/>
        <w:jc w:val="both"/>
      </w:pPr>
      <w:r>
        <w:rPr>
          <w:rFonts w:ascii="IBM Plex Sans" w:cs="IBM Plex Sans" w:eastAsia="IBM Plex Sans" w:hAnsi="IBM Plex Sans"/>
          <w:color w:val="334155"/>
          <w:sz w:val="22"/>
          <w:szCs w:val="22"/>
        </w:rPr>
        <w:t xml:space="preserve">Tata laksana menopause simpleks bersifat berjenjang dan individual, dimulai dari edukasi dan modifikasi gaya hidup (aktivitas fisik teratur, berhenti merokok, asupan kalsium dan vitamin D adekuat), dilanjutkan dengan terapi non-hormonal untuk gejala vasomotor ringan-sedang bila terdapat kontraindikasi atau keengganan terhadap terapi hormon, dan terapi hormon menopause (menopause hormone therapy, MHT) untuk kasus dengan gejala sedang-berat tanpa kontraindikasi mayor (riwayat kanker payudara, tromboemboli vena aktif, penyakit hati aktif).</w:t>
      </w:r>
    </w:p>
    <w:p>
      <w:pPr>
        <w:pStyle w:val="ListParagraph"/>
        <w:numPr>
          <w:ilvl w:val="0"/>
          <w:numId w:val="1"/>
        </w:numPr>
        <w:spacing w:after="100" w:line="280"/>
      </w:pPr>
      <w:r>
        <w:rPr>
          <w:rFonts w:ascii="IBM Plex Sans" w:cs="IBM Plex Sans" w:eastAsia="IBM Plex Sans" w:hAnsi="IBM Plex Sans"/>
          <w:color w:val="334155"/>
          <w:sz w:val="22"/>
          <w:szCs w:val="22"/>
        </w:rPr>
        <w:t xml:space="preserve">Edukasi dan modifikasi gaya hidup sebagai lini pertama pada seluruh derajat gejala.</w:t>
      </w:r>
    </w:p>
    <w:p>
      <w:pPr>
        <w:pStyle w:val="ListParagraph"/>
        <w:numPr>
          <w:ilvl w:val="0"/>
          <w:numId w:val="1"/>
        </w:numPr>
        <w:spacing w:after="100" w:line="280"/>
      </w:pPr>
      <w:r>
        <w:rPr>
          <w:rFonts w:ascii="IBM Plex Sans" w:cs="IBM Plex Sans" w:eastAsia="IBM Plex Sans" w:hAnsi="IBM Plex Sans"/>
          <w:color w:val="334155"/>
          <w:sz w:val="22"/>
          <w:szCs w:val="22"/>
        </w:rPr>
        <w:t xml:space="preserve">Terapi non-hormonal (misalnya golongan SSRI/SNRI dosis rendah) sebagai alternatif pada pasien dengan kontraindikasi hormon atau preferensi pasien.</w:t>
      </w:r>
    </w:p>
    <w:p>
      <w:pPr>
        <w:pStyle w:val="ListParagraph"/>
        <w:numPr>
          <w:ilvl w:val="0"/>
          <w:numId w:val="1"/>
        </w:numPr>
        <w:spacing w:after="100" w:line="280"/>
      </w:pPr>
      <w:r>
        <w:rPr>
          <w:rFonts w:ascii="IBM Plex Sans" w:cs="IBM Plex Sans" w:eastAsia="IBM Plex Sans" w:hAnsi="IBM Plex Sans"/>
          <w:color w:val="334155"/>
          <w:sz w:val="22"/>
          <w:szCs w:val="22"/>
        </w:rPr>
        <w:t xml:space="preserve">Terapi hormon menopause sistemik atau lokal (vaginal) disesuaikan dengan dominasi gejala (vasomotor sistemik versus genitourinari lokal) dan profil risiko individual.</w:t>
      </w:r>
    </w:p>
    <w:p>
      <w:pPr>
        <w:pStyle w:val="ListParagraph"/>
        <w:numPr>
          <w:ilvl w:val="0"/>
          <w:numId w:val="1"/>
        </w:numPr>
        <w:spacing w:after="100" w:line="280"/>
      </w:pPr>
      <w:r>
        <w:rPr>
          <w:rFonts w:ascii="IBM Plex Sans" w:cs="IBM Plex Sans" w:eastAsia="IBM Plex Sans" w:hAnsi="IBM Plex Sans"/>
          <w:color w:val="334155"/>
          <w:sz w:val="22"/>
          <w:szCs w:val="22"/>
        </w:rPr>
        <w:t xml:space="preserve">Terapi estrogen vaginal dosis rendah menjadi pilihan utama untuk gejala genitourinari terisolasi, dengan risiko sistemik minimal.</w:t>
      </w:r>
    </w:p>
    <w:p>
      <w:pPr>
        <w:spacing w:after="100"/>
      </w:pPr>
      <w:r>
        <w:rPr>
          <w:sz w:val="4"/>
          <w:szCs w:val="4"/>
        </w:rPr>
        <w:t xml:space="preserve"/>
      </w:r>
    </w:p>
    <w:p>
      <w:pPr>
        <w:spacing w:after="200" w:line="300"/>
        <w:jc w:val="both"/>
      </w:pPr>
      <w:r>
        <w:rPr>
          <w:rFonts w:ascii="IBM Plex Sans" w:cs="IBM Plex Sans" w:eastAsia="IBM Plex Sans" w:hAnsi="IBM Plex Sans"/>
          <w:color w:val="334155"/>
          <w:sz w:val="22"/>
          <w:szCs w:val="22"/>
        </w:rPr>
        <w:t xml:space="preserve">Keputusan memulai terapi hormon menopause wajib didasarkan pada penilaian individual rasio manfaat-risiko, mempertimbangkan usia saat inisiasi, jarak waktu sejak menopause (timing hypothesis), dan riwayat kesehatan pasien, sejalan dengan prinsip pengambilan keputusan bersama (shared decision making).</w:t>
      </w:r>
    </w:p>
    <w:p>
      <w:pPr>
        <w:pStyle w:val="Heading2"/>
        <w:spacing w:after="160" w:before="300"/>
      </w:pPr>
      <w:r>
        <w:rPr>
          <w:rFonts w:ascii="Source Serif 4" w:cs="Source Serif 4" w:eastAsia="Source Serif 4" w:hAnsi="Source Serif 4"/>
          <w:b/>
          <w:bCs/>
          <w:color w:val="4F46E5"/>
          <w:sz w:val="26"/>
          <w:szCs w:val="26"/>
        </w:rPr>
        <w:t xml:space="preserve">2.4 Populasi Khusus dan Kewaspadaan Klinis</w:t>
      </w:r>
    </w:p>
    <w:p>
      <w:pPr>
        <w:spacing w:after="200" w:line="300"/>
        <w:jc w:val="both"/>
      </w:pPr>
      <w:r>
        <w:rPr>
          <w:rFonts w:ascii="IBM Plex Sans" w:cs="IBM Plex Sans" w:eastAsia="IBM Plex Sans" w:hAnsi="IBM Plex Sans"/>
          <w:color w:val="334155"/>
          <w:sz w:val="22"/>
          <w:szCs w:val="22"/>
        </w:rPr>
        <w:t xml:space="preserve">Menopause dini (premature ovarian insufficiency, POI), yaitu berhentinya fungsi ovarium sebelum usia 40 tahun, memerlukan pendekatan berbeda dari menopause fisiologis pada usia rata-rata, karena berkaitan dengan durasi defisiensi estrogen yang lebih panjang dan risiko jangka panjang yang lebih tinggi terhadap kesehatan tulang dan kardiovaskular. Kasus dengan kecurigaan POI, riwayat operasi ginekologi (ooforektomi bilateral), riwayat kemoterapi/radioterapi panggul, atau presentasi atipikal (perdarahan pascamenopause, gejala berat yang tidak responsif terapi lini pertama) berada di luar cakupan menopause sederhana pada entri No. 60 dan memerlukan evaluasi lebih lanjut serta pertimbangan rujukan ke subspesialis fertilitas dan endokrinologi reproduksi sesuai relevansi.</w:t>
      </w:r>
    </w:p>
    <w:p>
      <w:pPr>
        <w:spacing w:after="200" w:line="300"/>
        <w:jc w:val="both"/>
      </w:pPr>
      <w:r>
        <w:rPr>
          <w:rFonts w:ascii="IBM Plex Sans" w:cs="IBM Plex Sans" w:eastAsia="IBM Plex Sans" w:hAnsi="IBM Plex Sans"/>
          <w:color w:val="334155"/>
          <w:sz w:val="22"/>
          <w:szCs w:val="22"/>
        </w:rPr>
        <w:t xml:space="preserve">Kewaspadaan klinis lain yang perlu ditekankan pada peserta didik adalah pentingnya menyingkirkan penyebab perdarahan pascamenopause yang bersifat patologis (termasuk keganasan endometrium) sebelum mengatribusikan keluhan perdarahan pada gejala menopause biasa, karena perdarahan pascamenopause bukan merupakan bagian dari manifestasi menopause simpleks dan selalu memerlukan evaluasi lebih lanjut.</w:t>
      </w:r>
    </w:p>
    <w:p>
      <w:pPr>
        <w:pStyle w:val="Heading2"/>
        <w:spacing w:after="160" w:before="300"/>
      </w:pPr>
      <w:r>
        <w:rPr>
          <w:rFonts w:ascii="Source Serif 4" w:cs="Source Serif 4" w:eastAsia="Source Serif 4" w:hAnsi="Source Serif 4"/>
          <w:b/>
          <w:bCs/>
          <w:color w:val="4F46E5"/>
          <w:sz w:val="26"/>
          <w:szCs w:val="26"/>
        </w:rPr>
        <w:t xml:space="preserve">2.5 Perbandingan dan Pengayaan Standar Internasional</w:t>
      </w:r>
    </w:p>
    <w:p>
      <w:pPr>
        <w:spacing w:after="120" w:line="280"/>
        <w:jc w:val="both"/>
      </w:pPr>
      <w:r>
        <w:rPr>
          <w:rFonts w:ascii="IBM Plex Sans" w:cs="IBM Plex Sans" w:eastAsia="IBM Plex Sans" w:hAnsi="IBM Plex Sans"/>
          <w:b/>
          <w:bCs/>
          <w:color w:val="334155"/>
          <w:sz w:val="21"/>
          <w:szCs w:val="21"/>
        </w:rPr>
        <w:t xml:space="preserve">American College of Obstetricians and Gynecologists (2014, ditinjau ulang 2024): </w:t>
      </w:r>
      <w:r>
        <w:rPr>
          <w:rFonts w:ascii="IBM Plex Sans" w:cs="IBM Plex Sans" w:eastAsia="IBM Plex Sans" w:hAnsi="IBM Plex Sans"/>
          <w:color w:val="334155"/>
          <w:sz w:val="21"/>
          <w:szCs w:val="21"/>
        </w:rPr>
        <w:t xml:space="preserve">merekomendasikan penilaian individual rasio manfaat-risiko terapi hormon menopause berbasis usia inisiasi dan waktu sejak menopause (timing hypothesis), dengan preferensi inisiasi dalam 10 tahun sejak menopause atau sebelum usia 60 tahun untuk memaksimalkan rasio manfaat terhadap risiko.</w:t>
      </w:r>
    </w:p>
    <w:p>
      <w:pPr>
        <w:spacing w:after="120" w:line="280"/>
        <w:jc w:val="both"/>
      </w:pPr>
      <w:r>
        <w:rPr>
          <w:rFonts w:ascii="IBM Plex Sans" w:cs="IBM Plex Sans" w:eastAsia="IBM Plex Sans" w:hAnsi="IBM Plex Sans"/>
          <w:b/>
          <w:bCs/>
          <w:color w:val="334155"/>
          <w:sz w:val="21"/>
          <w:szCs w:val="21"/>
        </w:rPr>
        <w:t xml:space="preserve">Marjoribanks J, Farquhar C, Roberts H, Lethaby A, Lee J (2017): </w:t>
      </w:r>
      <w:r>
        <w:rPr>
          <w:rFonts w:ascii="IBM Plex Sans" w:cs="IBM Plex Sans" w:eastAsia="IBM Plex Sans" w:hAnsi="IBM Plex Sans"/>
          <w:color w:val="334155"/>
          <w:sz w:val="21"/>
          <w:szCs w:val="21"/>
        </w:rPr>
        <w:t xml:space="preserve">menyimpulkan bahwa terapi hormon jangka panjang efektif menurunkan frekuensi gejala vasomotor, namun asosiasinya dengan luaran kardiovaskular, tromboemboli vena, dan risiko kanker tertentu bergantung pada usia inisiasi dan lama pemakaian, sehingga tetap perlu didiskusikan pada konseling pasien.</w:t>
      </w:r>
    </w:p>
    <w:tbl>
      <w:tblPr>
        <w:tblW w:type="pct" w:w="100%"/>
        <w:tblBorders>
          <w:top w:val="single" w:color="4F46E5" w:sz="4"/>
          <w:left w:val="single" w:color="4F46E5" w:sz="4"/>
          <w:bottom w:val="single" w:color="4F46E5" w:sz="4"/>
          <w:right w:val="single" w:color="4F46E5" w:sz="4"/>
          <w:insideH w:val="none"/>
          <w:insideV w:val="none"/>
        </w:tblBorders>
      </w:tblPr>
      <w:tblGrid>
        <w:gridCol w:w="100"/>
      </w:tblGrid>
      <w:tr>
        <w:tc>
          <w:tcPr>
            <w:shd w:fill="EEF2FF" w:val="clear"/>
            <w:tcMar>
              <w:top w:type="dxa" w:w="140"/>
              <w:left w:type="dxa" w:w="200"/>
              <w:bottom w:type="dxa" w:w="140"/>
              <w:right w:type="dxa" w:w="200"/>
            </w:tcMar>
          </w:tcPr>
          <w:p>
            <w:pPr>
              <w:jc w:val="both"/>
            </w:pPr>
            <w:r>
              <w:rPr>
                <w:rFonts w:ascii="IBM Plex Sans" w:cs="IBM Plex Sans" w:eastAsia="IBM Plex Sans" w:hAnsi="IBM Plex Sans"/>
                <w:i/>
                <w:iCs/>
                <w:color w:val="334155"/>
                <w:sz w:val="20"/>
                <w:szCs w:val="20"/>
              </w:rPr>
              <w:t xml:space="preserve">Standar nasional (Kepkonsil) menetapkan tata laksana menopause simpleks pada tingkat kompetensi dasar SpOG sebagai deteksi dan tata laksana awal gejala ringan; standar internasional (ACOG, Cochrane) merekomendasikan pendekatan individual berbasis timing hypothesis dan tinjauan bukti sistematis risiko-manfaat terapi hormon; praktik di Indonesia mengikuti standar nasional dengan tetap mengacu pada bukti internasional tersebut untuk pengambilan keputusan klinis berbasis bukti.</w:t>
            </w:r>
          </w:p>
        </w:tc>
      </w:tr>
    </w:tbl>
    <w:p>
      <w:pPr>
        <w:spacing w:after="200"/>
      </w:pPr>
      <w:r>
        <w:rPr>
          <w:sz w:val="4"/>
          <w:szCs w:val="4"/>
        </w:rPr>
        <w:t xml:space="preserve"/>
      </w:r>
    </w:p>
    <w:p>
      <w:pPr>
        <w:spacing w:after="100" w:before="160"/>
      </w:pPr>
      <w:r>
        <w:rPr>
          <w:rFonts w:ascii="IBM Plex Sans" w:cs="IBM Plex Sans" w:eastAsia="IBM Plex Sans" w:hAnsi="IBM Plex Sans"/>
          <w:b/>
          <w:bCs/>
          <w:i/>
          <w:iCs/>
          <w:color w:val="64748B"/>
          <w:sz w:val="19"/>
          <w:szCs w:val="19"/>
        </w:rPr>
        <w:t xml:space="preserve">Rujukan Bab Ini</w:t>
      </w:r>
    </w:p>
    <w:p>
      <w:pPr>
        <w:pStyle w:val="ListParagraph"/>
        <w:numPr>
          <w:ilvl w:val="0"/>
          <w:numId w:val="1"/>
        </w:numPr>
        <w:spacing w:after="90" w:line="260"/>
      </w:pPr>
      <w:r>
        <w:rPr>
          <w:rFonts w:ascii="IBM Plex Mono" w:cs="IBM Plex Mono" w:eastAsia="IBM Plex Mono" w:hAnsi="IBM Plex Mono"/>
          <w:color w:val="334155"/>
          <w:sz w:val="17"/>
          <w:szCs w:val="17"/>
        </w:rPr>
        <w:t xml:space="preserve">American College of Obstetricians and Gynecologists (2014, ditinjau ulang 2024). Management of Menopausal Symptoms. ACOG Practice Bulletin No. 141. Obstetrics &amp; Gynecology 123(1):202–216.</w:t>
      </w:r>
      <w:r>
        <w:rPr>
          <w:sz w:val="17"/>
          <w:szCs w:val="17"/>
        </w:rPr>
        <w:t xml:space="preserve"> </w:t>
      </w:r>
      <w:hyperlink w:history="1" r:id="rIdefxinxumbsipq4gqirnd_">
        <w:r>
          <w:rPr>
            <w:rFonts w:ascii="IBM Plex Mono" w:cs="IBM Plex Mono" w:eastAsia="IBM Plex Mono" w:hAnsi="IBM Plex Mono"/>
            <w:color w:val="4F46E5"/>
            <w:sz w:val="17"/>
            <w:szCs w:val="17"/>
            <w:u w:val="single"/>
          </w:rPr>
          <w:t xml:space="preserve">https://doi.org/10.1097/01.AOG.0000441353.20693.78</w:t>
        </w:r>
      </w:hyperlink>
    </w:p>
    <w:p>
      <w:pPr>
        <w:pStyle w:val="ListParagraph"/>
        <w:numPr>
          <w:ilvl w:val="0"/>
          <w:numId w:val="1"/>
        </w:numPr>
        <w:spacing w:after="90" w:line="260"/>
      </w:pPr>
      <w:r>
        <w:rPr>
          <w:rFonts w:ascii="IBM Plex Mono" w:cs="IBM Plex Mono" w:eastAsia="IBM Plex Mono" w:hAnsi="IBM Plex Mono"/>
          <w:color w:val="334155"/>
          <w:sz w:val="17"/>
          <w:szCs w:val="17"/>
        </w:rPr>
        <w:t xml:space="preserve">Marjoribanks J, Farquhar C, Roberts H, Lethaby A, Lee J (2017). Long-term hormone therapy for perimenopausal and postmenopausal women. Cochrane Database of Systematic Reviews, Issue 1, Art. No. CD004143.</w:t>
      </w:r>
      <w:r>
        <w:rPr>
          <w:sz w:val="17"/>
          <w:szCs w:val="17"/>
        </w:rPr>
        <w:t xml:space="preserve"> </w:t>
      </w:r>
      <w:hyperlink w:history="1" r:id="rIdqnb5u1nshcce30gmqbwoq">
        <w:r>
          <w:rPr>
            <w:rFonts w:ascii="IBM Plex Mono" w:cs="IBM Plex Mono" w:eastAsia="IBM Plex Mono" w:hAnsi="IBM Plex Mono"/>
            <w:color w:val="4F46E5"/>
            <w:sz w:val="17"/>
            <w:szCs w:val="17"/>
            <w:u w:val="single"/>
          </w:rPr>
          <w:t xml:space="preserve">https://doi.org/10.1002/14651858.CD004143.pub5</w:t>
        </w:r>
      </w:hyperlink>
    </w:p>
    <w:p>
      <w:pPr>
        <w:spacing w:after="160"/>
      </w:pPr>
      <w:r>
        <w:rPr>
          <w:sz w:val="4"/>
          <w:szCs w:val="4"/>
        </w:rPr>
        <w:t xml:space="preserve"/>
      </w:r>
    </w:p>
    <w:p>
      <w:pPr>
        <w:pStyle w:val="Heading1"/>
        <w:pageBreakBefore/>
        <w:pBdr>
          <w:bottom w:val="single" w:color="4F46E5" w:sz="8" w:space="8"/>
        </w:pBdr>
        <w:spacing w:after="260" w:before="0"/>
      </w:pPr>
      <w:r>
        <w:rPr>
          <w:rFonts w:ascii="Source Serif 4" w:cs="Source Serif 4" w:eastAsia="Source Serif 4" w:hAnsi="Source Serif 4"/>
          <w:b/>
          <w:bCs/>
          <w:color w:val="4F46E5"/>
          <w:sz w:val="34"/>
          <w:szCs w:val="34"/>
        </w:rPr>
        <w:t xml:space="preserve">Bab III Inkontinensia Urin Dasar</w:t>
      </w:r>
    </w:p>
    <w:tbl>
      <w:tblPr>
        <w:tblW w:type="pct" w:w="100%"/>
        <w:tblBorders>
          <w:top w:val="single" w:color="B45309" w:sz="6"/>
          <w:left w:val="single" w:color="B45309" w:sz="6"/>
          <w:bottom w:val="single" w:color="B45309" w:sz="6"/>
          <w:right w:val="single" w:color="B45309" w:sz="6"/>
          <w:insideH w:val="none"/>
          <w:insideV w:val="none"/>
        </w:tblBorders>
      </w:tblPr>
      <w:tblGrid>
        <w:gridCol w:w="100"/>
      </w:tblGrid>
      <w:tr>
        <w:tc>
          <w:tcPr>
            <w:shd w:fill="FFFBEB"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 Dasar Regulasi</w:t>
            </w:r>
          </w:p>
          <w:p>
            <w:pPr>
              <w:spacing w:after="0" w:line="280"/>
              <w:jc w:val="both"/>
            </w:pPr>
            <w:r>
              <w:rPr>
                <w:rFonts w:ascii="IBM Plex Mono" w:cs="IBM Plex Mono" w:eastAsia="IBM Plex Mono" w:hAnsi="IBM Plex Mono"/>
                <w:color w:val="334155"/>
                <w:sz w:val="18"/>
                <w:szCs w:val="18"/>
              </w:rPr>
              <w:t xml:space="preserve">Bab ini merujuk Tabel 7 No. 61 — Kandung kemih hiperaktif/overactive bladder (ICD-10 N39.4; N32.8, ICD-11 GC50.0) dan No. 62 — Retensio urin akut pasca-persalinan/post-partum urinary retention (ICD-10 R33, ICD-11 MF50.3), Kepkonsil HK.01.02/KKI/1318/2026.</w:t>
            </w:r>
          </w:p>
        </w:tc>
      </w:tr>
    </w:tbl>
    <w:p>
      <w:pPr>
        <w:spacing w:after="200"/>
      </w:pPr>
      <w:r>
        <w:rPr>
          <w:sz w:val="4"/>
          <w:szCs w:val="4"/>
        </w:rPr>
        <w:t xml:space="preserve"/>
      </w:r>
    </w:p>
    <w:p>
      <w:pPr>
        <w:pStyle w:val="Heading2"/>
        <w:spacing w:after="160" w:before="300"/>
      </w:pPr>
      <w:r>
        <w:rPr>
          <w:rFonts w:ascii="Source Serif 4" w:cs="Source Serif 4" w:eastAsia="Source Serif 4" w:hAnsi="Source Serif 4"/>
          <w:b/>
          <w:bCs/>
          <w:color w:val="4F46E5"/>
          <w:sz w:val="26"/>
          <w:szCs w:val="26"/>
        </w:rPr>
        <w:t xml:space="preserve">3.1 Klasifikasi Dasar Inkontinensia Urin</w:t>
      </w:r>
    </w:p>
    <w:p>
      <w:pPr>
        <w:spacing w:after="200" w:line="300"/>
        <w:jc w:val="both"/>
      </w:pPr>
      <w:r>
        <w:rPr>
          <w:rFonts w:ascii="IBM Plex Sans" w:cs="IBM Plex Sans" w:eastAsia="IBM Plex Sans" w:hAnsi="IBM Plex Sans"/>
          <w:color w:val="334155"/>
          <w:sz w:val="22"/>
          <w:szCs w:val="22"/>
        </w:rPr>
        <w:t xml:space="preserve">Inkontinensia urin (urinary incontinence) secara umum diklasifikasikan menjadi inkontinensia urin stres (stress urinary incontinence, kebocoran urin saat peningkatan tekanan intraabdomen), inkontinensia urin urgensi (urgency urinary incontinence, kebocoran disertai rasa ingin berkemih mendadak yang sulit ditahan), inkontinensia campuran (mixed urinary incontinence), dan inkontinensia overflow. Kandung kemih hiperaktif (overactive bladder, OAB; ICD-10 N39.4/N32.8, ICD-11 GC50.0) adalah sindrom klinis yang ditandai oleh urgensi berkemih, dengan atau tanpa inkontinensia urgensi, biasanya disertai frekuensi berkemih meningkat dan nokturia, tanpa adanya infeksi saluran kemih atau patologi lain yang jelas.</w:t>
      </w:r>
    </w:p>
    <w:p>
      <w:pPr>
        <w:pStyle w:val="Heading2"/>
        <w:spacing w:after="160" w:before="300"/>
      </w:pPr>
      <w:r>
        <w:rPr>
          <w:rFonts w:ascii="Source Serif 4" w:cs="Source Serif 4" w:eastAsia="Source Serif 4" w:hAnsi="Source Serif 4"/>
          <w:b/>
          <w:bCs/>
          <w:color w:val="4F46E5"/>
          <w:sz w:val="26"/>
          <w:szCs w:val="26"/>
        </w:rPr>
        <w:t xml:space="preserve">3.2 Kandung Kemih Hiperaktif — Diagnosis dan Tata Laksana Dasar</w:t>
      </w:r>
    </w:p>
    <w:p>
      <w:pPr>
        <w:spacing w:after="200" w:line="300"/>
        <w:jc w:val="both"/>
      </w:pPr>
      <w:r>
        <w:rPr>
          <w:rFonts w:ascii="IBM Plex Sans" w:cs="IBM Plex Sans" w:eastAsia="IBM Plex Sans" w:hAnsi="IBM Plex Sans"/>
          <w:color w:val="334155"/>
          <w:sz w:val="22"/>
          <w:szCs w:val="22"/>
        </w:rPr>
        <w:t xml:space="preserve">Diagnosis OAB bersifat klinis, ditegakkan berdasarkan gejala khas (frequency, urgency, nocturia) setelah menyingkirkan penyebab lain melalui anamnesis terarah, urinalisis untuk menyingkirkan infeksi saluran kemih, dan bila diperlukan, catatan berkemih (bladder diary) selama 3 hari untuk mengonfirmasi pola frekuensi dan volume berkemih.</w:t>
      </w:r>
    </w:p>
    <w:p>
      <w:pPr>
        <w:pStyle w:val="ListParagraph"/>
        <w:numPr>
          <w:ilvl w:val="0"/>
          <w:numId w:val="1"/>
        </w:numPr>
        <w:spacing w:after="100" w:line="280"/>
      </w:pPr>
      <w:r>
        <w:rPr>
          <w:rFonts w:ascii="IBM Plex Sans" w:cs="IBM Plex Sans" w:eastAsia="IBM Plex Sans" w:hAnsi="IBM Plex Sans"/>
          <w:color w:val="334155"/>
          <w:sz w:val="22"/>
          <w:szCs w:val="22"/>
        </w:rPr>
        <w:t xml:space="preserve">Lini pertama: terapi perilaku (bladder training, penjadwalan berkemih), modifikasi asupan cairan dan kafein, latihan otot dasar panggul.</w:t>
      </w:r>
    </w:p>
    <w:p>
      <w:pPr>
        <w:pStyle w:val="ListParagraph"/>
        <w:numPr>
          <w:ilvl w:val="0"/>
          <w:numId w:val="1"/>
        </w:numPr>
        <w:spacing w:after="100" w:line="280"/>
      </w:pPr>
      <w:r>
        <w:rPr>
          <w:rFonts w:ascii="IBM Plex Sans" w:cs="IBM Plex Sans" w:eastAsia="IBM Plex Sans" w:hAnsi="IBM Plex Sans"/>
          <w:color w:val="334155"/>
          <w:sz w:val="22"/>
          <w:szCs w:val="22"/>
        </w:rPr>
        <w:t xml:space="preserve">Lini kedua: farmakoterapi antimuskarinik atau agonis beta-3 adrenergik, dengan pertimbangan efek samping dan komorbiditas pasien (misalnya kehati-hatian pada pasien lanjut usia dengan risiko gangguan kognitif).</w:t>
      </w:r>
    </w:p>
    <w:p>
      <w:pPr>
        <w:pStyle w:val="ListParagraph"/>
        <w:numPr>
          <w:ilvl w:val="0"/>
          <w:numId w:val="1"/>
        </w:numPr>
        <w:spacing w:after="100" w:line="280"/>
      </w:pPr>
      <w:r>
        <w:rPr>
          <w:rFonts w:ascii="IBM Plex Sans" w:cs="IBM Plex Sans" w:eastAsia="IBM Plex Sans" w:hAnsi="IBM Plex Sans"/>
          <w:color w:val="334155"/>
          <w:sz w:val="22"/>
          <w:szCs w:val="22"/>
        </w:rPr>
        <w:t xml:space="preserve">Lini ketiga (kompetensi lanjut/rujukan): neuromodulasi atau injeksi toksin botulinum intravesika, berada di luar kompetensi dasar SpOG dan menjadi ranah layanan uroginekologi rekonstruktif.</w:t>
      </w:r>
    </w:p>
    <w:p>
      <w:pPr>
        <w:spacing w:after="100"/>
      </w:pPr>
      <w:r>
        <w:rPr>
          <w:sz w:val="4"/>
          <w:szCs w:val="4"/>
        </w:rPr>
        <w:t xml:space="preserve"/>
      </w:r>
    </w:p>
    <w:p>
      <w:pPr>
        <w:spacing w:after="200" w:line="300"/>
        <w:jc w:val="both"/>
      </w:pPr>
      <w:r>
        <w:rPr>
          <w:rFonts w:ascii="IBM Plex Sans" w:cs="IBM Plex Sans" w:eastAsia="IBM Plex Sans" w:hAnsi="IBM Plex Sans"/>
          <w:color w:val="334155"/>
          <w:sz w:val="22"/>
          <w:szCs w:val="22"/>
        </w:rPr>
        <w:t xml:space="preserve">Edukasi pasien memegang peran penting dalam keberhasilan tata laksana OAB lini pertama. Peserta didik perlu dilatih menyampaikan penjelasan yang realistis mengenai target terapi (perbaikan gejala dan kualitas hidup, bukan selalu penyembuhan total), durasi terapi perilaku yang memerlukan waktu minimal 6–8 minggu untuk menilai respons, serta pentingnya kepatuhan terhadap bladder training meski perbaikan gejala tidak instan.</w:t>
      </w:r>
    </w:p>
    <w:p>
      <w:pPr>
        <w:pStyle w:val="Heading2"/>
        <w:spacing w:after="160" w:before="300"/>
      </w:pPr>
      <w:r>
        <w:rPr>
          <w:rFonts w:ascii="Source Serif 4" w:cs="Source Serif 4" w:eastAsia="Source Serif 4" w:hAnsi="Source Serif 4"/>
          <w:b/>
          <w:bCs/>
          <w:color w:val="4F46E5"/>
          <w:sz w:val="26"/>
          <w:szCs w:val="26"/>
        </w:rPr>
        <w:t xml:space="preserve">3.3 Retensio Urin Akut Pasca-persalinan</w:t>
      </w:r>
    </w:p>
    <w:p>
      <w:pPr>
        <w:spacing w:after="200" w:line="300"/>
        <w:jc w:val="both"/>
      </w:pPr>
      <w:r>
        <w:rPr>
          <w:rFonts w:ascii="IBM Plex Sans" w:cs="IBM Plex Sans" w:eastAsia="IBM Plex Sans" w:hAnsi="IBM Plex Sans"/>
          <w:color w:val="334155"/>
          <w:sz w:val="22"/>
          <w:szCs w:val="22"/>
        </w:rPr>
        <w:t xml:space="preserve">Retensio urin akut pasca-persalinan (post-partum urinary retention; ICD-10 R33, ICD-11 MF50.3) didefinisikan sebagai ketidakmampuan berkemih spontan secara adekuat dalam periode segera pascapersalinan, akibat kombinasi trauma persalinan, analgesia regional (epidural/spinal), edema periuretra, dan gangguan sensasi kandung kemih sementara. Kondisi ini merupakan kegawatan uroginekologi ringan namun umum dijumpai di ruang bersalin, memerlukan pengenalan dan tata laksana segera oleh SpOG maupun tenaga kesehatan di bawah supervisinya untuk mencegah komplikasi jangka panjang seperti disfungsi kandung kemih kronis.</w:t>
      </w:r>
    </w:p>
    <w:p>
      <w:pPr>
        <w:spacing w:after="200" w:line="300"/>
        <w:jc w:val="both"/>
      </w:pPr>
      <w:r>
        <w:rPr>
          <w:rFonts w:ascii="IBM Plex Sans" w:cs="IBM Plex Sans" w:eastAsia="IBM Plex Sans" w:hAnsi="IBM Plex Sans"/>
          <w:color w:val="334155"/>
          <w:sz w:val="22"/>
          <w:szCs w:val="22"/>
        </w:rPr>
        <w:t xml:space="preserve">Pendekatan tata laksana dasar meliputi pemantauan volume residu urin pascaberkemih (post-void residual, PVR) menggunakan bladder scan atau kateterisasi intermiten, edukasi teknik berkemih, dan pemasangan kateter menetap sementara pada kasus retensi persisten dengan PVR bermakna, disertai rencana pelepasan bertahap (trial without catheter) serta pemantauan lanjut bila retensi menetap di luar periode akut yang wajar.</w:t>
      </w:r>
    </w:p>
    <w:p>
      <w:pPr>
        <w:spacing w:after="200" w:line="300"/>
        <w:jc w:val="both"/>
      </w:pPr>
      <w:r>
        <w:rPr>
          <w:rFonts w:ascii="IBM Plex Sans" w:cs="IBM Plex Sans" w:eastAsia="IBM Plex Sans" w:hAnsi="IBM Plex Sans"/>
          <w:color w:val="334155"/>
          <w:sz w:val="22"/>
          <w:szCs w:val="22"/>
        </w:rPr>
        <w:t xml:space="preserve">Faktor risiko yang meningkatkan kemungkinan retensio urin pasca-persalinan meliputi persalinan dengan bantuan instrumen (forsep/vakum ekstraksi), persalinan lama kala II, episiotomi atau laserasi perineum derajat tinggi, serta penggunaan analgesia epidural dengan durasi blok motorik/sensorik yang panjang. Identifikasi faktor risiko ini sejak sebelum atau selama persalinan memungkinkan kewaspadaan dan pemantauan pola berkemih yang lebih ketat pada periode segera pascapersalinan, sehingga retensi dapat dideteksi dan ditata laksana sebelum menimbulkan distensi kandung kemih berlebihan yang berisiko merusak fungsi detrusor jangka panjang.</w:t>
      </w:r>
    </w:p>
    <w:p>
      <w:pPr>
        <w:pStyle w:val="Heading2"/>
        <w:spacing w:after="160" w:before="300"/>
      </w:pPr>
      <w:r>
        <w:rPr>
          <w:rFonts w:ascii="Source Serif 4" w:cs="Source Serif 4" w:eastAsia="Source Serif 4" w:hAnsi="Source Serif 4"/>
          <w:b/>
          <w:bCs/>
          <w:color w:val="4F46E5"/>
          <w:sz w:val="26"/>
          <w:szCs w:val="26"/>
        </w:rPr>
        <w:t xml:space="preserve">3.4 Dokumentasi dan Pemantauan Berkelanjutan</w:t>
      </w:r>
    </w:p>
    <w:p>
      <w:pPr>
        <w:spacing w:after="200" w:line="300"/>
        <w:jc w:val="both"/>
      </w:pPr>
      <w:r>
        <w:rPr>
          <w:rFonts w:ascii="IBM Plex Sans" w:cs="IBM Plex Sans" w:eastAsia="IBM Plex Sans" w:hAnsi="IBM Plex Sans"/>
          <w:color w:val="334155"/>
          <w:sz w:val="22"/>
          <w:szCs w:val="22"/>
        </w:rPr>
        <w:t xml:space="preserve">Setiap episode retensio urin akut pasca-persalinan maupun diagnosis OAB baru sepatutnya didokumentasikan secara terstruktur dalam rekam medis, mencakup volume residu urin, durasi kateterisasi bila dilakukan, serta rencana tindak lanjut. Dokumentasi yang konsisten mendukung audit mutu layanan serta memberikan dasar data bagi indikator kompetensi peserta didik sebagaimana dirangkum pada Tabel 2 (Bab VII).</w:t>
      </w:r>
    </w:p>
    <w:p>
      <w:pPr>
        <w:pStyle w:val="Heading2"/>
        <w:spacing w:after="160" w:before="300"/>
      </w:pPr>
      <w:r>
        <w:rPr>
          <w:rFonts w:ascii="Source Serif 4" w:cs="Source Serif 4" w:eastAsia="Source Serif 4" w:hAnsi="Source Serif 4"/>
          <w:b/>
          <w:bCs/>
          <w:color w:val="4F46E5"/>
          <w:sz w:val="26"/>
          <w:szCs w:val="26"/>
        </w:rPr>
        <w:t xml:space="preserve">3.5 Perbandingan dan Pengayaan Standar Internasional</w:t>
      </w:r>
    </w:p>
    <w:p>
      <w:pPr>
        <w:spacing w:after="120" w:line="280"/>
        <w:jc w:val="both"/>
      </w:pPr>
      <w:r>
        <w:rPr>
          <w:rFonts w:ascii="IBM Plex Sans" w:cs="IBM Plex Sans" w:eastAsia="IBM Plex Sans" w:hAnsi="IBM Plex Sans"/>
          <w:b/>
          <w:bCs/>
          <w:color w:val="334155"/>
          <w:sz w:val="21"/>
          <w:szCs w:val="21"/>
        </w:rPr>
        <w:t xml:space="preserve">Haylen BT, de Ridder D, Freeman RM, et al. (2010): </w:t>
      </w:r>
      <w:r>
        <w:rPr>
          <w:rFonts w:ascii="IBM Plex Sans" w:cs="IBM Plex Sans" w:eastAsia="IBM Plex Sans" w:hAnsi="IBM Plex Sans"/>
          <w:color w:val="334155"/>
          <w:sz w:val="21"/>
          <w:szCs w:val="21"/>
        </w:rPr>
        <w:t xml:space="preserve">menetapkan terminologi standar disfungsi dasar panggul perempuan, termasuk definisi baku gejala saluran kemih bawah seperti urgensi, frekuensi, dan nokturia yang mendasari diagnosis OAB, dan menjadi rujukan istilah pada bab ini dan Bab V.</w:t>
      </w:r>
    </w:p>
    <w:p>
      <w:pPr>
        <w:spacing w:after="120" w:line="280"/>
        <w:jc w:val="both"/>
      </w:pPr>
      <w:r>
        <w:rPr>
          <w:rFonts w:ascii="IBM Plex Sans" w:cs="IBM Plex Sans" w:eastAsia="IBM Plex Sans" w:hAnsi="IBM Plex Sans"/>
          <w:b/>
          <w:bCs/>
          <w:color w:val="334155"/>
          <w:sz w:val="21"/>
          <w:szCs w:val="21"/>
        </w:rPr>
        <w:t xml:space="preserve">World Health Organization (2022): </w:t>
      </w:r>
      <w:r>
        <w:rPr>
          <w:rFonts w:ascii="IBM Plex Sans" w:cs="IBM Plex Sans" w:eastAsia="IBM Plex Sans" w:hAnsi="IBM Plex Sans"/>
          <w:color w:val="334155"/>
          <w:sz w:val="21"/>
          <w:szCs w:val="21"/>
        </w:rPr>
        <w:t xml:space="preserve">menekankan pemantauan fungsi berkemih sebagai bagian dari penilaian rutin ibu pada periode pascapersalinan dini, sejalan dengan prinsip deteksi awal retensio urin pada bab ini.</w:t>
      </w:r>
    </w:p>
    <w:tbl>
      <w:tblPr>
        <w:tblW w:type="pct" w:w="100%"/>
        <w:tblBorders>
          <w:top w:val="single" w:color="4F46E5" w:sz="4"/>
          <w:left w:val="single" w:color="4F46E5" w:sz="4"/>
          <w:bottom w:val="single" w:color="4F46E5" w:sz="4"/>
          <w:right w:val="single" w:color="4F46E5" w:sz="4"/>
          <w:insideH w:val="none"/>
          <w:insideV w:val="none"/>
        </w:tblBorders>
      </w:tblPr>
      <w:tblGrid>
        <w:gridCol w:w="100"/>
      </w:tblGrid>
      <w:tr>
        <w:tc>
          <w:tcPr>
            <w:shd w:fill="EEF2FF" w:val="clear"/>
            <w:tcMar>
              <w:top w:type="dxa" w:w="140"/>
              <w:left w:type="dxa" w:w="200"/>
              <w:bottom w:type="dxa" w:w="140"/>
              <w:right w:type="dxa" w:w="200"/>
            </w:tcMar>
          </w:tcPr>
          <w:p>
            <w:pPr>
              <w:jc w:val="both"/>
            </w:pPr>
            <w:r>
              <w:rPr>
                <w:rFonts w:ascii="IBM Plex Sans" w:cs="IBM Plex Sans" w:eastAsia="IBM Plex Sans" w:hAnsi="IBM Plex Sans"/>
                <w:i/>
                <w:iCs/>
                <w:color w:val="334155"/>
                <w:sz w:val="20"/>
                <w:szCs w:val="20"/>
              </w:rPr>
              <w:t xml:space="preserve">Standar nasional (Kepkonsil) menetapkan pengenalan dan tata laksana awal OAB serta retensio urin pasca-persalinan sebagai kompetensi dasar SpOG; standar internasional (IUGA/ICS, WHO) memperkaya melalui terminologi baku dan prinsip pemantauan pascapersalinan; praktik di Indonesia mengikuti standar nasional dengan terminologi mengacu pada konsensus IUGA/ICS agar konsisten secara global.</w:t>
            </w:r>
          </w:p>
        </w:tc>
      </w:tr>
    </w:tbl>
    <w:p>
      <w:pPr>
        <w:spacing w:after="200"/>
      </w:pPr>
      <w:r>
        <w:rPr>
          <w:sz w:val="4"/>
          <w:szCs w:val="4"/>
        </w:rPr>
        <w:t xml:space="preserve"/>
      </w:r>
    </w:p>
    <w:p>
      <w:pPr>
        <w:spacing w:after="100" w:before="160"/>
      </w:pPr>
      <w:r>
        <w:rPr>
          <w:rFonts w:ascii="IBM Plex Sans" w:cs="IBM Plex Sans" w:eastAsia="IBM Plex Sans" w:hAnsi="IBM Plex Sans"/>
          <w:b/>
          <w:bCs/>
          <w:i/>
          <w:iCs/>
          <w:color w:val="64748B"/>
          <w:sz w:val="19"/>
          <w:szCs w:val="19"/>
        </w:rPr>
        <w:t xml:space="preserve">Rujukan Bab Ini</w:t>
      </w:r>
    </w:p>
    <w:p>
      <w:pPr>
        <w:pStyle w:val="ListParagraph"/>
        <w:numPr>
          <w:ilvl w:val="0"/>
          <w:numId w:val="1"/>
        </w:numPr>
        <w:spacing w:after="90" w:line="260"/>
      </w:pPr>
      <w:r>
        <w:rPr>
          <w:rFonts w:ascii="IBM Plex Mono" w:cs="IBM Plex Mono" w:eastAsia="IBM Plex Mono" w:hAnsi="IBM Plex Mono"/>
          <w:color w:val="334155"/>
          <w:sz w:val="17"/>
          <w:szCs w:val="17"/>
        </w:rPr>
        <w:t xml:space="preserve">Haylen BT, de Ridder D, Freeman RM, et al. (2010). An International Urogynecological Association (IUGA)/International Continence Society (ICS) joint report on the terminology for female pelvic floor dysfunction. International Urogynecology Journal 21(1):5–26.</w:t>
      </w:r>
      <w:r>
        <w:rPr>
          <w:sz w:val="17"/>
          <w:szCs w:val="17"/>
        </w:rPr>
        <w:t xml:space="preserve"> </w:t>
      </w:r>
      <w:hyperlink w:history="1" r:id="rIdgixdsj1s17punmj0m1j6c">
        <w:r>
          <w:rPr>
            <w:rFonts w:ascii="IBM Plex Mono" w:cs="IBM Plex Mono" w:eastAsia="IBM Plex Mono" w:hAnsi="IBM Plex Mono"/>
            <w:color w:val="4F46E5"/>
            <w:sz w:val="17"/>
            <w:szCs w:val="17"/>
            <w:u w:val="single"/>
          </w:rPr>
          <w:t xml:space="preserve">https://doi.org/10.1007/s00192-009-0976-9</w:t>
        </w:r>
      </w:hyperlink>
    </w:p>
    <w:p>
      <w:pPr>
        <w:pStyle w:val="ListParagraph"/>
        <w:numPr>
          <w:ilvl w:val="0"/>
          <w:numId w:val="1"/>
        </w:numPr>
        <w:spacing w:after="90" w:line="260"/>
      </w:pPr>
      <w:r>
        <w:rPr>
          <w:rFonts w:ascii="IBM Plex Mono" w:cs="IBM Plex Mono" w:eastAsia="IBM Plex Mono" w:hAnsi="IBM Plex Mono"/>
          <w:color w:val="334155"/>
          <w:sz w:val="17"/>
          <w:szCs w:val="17"/>
        </w:rPr>
        <w:t xml:space="preserve">World Health Organization (2022). WHO Recommendations on Maternal and Newborn Care for a Positive Postnatal Experience. Geneva: World Health Organization.</w:t>
      </w:r>
      <w:r>
        <w:rPr>
          <w:sz w:val="17"/>
          <w:szCs w:val="17"/>
        </w:rPr>
        <w:t xml:space="preserve"> </w:t>
      </w:r>
      <w:hyperlink w:history="1" r:id="rIdvcxguh2iyjmw3dpueelt5">
        <w:r>
          <w:rPr>
            <w:rFonts w:ascii="IBM Plex Mono" w:cs="IBM Plex Mono" w:eastAsia="IBM Plex Mono" w:hAnsi="IBM Plex Mono"/>
            <w:color w:val="4F46E5"/>
            <w:sz w:val="17"/>
            <w:szCs w:val="17"/>
            <w:u w:val="single"/>
          </w:rPr>
          <w:t xml:space="preserve">https://www.who.int/publications/i/item/9789240045989</w:t>
        </w:r>
      </w:hyperlink>
    </w:p>
    <w:p>
      <w:pPr>
        <w:spacing w:after="160"/>
      </w:pPr>
      <w:r>
        <w:rPr>
          <w:sz w:val="4"/>
          <w:szCs w:val="4"/>
        </w:rPr>
        <w:t xml:space="preserve"/>
      </w:r>
    </w:p>
    <w:p>
      <w:pPr>
        <w:pStyle w:val="Heading1"/>
        <w:pageBreakBefore/>
        <w:pBdr>
          <w:bottom w:val="single" w:color="4F46E5" w:sz="8" w:space="8"/>
        </w:pBdr>
        <w:spacing w:after="260" w:before="0"/>
      </w:pPr>
      <w:r>
        <w:rPr>
          <w:rFonts w:ascii="Source Serif 4" w:cs="Source Serif 4" w:eastAsia="Source Serif 4" w:hAnsi="Source Serif 4"/>
          <w:b/>
          <w:bCs/>
          <w:color w:val="4F46E5"/>
          <w:sz w:val="34"/>
          <w:szCs w:val="34"/>
        </w:rPr>
        <w:t xml:space="preserve">Bab IV Prolaps Organ Panggul Dasar</w:t>
      </w:r>
    </w:p>
    <w:tbl>
      <w:tblPr>
        <w:tblW w:type="pct" w:w="100%"/>
        <w:tblBorders>
          <w:top w:val="single" w:color="B45309" w:sz="6"/>
          <w:left w:val="single" w:color="B45309" w:sz="6"/>
          <w:bottom w:val="single" w:color="B45309" w:sz="6"/>
          <w:right w:val="single" w:color="B45309" w:sz="6"/>
          <w:insideH w:val="none"/>
          <w:insideV w:val="none"/>
        </w:tblBorders>
      </w:tblPr>
      <w:tblGrid>
        <w:gridCol w:w="100"/>
      </w:tblGrid>
      <w:tr>
        <w:tc>
          <w:tcPr>
            <w:shd w:fill="FFFBEB"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 Dasar Regulasi</w:t>
            </w:r>
          </w:p>
          <w:p>
            <w:pPr>
              <w:spacing w:after="0" w:line="280"/>
              <w:jc w:val="both"/>
            </w:pPr>
            <w:r>
              <w:rPr>
                <w:rFonts w:ascii="IBM Plex Mono" w:cs="IBM Plex Mono" w:eastAsia="IBM Plex Mono" w:hAnsi="IBM Plex Mono"/>
                <w:color w:val="334155"/>
                <w:sz w:val="18"/>
                <w:szCs w:val="18"/>
              </w:rPr>
              <w:t xml:space="preserve">Bab ini merujuk Tabel 7 No. 63 — Prolaps organ panggul derajat I/pelvic organ prolapse grade I (ICD-10 N81.2, ICD-11 GC40), Kepkonsil HK.01.02/KKI/1318/2026.</w:t>
            </w:r>
          </w:p>
        </w:tc>
      </w:tr>
    </w:tbl>
    <w:p>
      <w:pPr>
        <w:spacing w:after="200"/>
      </w:pPr>
      <w:r>
        <w:rPr>
          <w:sz w:val="4"/>
          <w:szCs w:val="4"/>
        </w:rPr>
        <w:t xml:space="preserve"/>
      </w:r>
    </w:p>
    <w:p>
      <w:pPr>
        <w:pStyle w:val="Heading2"/>
        <w:spacing w:after="160" w:before="300"/>
      </w:pPr>
      <w:r>
        <w:rPr>
          <w:rFonts w:ascii="Source Serif 4" w:cs="Source Serif 4" w:eastAsia="Source Serif 4" w:hAnsi="Source Serif 4"/>
          <w:b/>
          <w:bCs/>
          <w:color w:val="4F46E5"/>
          <w:sz w:val="26"/>
          <w:szCs w:val="26"/>
        </w:rPr>
        <w:t xml:space="preserve">4.1 Anatomi dan Patofisiologi Dasar Panggul</w:t>
      </w:r>
    </w:p>
    <w:p>
      <w:pPr>
        <w:spacing w:after="200" w:line="300"/>
        <w:jc w:val="both"/>
      </w:pPr>
      <w:r>
        <w:rPr>
          <w:rFonts w:ascii="IBM Plex Sans" w:cs="IBM Plex Sans" w:eastAsia="IBM Plex Sans" w:hAnsi="IBM Plex Sans"/>
          <w:color w:val="334155"/>
          <w:sz w:val="22"/>
          <w:szCs w:val="22"/>
        </w:rPr>
        <w:t xml:space="preserve">Prolaps organ panggul (pelvic organ prolapse, POP) terjadi akibat kegagalan sistem penyokong dasar panggul — otot levator ani, fasia endopelvik, dan ligamen penyokong (kardinal, uterosakral) — sehingga satu atau lebih organ panggul (dinding vagina anterior/kandung kemih, dinding vagina posterior/rektum, apeks vagina/uterus atau puncak vagina pascahisterektomi) turun melampaui posisi anatomis normalnya. Faktor risiko utama meliputi persalinan pervaginam (terutama dengan trauma dasar panggul), usia lanjut, penurunan estrogen pascamenopause, obesitas, serta kondisi peningkatan tekanan intraabdomen kronis (batuk kronis, konstipasi kronis, pekerjaan mengangkat beban berat).</w:t>
      </w:r>
    </w:p>
    <w:p>
      <w:pPr>
        <w:pStyle w:val="Heading2"/>
        <w:spacing w:after="160" w:before="300"/>
      </w:pPr>
      <w:r>
        <w:rPr>
          <w:rFonts w:ascii="Source Serif 4" w:cs="Source Serif 4" w:eastAsia="Source Serif 4" w:hAnsi="Source Serif 4"/>
          <w:b/>
          <w:bCs/>
          <w:color w:val="4F46E5"/>
          <w:sz w:val="26"/>
          <w:szCs w:val="26"/>
        </w:rPr>
        <w:t xml:space="preserve">4.2 Klasifikasi dan Prolaps Derajat I</w:t>
      </w:r>
    </w:p>
    <w:p>
      <w:pPr>
        <w:spacing w:after="200" w:line="300"/>
        <w:jc w:val="both"/>
      </w:pPr>
      <w:r>
        <w:rPr>
          <w:rFonts w:ascii="IBM Plex Sans" w:cs="IBM Plex Sans" w:eastAsia="IBM Plex Sans" w:hAnsi="IBM Plex Sans"/>
          <w:color w:val="334155"/>
          <w:sz w:val="22"/>
          <w:szCs w:val="22"/>
        </w:rPr>
        <w:t xml:space="preserve">Sistem klasifikasi baku internasional yang digunakan adalah Pelvic Organ Prolapse Quantification (POP-Q), yang mengukur posisi titik-titik anatomis spesifik pada dinding vagina relatif terhadap hymen sebagai titik referensi tetap. Prolaps organ panggul derajat I (ICD-10 N81.2, ICD-11 GC40) didefinisikan sebagai kondisi ketika bagian organ yang paling menonjol berada lebih dari 1 cm di atas (proksimal terhadap) bidang hymen. Derajat ini umumnya bersifat asimtomatik atau menimbulkan gejala ringan, dan menjadi kompetensi dasar deteksi dini bagi SpOG umum sebelum kasus derajat lanjut dirujuk ke layanan uroginekologi rekonstruktif.</w:t>
      </w:r>
    </w:p>
    <w:p>
      <w:pPr>
        <w:spacing w:after="200" w:line="300"/>
        <w:jc w:val="both"/>
      </w:pPr>
      <w:r>
        <w:rPr>
          <w:rFonts w:ascii="IBM Plex Sans" w:cs="IBM Plex Sans" w:eastAsia="IBM Plex Sans" w:hAnsi="IBM Plex Sans"/>
          <w:color w:val="334155"/>
          <w:sz w:val="22"/>
          <w:szCs w:val="22"/>
        </w:rPr>
        <w:t xml:space="preserve">Manifestasi klinis derajat I dapat berupa rasa mengganjal ringan pada vagina, tanpa benjolan yang teraba oleh pasien sendiri. Pemeriksaan dilakukan dengan pasien dalam posisi litotomi dan manuver Valsava untuk menilai derajat penurunan organ secara maksimal, idealnya menggunakan spekulum Sims untuk memisahkan penilaian kompartemen anterior dan posterior secara terpisah.</w:t>
      </w:r>
    </w:p>
    <w:p>
      <w:pPr>
        <w:spacing w:after="200" w:line="300"/>
        <w:jc w:val="both"/>
      </w:pPr>
      <w:r>
        <w:rPr>
          <w:rFonts w:ascii="IBM Plex Sans" w:cs="IBM Plex Sans" w:eastAsia="IBM Plex Sans" w:hAnsi="IBM Plex Sans"/>
          <w:color w:val="334155"/>
          <w:sz w:val="22"/>
          <w:szCs w:val="22"/>
        </w:rPr>
        <w:t xml:space="preserve">Penilaian POP-Q secara lengkap mencakup pengukuran enam titik anatomis (Aa, Ba, C, D, Ap, Bp) relatif terhadap bidang hymen, serta pengukuran panjang vagina total (total vaginal length), hiatus genital (genital hiatus), dan badan perineum (perineal body). Meskipun pengukuran lengkap keenam titik tersebut merupakan kompetensi lanjut, peserta didik PPDS tahun II–IV wajib menguasai prinsip dasarnya agar mampu membedakan derajat I dari derajat II ke atas secara akurat dan konsisten, sehingga keputusan tata laksana konservatif versus rujukan dapat diambil dengan tepat.</w:t>
      </w:r>
    </w:p>
    <w:p>
      <w:pPr>
        <w:pStyle w:val="Heading2"/>
        <w:spacing w:after="160" w:before="300"/>
      </w:pPr>
      <w:r>
        <w:rPr>
          <w:rFonts w:ascii="Source Serif 4" w:cs="Source Serif 4" w:eastAsia="Source Serif 4" w:hAnsi="Source Serif 4"/>
          <w:b/>
          <w:bCs/>
          <w:color w:val="4F46E5"/>
          <w:sz w:val="26"/>
          <w:szCs w:val="26"/>
        </w:rPr>
        <w:t xml:space="preserve">4.3 Tata Laksana Konservatif dan Indikasi Rujukan</w:t>
      </w:r>
    </w:p>
    <w:p>
      <w:pPr>
        <w:spacing w:after="200" w:line="300"/>
        <w:jc w:val="both"/>
      </w:pPr>
      <w:r>
        <w:rPr>
          <w:rFonts w:ascii="IBM Plex Sans" w:cs="IBM Plex Sans" w:eastAsia="IBM Plex Sans" w:hAnsi="IBM Plex Sans"/>
          <w:color w:val="334155"/>
          <w:sz w:val="22"/>
          <w:szCs w:val="22"/>
        </w:rPr>
        <w:t xml:space="preserve">Pada prolaps derajat I yang asimtomatik atau bergejala ringan, tata laksana konservatif menjadi pilihan utama, meliputi edukasi mengenai faktor risiko yang dapat dimodifikasi (penurunan berat badan, tata laksana konstipasi kronis, batasan angkat beban), latihan otot dasar panggul terstruktur (misalnya latihan Kegel dengan bimbingan), serta observasi berkala.</w:t>
      </w:r>
    </w:p>
    <w:p>
      <w:pPr>
        <w:pStyle w:val="ListParagraph"/>
        <w:numPr>
          <w:ilvl w:val="0"/>
          <w:numId w:val="1"/>
        </w:numPr>
        <w:spacing w:after="100" w:line="280"/>
      </w:pPr>
      <w:r>
        <w:rPr>
          <w:rFonts w:ascii="IBM Plex Sans" w:cs="IBM Plex Sans" w:eastAsia="IBM Plex Sans" w:hAnsi="IBM Plex Sans"/>
          <w:color w:val="334155"/>
          <w:sz w:val="22"/>
          <w:szCs w:val="22"/>
        </w:rPr>
        <w:t xml:space="preserve">Latihan otot dasar panggul terstruktur dan terbimbing sebagai lini pertama pada derajat I–II bergejala.</w:t>
      </w:r>
    </w:p>
    <w:p>
      <w:pPr>
        <w:pStyle w:val="ListParagraph"/>
        <w:numPr>
          <w:ilvl w:val="0"/>
          <w:numId w:val="1"/>
        </w:numPr>
        <w:spacing w:after="100" w:line="280"/>
      </w:pPr>
      <w:r>
        <w:rPr>
          <w:rFonts w:ascii="IBM Plex Sans" w:cs="IBM Plex Sans" w:eastAsia="IBM Plex Sans" w:hAnsi="IBM Plex Sans"/>
          <w:color w:val="334155"/>
          <w:sz w:val="22"/>
          <w:szCs w:val="22"/>
        </w:rPr>
        <w:t xml:space="preserve">Pesarium vagina (vaginal pessary) sebagai opsi non-bedah pada pasien bergejala yang belum/tidak menghendaki tindakan operatif.</w:t>
      </w:r>
    </w:p>
    <w:p>
      <w:pPr>
        <w:pStyle w:val="ListParagraph"/>
        <w:numPr>
          <w:ilvl w:val="0"/>
          <w:numId w:val="1"/>
        </w:numPr>
        <w:spacing w:after="100" w:line="280"/>
      </w:pPr>
      <w:r>
        <w:rPr>
          <w:rFonts w:ascii="IBM Plex Sans" w:cs="IBM Plex Sans" w:eastAsia="IBM Plex Sans" w:hAnsi="IBM Plex Sans"/>
          <w:color w:val="334155"/>
          <w:sz w:val="22"/>
          <w:szCs w:val="22"/>
        </w:rPr>
        <w:t xml:space="preserve">Terapi estrogen vaginal lokal pada pasien pascamenopause untuk memperbaiki kualitas jaringan vagina penyokong pesarium.</w:t>
      </w:r>
    </w:p>
    <w:p>
      <w:pPr>
        <w:pStyle w:val="ListParagraph"/>
        <w:numPr>
          <w:ilvl w:val="0"/>
          <w:numId w:val="1"/>
        </w:numPr>
        <w:spacing w:after="100" w:line="280"/>
      </w:pPr>
      <w:r>
        <w:rPr>
          <w:rFonts w:ascii="IBM Plex Sans" w:cs="IBM Plex Sans" w:eastAsia="IBM Plex Sans" w:hAnsi="IBM Plex Sans"/>
          <w:color w:val="334155"/>
          <w:sz w:val="22"/>
          <w:szCs w:val="22"/>
        </w:rPr>
        <w:t xml:space="preserve">Rujukan ke layanan uroginekologi rekonstruktif diindikasikan pada prolaps derajat II ke atas bergejala, kegagalan tata laksana konservatif, atau kasus dengan disfungsi berkemih/defekasi kompleks yang menyertai.</w:t>
      </w:r>
    </w:p>
    <w:p>
      <w:pPr>
        <w:spacing w:after="100"/>
      </w:pPr>
      <w:r>
        <w:rPr>
          <w:sz w:val="4"/>
          <w:szCs w:val="4"/>
        </w:rPr>
        <w:t xml:space="preserve"/>
      </w:r>
    </w:p>
    <w:p>
      <w:pPr>
        <w:spacing w:after="200" w:line="300"/>
        <w:jc w:val="both"/>
      </w:pPr>
      <w:r>
        <w:rPr>
          <w:rFonts w:ascii="IBM Plex Sans" w:cs="IBM Plex Sans" w:eastAsia="IBM Plex Sans" w:hAnsi="IBM Plex Sans"/>
          <w:color w:val="334155"/>
          <w:sz w:val="22"/>
          <w:szCs w:val="22"/>
        </w:rPr>
        <w:t xml:space="preserve">Pemasangan pesarium vagina memerlukan pemilihan jenis dan ukuran yang sesuai anatomi individual, uji coba pemakaian di klinik, serta jadwal kontrol berkala untuk evaluasi komplikasi lokal seperti erosi mukosa vagina, keputihan berlebihan, atau ketidaknyamanan. Peserta didik PPDS perlu dilatih keterampilan pemasangan dan pelepasan pesarium sebagai salah satu kompetensi prosedural dasar uroginekologi sebelum memasuki jenjang subspesialisasi.</w:t>
      </w:r>
    </w:p>
    <w:p>
      <w:pPr>
        <w:pStyle w:val="Heading2"/>
        <w:spacing w:after="160" w:before="300"/>
      </w:pPr>
      <w:r>
        <w:rPr>
          <w:rFonts w:ascii="Source Serif 4" w:cs="Source Serif 4" w:eastAsia="Source Serif 4" w:hAnsi="Source Serif 4"/>
          <w:b/>
          <w:bCs/>
          <w:color w:val="4F46E5"/>
          <w:sz w:val="26"/>
          <w:szCs w:val="26"/>
        </w:rPr>
        <w:t xml:space="preserve">4.4 Perbandingan dan Pengayaan Standar Internasional</w:t>
      </w:r>
    </w:p>
    <w:p>
      <w:pPr>
        <w:spacing w:after="120" w:line="280"/>
        <w:jc w:val="both"/>
      </w:pPr>
      <w:r>
        <w:rPr>
          <w:rFonts w:ascii="IBM Plex Sans" w:cs="IBM Plex Sans" w:eastAsia="IBM Plex Sans" w:hAnsi="IBM Plex Sans"/>
          <w:b/>
          <w:bCs/>
          <w:color w:val="334155"/>
          <w:sz w:val="21"/>
          <w:szCs w:val="21"/>
        </w:rPr>
        <w:t xml:space="preserve">Haylen BT, Maher CF, Barber MD, et al. (2016): </w:t>
      </w:r>
      <w:r>
        <w:rPr>
          <w:rFonts w:ascii="IBM Plex Sans" w:cs="IBM Plex Sans" w:eastAsia="IBM Plex Sans" w:hAnsi="IBM Plex Sans"/>
          <w:color w:val="334155"/>
          <w:sz w:val="21"/>
          <w:szCs w:val="21"/>
        </w:rPr>
        <w:t xml:space="preserve">menstandardisasi terminologi dan sistem pengukuran POP-Q untuk prolaps organ panggul perempuan, yang diadopsi sebagai rujukan klasifikasi pada bab ini.</w:t>
      </w:r>
    </w:p>
    <w:p>
      <w:pPr>
        <w:spacing w:after="120" w:line="280"/>
        <w:jc w:val="both"/>
      </w:pPr>
      <w:r>
        <w:rPr>
          <w:rFonts w:ascii="IBM Plex Sans" w:cs="IBM Plex Sans" w:eastAsia="IBM Plex Sans" w:hAnsi="IBM Plex Sans"/>
          <w:b/>
          <w:bCs/>
          <w:color w:val="334155"/>
          <w:sz w:val="21"/>
          <w:szCs w:val="21"/>
        </w:rPr>
        <w:t xml:space="preserve">National Institute for Health and Care Excellence (2019, terakhir ditinjau 2026): </w:t>
      </w:r>
      <w:r>
        <w:rPr>
          <w:rFonts w:ascii="IBM Plex Sans" w:cs="IBM Plex Sans" w:eastAsia="IBM Plex Sans" w:hAnsi="IBM Plex Sans"/>
          <w:color w:val="334155"/>
          <w:sz w:val="21"/>
          <w:szCs w:val="21"/>
        </w:rPr>
        <w:t xml:space="preserve">sebagai pedoman nasional Inggris yang menjadi acuan praktik uroginekologi di lingkungan RCOG/BSUG, merekomendasikan pendekatan bertahap dimulai dari edukasi, latihan otot dasar panggul, dan pesarium sebelum pertimbangan bedah, dengan penekanan pada pengambilan keputusan bersama pasien. Untuk kasus prolaps puncak vagina pascahisterektomi secara spesifik, RCOG bersama British Society of Urogynaecology menerbitkan pedoman Green-top tersendiri.</w:t>
      </w:r>
    </w:p>
    <w:tbl>
      <w:tblPr>
        <w:tblW w:type="pct" w:w="100%"/>
        <w:tblBorders>
          <w:top w:val="single" w:color="4F46E5" w:sz="4"/>
          <w:left w:val="single" w:color="4F46E5" w:sz="4"/>
          <w:bottom w:val="single" w:color="4F46E5" w:sz="4"/>
          <w:right w:val="single" w:color="4F46E5" w:sz="4"/>
          <w:insideH w:val="none"/>
          <w:insideV w:val="none"/>
        </w:tblBorders>
      </w:tblPr>
      <w:tblGrid>
        <w:gridCol w:w="100"/>
      </w:tblGrid>
      <w:tr>
        <w:tc>
          <w:tcPr>
            <w:shd w:fill="EEF2FF" w:val="clear"/>
            <w:tcMar>
              <w:top w:type="dxa" w:w="140"/>
              <w:left w:type="dxa" w:w="200"/>
              <w:bottom w:type="dxa" w:w="140"/>
              <w:right w:type="dxa" w:w="200"/>
            </w:tcMar>
          </w:tcPr>
          <w:p>
            <w:pPr>
              <w:jc w:val="both"/>
            </w:pPr>
            <w:r>
              <w:rPr>
                <w:rFonts w:ascii="IBM Plex Sans" w:cs="IBM Plex Sans" w:eastAsia="IBM Plex Sans" w:hAnsi="IBM Plex Sans"/>
                <w:i/>
                <w:iCs/>
                <w:color w:val="334155"/>
                <w:sz w:val="20"/>
                <w:szCs w:val="20"/>
              </w:rPr>
              <w:t xml:space="preserve">Standar nasional (Kepkonsil) menetapkan deteksi dan tata laksana konservatif prolaps derajat I sebagai kompetensi dasar SpOG; standar internasional (IUGA/ICS, NICE/RCOG) memperkaya melalui sistem klasifikasi POP-Q terstandar dan algoritma tata laksana bertahap berbasis bukti; praktik di Indonesia mengikuti standar nasional dengan adopsi terminologi dan sistem POP-Q internasional agar konsisten dan tertelusur secara global.</w:t>
            </w:r>
          </w:p>
        </w:tc>
      </w:tr>
    </w:tbl>
    <w:p>
      <w:pPr>
        <w:spacing w:after="200"/>
      </w:pPr>
      <w:r>
        <w:rPr>
          <w:sz w:val="4"/>
          <w:szCs w:val="4"/>
        </w:rPr>
        <w:t xml:space="preserve"/>
      </w:r>
    </w:p>
    <w:p>
      <w:pPr>
        <w:spacing w:after="100" w:before="160"/>
      </w:pPr>
      <w:r>
        <w:rPr>
          <w:rFonts w:ascii="IBM Plex Sans" w:cs="IBM Plex Sans" w:eastAsia="IBM Plex Sans" w:hAnsi="IBM Plex Sans"/>
          <w:b/>
          <w:bCs/>
          <w:i/>
          <w:iCs/>
          <w:color w:val="64748B"/>
          <w:sz w:val="19"/>
          <w:szCs w:val="19"/>
        </w:rPr>
        <w:t xml:space="preserve">Rujukan Bab Ini</w:t>
      </w:r>
    </w:p>
    <w:p>
      <w:pPr>
        <w:pStyle w:val="ListParagraph"/>
        <w:numPr>
          <w:ilvl w:val="0"/>
          <w:numId w:val="1"/>
        </w:numPr>
        <w:spacing w:after="90" w:line="260"/>
      </w:pPr>
      <w:r>
        <w:rPr>
          <w:rFonts w:ascii="IBM Plex Mono" w:cs="IBM Plex Mono" w:eastAsia="IBM Plex Mono" w:hAnsi="IBM Plex Mono"/>
          <w:color w:val="334155"/>
          <w:sz w:val="17"/>
          <w:szCs w:val="17"/>
        </w:rPr>
        <w:t xml:space="preserve">Haylen BT, Maher CF, Barber MD, et al. (2016). An International Urogynecological Association (IUGA)/International Continence Society (ICS) joint report on the terminology for female pelvic organ prolapse (POP). International Urogynecology Journal 27(4):655–684.</w:t>
      </w:r>
      <w:r>
        <w:rPr>
          <w:sz w:val="17"/>
          <w:szCs w:val="17"/>
        </w:rPr>
        <w:t xml:space="preserve"> </w:t>
      </w:r>
      <w:hyperlink w:history="1" r:id="rIdeytr785q_1k3lqdgxraif">
        <w:r>
          <w:rPr>
            <w:rFonts w:ascii="IBM Plex Mono" w:cs="IBM Plex Mono" w:eastAsia="IBM Plex Mono" w:hAnsi="IBM Plex Mono"/>
            <w:color w:val="4F46E5"/>
            <w:sz w:val="17"/>
            <w:szCs w:val="17"/>
            <w:u w:val="single"/>
          </w:rPr>
          <w:t xml:space="preserve">https://doi.org/10.1007/s00192-016-3003-y</w:t>
        </w:r>
      </w:hyperlink>
    </w:p>
    <w:p>
      <w:pPr>
        <w:pStyle w:val="ListParagraph"/>
        <w:numPr>
          <w:ilvl w:val="0"/>
          <w:numId w:val="1"/>
        </w:numPr>
        <w:spacing w:after="90" w:line="260"/>
      </w:pPr>
      <w:r>
        <w:rPr>
          <w:rFonts w:ascii="IBM Plex Mono" w:cs="IBM Plex Mono" w:eastAsia="IBM Plex Mono" w:hAnsi="IBM Plex Mono"/>
          <w:color w:val="334155"/>
          <w:sz w:val="17"/>
          <w:szCs w:val="17"/>
        </w:rPr>
        <w:t xml:space="preserve">National Institute for Health and Care Excellence (2019, terakhir ditinjau 2026). Urinary Incontinence and Pelvic Organ Prolapse in Women: Management. NICE Guideline NG123. London: NICE.</w:t>
      </w:r>
      <w:r>
        <w:rPr>
          <w:sz w:val="17"/>
          <w:szCs w:val="17"/>
        </w:rPr>
        <w:t xml:space="preserve"> </w:t>
      </w:r>
      <w:hyperlink w:history="1" r:id="rIdf1engpbfzc6uqs4qust2d">
        <w:r>
          <w:rPr>
            <w:rFonts w:ascii="IBM Plex Mono" w:cs="IBM Plex Mono" w:eastAsia="IBM Plex Mono" w:hAnsi="IBM Plex Mono"/>
            <w:color w:val="4F46E5"/>
            <w:sz w:val="17"/>
            <w:szCs w:val="17"/>
            <w:u w:val="single"/>
          </w:rPr>
          <w:t xml:space="preserve">https://www.nice.org.uk/guidance/ng123</w:t>
        </w:r>
      </w:hyperlink>
    </w:p>
    <w:p>
      <w:pPr>
        <w:pStyle w:val="ListParagraph"/>
        <w:numPr>
          <w:ilvl w:val="0"/>
          <w:numId w:val="1"/>
        </w:numPr>
        <w:spacing w:after="90" w:line="260"/>
      </w:pPr>
      <w:r>
        <w:rPr>
          <w:rFonts w:ascii="IBM Plex Mono" w:cs="IBM Plex Mono" w:eastAsia="IBM Plex Mono" w:hAnsi="IBM Plex Mono"/>
          <w:color w:val="334155"/>
          <w:sz w:val="17"/>
          <w:szCs w:val="17"/>
        </w:rPr>
        <w:t xml:space="preserve">Royal College of Obstetricians and Gynaecologists, British Society of Urogynaecology (2015). Post-Hysterectomy Vaginal Vault Prolapse. RCOG/BSUG Green-top Guideline No. 46. London: RCOG.</w:t>
      </w:r>
      <w:r>
        <w:rPr>
          <w:sz w:val="17"/>
          <w:szCs w:val="17"/>
        </w:rPr>
        <w:t xml:space="preserve"> </w:t>
      </w:r>
      <w:hyperlink w:history="1" r:id="rIdzq-9b7jgw3efesw6icywu">
        <w:r>
          <w:rPr>
            <w:rFonts w:ascii="IBM Plex Mono" w:cs="IBM Plex Mono" w:eastAsia="IBM Plex Mono" w:hAnsi="IBM Plex Mono"/>
            <w:color w:val="4F46E5"/>
            <w:sz w:val="17"/>
            <w:szCs w:val="17"/>
            <w:u w:val="single"/>
          </w:rPr>
          <w:t xml:space="preserve">https://www.rcog.org.uk/guidance/browse-all-guidance/green-top-guidelines/post-hysterectomy-vaginal-vault-prolapse-green-top-guideline-no-46/</w:t>
        </w:r>
      </w:hyperlink>
    </w:p>
    <w:p>
      <w:pPr>
        <w:spacing w:after="160"/>
      </w:pPr>
      <w:r>
        <w:rPr>
          <w:sz w:val="4"/>
          <w:szCs w:val="4"/>
        </w:rPr>
        <w:t xml:space="preserve"/>
      </w:r>
    </w:p>
    <w:p>
      <w:pPr>
        <w:pStyle w:val="Heading1"/>
        <w:pageBreakBefore/>
        <w:pBdr>
          <w:bottom w:val="single" w:color="4F46E5" w:sz="8" w:space="8"/>
        </w:pBdr>
        <w:spacing w:after="260" w:before="0"/>
      </w:pPr>
      <w:r>
        <w:rPr>
          <w:rFonts w:ascii="Source Serif 4" w:cs="Source Serif 4" w:eastAsia="Source Serif 4" w:hAnsi="Source Serif 4"/>
          <w:b/>
          <w:bCs/>
          <w:color w:val="4F46E5"/>
          <w:sz w:val="34"/>
          <w:szCs w:val="34"/>
        </w:rPr>
        <w:t xml:space="preserve">Bab V Perbandingan Standar Internasional (Terminologi IUGA/ICS dan Pedoman Prolaps NICE/RCOG)</w:t>
      </w:r>
    </w:p>
    <w:tbl>
      <w:tblPr>
        <w:tblW w:type="pct" w:w="100%"/>
        <w:tblBorders>
          <w:top w:val="single" w:color="B45309" w:sz="6"/>
          <w:left w:val="single" w:color="B45309" w:sz="6"/>
          <w:bottom w:val="single" w:color="B45309" w:sz="6"/>
          <w:right w:val="single" w:color="B45309" w:sz="6"/>
          <w:insideH w:val="none"/>
          <w:insideV w:val="none"/>
        </w:tblBorders>
      </w:tblPr>
      <w:tblGrid>
        <w:gridCol w:w="100"/>
      </w:tblGrid>
      <w:tr>
        <w:tc>
          <w:tcPr>
            <w:shd w:fill="FFFBEB"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 Dasar Regulasi</w:t>
            </w:r>
          </w:p>
          <w:p>
            <w:pPr>
              <w:spacing w:after="0" w:line="280"/>
              <w:jc w:val="both"/>
            </w:pPr>
            <w:r>
              <w:rPr>
                <w:rFonts w:ascii="IBM Plex Mono" w:cs="IBM Plex Mono" w:eastAsia="IBM Plex Mono" w:hAnsi="IBM Plex Mono"/>
                <w:color w:val="334155"/>
                <w:sz w:val="18"/>
                <w:szCs w:val="18"/>
              </w:rPr>
              <w:t xml:space="preserve">Bab ini merupakan pendalaman subbagian wajib "Perbandingan dan Pengayaan Standar Internasional" sebagai satu bab tersendiri sesuai struktur buku ini, mengacu tetap pada Tabel 7 No. 60–64 Kepkonsil HK.01.02/KKI/1318/2026 sebagai standar acuan utama nasional.</w:t>
            </w:r>
          </w:p>
        </w:tc>
      </w:tr>
    </w:tbl>
    <w:p>
      <w:pPr>
        <w:spacing w:after="200"/>
      </w:pPr>
      <w:r>
        <w:rPr>
          <w:sz w:val="4"/>
          <w:szCs w:val="4"/>
        </w:rPr>
        <w:t xml:space="preserve"/>
      </w:r>
    </w:p>
    <w:p>
      <w:pPr>
        <w:pStyle w:val="Heading2"/>
        <w:spacing w:after="160" w:before="300"/>
      </w:pPr>
      <w:r>
        <w:rPr>
          <w:rFonts w:ascii="Source Serif 4" w:cs="Source Serif 4" w:eastAsia="Source Serif 4" w:hAnsi="Source Serif 4"/>
          <w:b/>
          <w:bCs/>
          <w:color w:val="4F46E5"/>
          <w:sz w:val="26"/>
          <w:szCs w:val="26"/>
        </w:rPr>
        <w:t xml:space="preserve">5.1 Terminologi Bersama IUGA/ICS</w:t>
      </w:r>
    </w:p>
    <w:p>
      <w:pPr>
        <w:spacing w:after="200" w:line="300"/>
        <w:jc w:val="both"/>
      </w:pPr>
      <w:r>
        <w:rPr>
          <w:rFonts w:ascii="IBM Plex Sans" w:cs="IBM Plex Sans" w:eastAsia="IBM Plex Sans" w:hAnsi="IBM Plex Sans"/>
          <w:color w:val="334155"/>
          <w:sz w:val="22"/>
          <w:szCs w:val="22"/>
        </w:rPr>
        <w:t xml:space="preserve">Laporan bersama IUGA dan ICS mengenai terminologi disfungsi dasar panggul perempuan menjadi rujukan bahasa klinis baku yang digunakan secara global, mencakup definisi standar gejala saluran kemih bawah (termasuk OAB) serta terminologi fungsi anorektal yang relevan bagi disiplin uroginekologi. Laporan lanjutannya secara khusus menstandardisasi sistem pengukuran POP-Q untuk prolaps organ panggul. Adopsi terminologi ini pada pendidikan PPDS penting agar lulusan mampu berkomunikasi secara konsisten dengan literatur ilmiah internasional dan forum ilmiah lintas negara.</w:t>
      </w:r>
    </w:p>
    <w:p>
      <w:pPr>
        <w:spacing w:after="200" w:line="300"/>
        <w:jc w:val="both"/>
      </w:pPr>
      <w:r>
        <w:rPr>
          <w:rFonts w:ascii="IBM Plex Sans" w:cs="IBM Plex Sans" w:eastAsia="IBM Plex Sans" w:hAnsi="IBM Plex Sans"/>
          <w:color w:val="334155"/>
          <w:sz w:val="22"/>
          <w:szCs w:val="22"/>
        </w:rPr>
        <w:t xml:space="preserve">Selain sistem POP-Q, laporan IUGA/ICS turut menstandardisasi kuesioner dan alat ukur dampak gejala terhadap kualitas hidup (validated symptom and quality-of-life questionnaires), yang meskipun belum menjadi keharusan pada tingkat kompetensi dasar SpOG, mulai banyak diadopsi pada layanan uroginekologi di Indonesia untuk melengkapi penilaian anatomis semata.</w:t>
      </w:r>
    </w:p>
    <w:p>
      <w:pPr>
        <w:pStyle w:val="Heading2"/>
        <w:spacing w:after="160" w:before="300"/>
      </w:pPr>
      <w:r>
        <w:rPr>
          <w:rFonts w:ascii="Source Serif 4" w:cs="Source Serif 4" w:eastAsia="Source Serif 4" w:hAnsi="Source Serif 4"/>
          <w:b/>
          <w:bCs/>
          <w:color w:val="4F46E5"/>
          <w:sz w:val="26"/>
          <w:szCs w:val="26"/>
        </w:rPr>
        <w:t xml:space="preserve">5.2 Pedoman Prolaps Organ Panggul di Lingkungan NICE dan RCOG</w:t>
      </w:r>
    </w:p>
    <w:p>
      <w:pPr>
        <w:spacing w:after="200" w:line="300"/>
        <w:jc w:val="both"/>
      </w:pPr>
      <w:r>
        <w:rPr>
          <w:rFonts w:ascii="IBM Plex Sans" w:cs="IBM Plex Sans" w:eastAsia="IBM Plex Sans" w:hAnsi="IBM Plex Sans"/>
          <w:color w:val="334155"/>
          <w:sz w:val="22"/>
          <w:szCs w:val="22"/>
        </w:rPr>
        <w:t xml:space="preserve">Pedoman nasional Inggris mengenai inkontinensia urin dan prolaps organ panggul memberikan algoritma tata laksana berjenjang, mulai dari edukasi dan modifikasi gaya hidup, latihan otot dasar panggul, penggunaan pesarium, hingga pertimbangan bedah rekonstruksi pada kasus bergejala berat atau gagal konservatif. Pedoman ini juga menekankan pentingnya penilaian dampak gejala terhadap kualitas hidup pasien sebagai bagian integral pengambilan keputusan, bukan semata derajat anatomis prolaps. Untuk kasus khusus prolaps puncak vagina pascahisterektomi, RCOG bersama British Society of Urogynaecology menerbitkan pedoman Green-top tersendiri yang menjadi rujukan tambahan bagi kasus tersebut.</w:t>
      </w:r>
    </w:p>
    <w:p>
      <w:pPr>
        <w:pStyle w:val="Heading2"/>
        <w:spacing w:after="160" w:before="300"/>
      </w:pPr>
      <w:r>
        <w:rPr>
          <w:rFonts w:ascii="Source Serif 4" w:cs="Source Serif 4" w:eastAsia="Source Serif 4" w:hAnsi="Source Serif 4"/>
          <w:b/>
          <w:bCs/>
          <w:color w:val="4F46E5"/>
          <w:sz w:val="26"/>
          <w:szCs w:val="26"/>
        </w:rPr>
        <w:t xml:space="preserve">5.3 Sintesis dan Aplikasi dalam Konteks Nasional</w:t>
      </w:r>
    </w:p>
    <w:p>
      <w:pPr>
        <w:spacing w:after="200" w:line="300"/>
        <w:jc w:val="both"/>
      </w:pPr>
      <w:r>
        <w:rPr>
          <w:rFonts w:ascii="IBM Plex Sans" w:cs="IBM Plex Sans" w:eastAsia="IBM Plex Sans" w:hAnsi="IBM Plex Sans"/>
          <w:color w:val="334155"/>
          <w:sz w:val="22"/>
          <w:szCs w:val="22"/>
        </w:rPr>
        <w:t xml:space="preserve">Sintesis sumber-sumber tersebut terhadap standar nasional Kepkonsil menghasilkan kerangka praktik yang konsisten: SpOG umum kompeten melakukan deteksi dini, klasifikasi dasar menggunakan POP-Q, dan tata laksana konservatif lini pertama pada prolaps derajat I serta OAB tanpa komplikasi, sebelum kasus yang lebih kompleks dirujuk. Perbedaan utama antara standar nasional dan internasional pada topik ini bukan terletak pada substansi klinis, melainkan pada tingkat kedalaman kompetensi yang diharapkan pada jenjang pendidikan berbeda — standar internasional (IUGA/ICS, NICE/RCOG) memuat kompetensi hingga tingkat subspesialis, sedangkan Kepkonsil membatasi kompetensi dasar SpOG pada deteksi, klasifikasi awal, dan tata laksana konservatif, dengan tata laksana lanjut menjadi ranah layanan uroginekologi rekonstruktif sebagaimana dibahas pada Bab VI.</w:t>
      </w:r>
    </w:p>
    <w:p>
      <w:pPr>
        <w:spacing w:after="200" w:line="300"/>
        <w:jc w:val="both"/>
      </w:pPr>
      <w:r>
        <w:rPr>
          <w:rFonts w:ascii="IBM Plex Sans" w:cs="IBM Plex Sans" w:eastAsia="IBM Plex Sans" w:hAnsi="IBM Plex Sans"/>
          <w:color w:val="334155"/>
          <w:sz w:val="22"/>
          <w:szCs w:val="22"/>
        </w:rPr>
        <w:t xml:space="preserve">Penerapan praktis sintesis ini pada kurikulum PPDS tahun II–IV sebaiknya bersifat bertahap: tahun II–III berfokus pada penguasaan anamnesis, pemeriksaan POP-Q dasar, dan tata laksana konservatif di bawah supervisi; tahun IV mulai dilatih menyusun rencana rujukan terstruktur dan berpartisipasi dalam diskusi kasus lintas divisi bersama layanan uroginekologi rekonstruktif, sehingga transisi menuju kompetensi mandiri berlangsung terukur dan terdokumentasi.</w:t>
      </w:r>
    </w:p>
    <w:p>
      <w:pPr>
        <w:spacing w:after="200" w:line="300"/>
        <w:jc w:val="both"/>
      </w:pPr>
      <w:r>
        <w:rPr>
          <w:rFonts w:ascii="IBM Plex Sans" w:cs="IBM Plex Sans" w:eastAsia="IBM Plex Sans" w:hAnsi="IBM Plex Sans"/>
          <w:color w:val="334155"/>
          <w:sz w:val="22"/>
          <w:szCs w:val="22"/>
        </w:rPr>
        <w:t xml:space="preserve">Standar nasional (Kepkonsil) menetapkan batas kompetensi dasar SpOG hingga tata laksana konservatif dan rujukan; standar internasional (IUGA/ICS, NICE/RCOG) menyediakan kerangka terminologi dan algoritma tata laksana lengkap hingga tingkat lanjut/bedah; praktik di Indonesia mengikuti standar nasional untuk penetapan batas kewenangan, dengan tetap mengadopsi terminologi dan sistem klasifikasi internasional demi konsistensi keilmuan.</w:t>
      </w:r>
    </w:p>
    <w:p>
      <w:pPr>
        <w:spacing w:after="100" w:before="160"/>
      </w:pPr>
      <w:r>
        <w:rPr>
          <w:rFonts w:ascii="IBM Plex Sans" w:cs="IBM Plex Sans" w:eastAsia="IBM Plex Sans" w:hAnsi="IBM Plex Sans"/>
          <w:b/>
          <w:bCs/>
          <w:i/>
          <w:iCs/>
          <w:color w:val="64748B"/>
          <w:sz w:val="19"/>
          <w:szCs w:val="19"/>
        </w:rPr>
        <w:t xml:space="preserve">Rujukan Bab Ini</w:t>
      </w:r>
    </w:p>
    <w:p>
      <w:pPr>
        <w:pStyle w:val="ListParagraph"/>
        <w:numPr>
          <w:ilvl w:val="0"/>
          <w:numId w:val="1"/>
        </w:numPr>
        <w:spacing w:after="90" w:line="260"/>
      </w:pPr>
      <w:r>
        <w:rPr>
          <w:rFonts w:ascii="IBM Plex Mono" w:cs="IBM Plex Mono" w:eastAsia="IBM Plex Mono" w:hAnsi="IBM Plex Mono"/>
          <w:color w:val="334155"/>
          <w:sz w:val="17"/>
          <w:szCs w:val="17"/>
        </w:rPr>
        <w:t xml:space="preserve">Haylen BT, de Ridder D, Freeman RM, et al. (2010). An International Urogynecological Association (IUGA)/International Continence Society (ICS) joint report on the terminology for female pelvic floor dysfunction. International Urogynecology Journal 21(1):5–26.</w:t>
      </w:r>
      <w:r>
        <w:rPr>
          <w:sz w:val="17"/>
          <w:szCs w:val="17"/>
        </w:rPr>
        <w:t xml:space="preserve"> </w:t>
      </w:r>
      <w:hyperlink w:history="1" r:id="rIdb39mgnhybnal1gyzhagdi">
        <w:r>
          <w:rPr>
            <w:rFonts w:ascii="IBM Plex Mono" w:cs="IBM Plex Mono" w:eastAsia="IBM Plex Mono" w:hAnsi="IBM Plex Mono"/>
            <w:color w:val="4F46E5"/>
            <w:sz w:val="17"/>
            <w:szCs w:val="17"/>
            <w:u w:val="single"/>
          </w:rPr>
          <w:t xml:space="preserve">https://doi.org/10.1007/s00192-009-0976-9</w:t>
        </w:r>
      </w:hyperlink>
    </w:p>
    <w:p>
      <w:pPr>
        <w:pStyle w:val="ListParagraph"/>
        <w:numPr>
          <w:ilvl w:val="0"/>
          <w:numId w:val="1"/>
        </w:numPr>
        <w:spacing w:after="90" w:line="260"/>
      </w:pPr>
      <w:r>
        <w:rPr>
          <w:rFonts w:ascii="IBM Plex Mono" w:cs="IBM Plex Mono" w:eastAsia="IBM Plex Mono" w:hAnsi="IBM Plex Mono"/>
          <w:color w:val="334155"/>
          <w:sz w:val="17"/>
          <w:szCs w:val="17"/>
        </w:rPr>
        <w:t xml:space="preserve">Haylen BT, Maher CF, Barber MD, et al. (2016). An International Urogynecological Association (IUGA)/International Continence Society (ICS) joint report on the terminology for female pelvic organ prolapse (POP). International Urogynecology Journal 27(4):655–684.</w:t>
      </w:r>
      <w:r>
        <w:rPr>
          <w:sz w:val="17"/>
          <w:szCs w:val="17"/>
        </w:rPr>
        <w:t xml:space="preserve"> </w:t>
      </w:r>
      <w:hyperlink w:history="1" r:id="rIdinkqtmzcfnxlfeuzlcs3s">
        <w:r>
          <w:rPr>
            <w:rFonts w:ascii="IBM Plex Mono" w:cs="IBM Plex Mono" w:eastAsia="IBM Plex Mono" w:hAnsi="IBM Plex Mono"/>
            <w:color w:val="4F46E5"/>
            <w:sz w:val="17"/>
            <w:szCs w:val="17"/>
            <w:u w:val="single"/>
          </w:rPr>
          <w:t xml:space="preserve">https://doi.org/10.1007/s00192-016-3003-y</w:t>
        </w:r>
      </w:hyperlink>
    </w:p>
    <w:p>
      <w:pPr>
        <w:pStyle w:val="ListParagraph"/>
        <w:numPr>
          <w:ilvl w:val="0"/>
          <w:numId w:val="1"/>
        </w:numPr>
        <w:spacing w:after="90" w:line="260"/>
      </w:pPr>
      <w:r>
        <w:rPr>
          <w:rFonts w:ascii="IBM Plex Mono" w:cs="IBM Plex Mono" w:eastAsia="IBM Plex Mono" w:hAnsi="IBM Plex Mono"/>
          <w:color w:val="334155"/>
          <w:sz w:val="17"/>
          <w:szCs w:val="17"/>
        </w:rPr>
        <w:t xml:space="preserve">National Institute for Health and Care Excellence (2019, terakhir ditinjau 2026). Urinary Incontinence and Pelvic Organ Prolapse in Women: Management. NICE Guideline NG123. London: NICE.</w:t>
      </w:r>
      <w:r>
        <w:rPr>
          <w:sz w:val="17"/>
          <w:szCs w:val="17"/>
        </w:rPr>
        <w:t xml:space="preserve"> </w:t>
      </w:r>
      <w:hyperlink w:history="1" r:id="rIdjasgedzwaw4rv9zyfk_pe">
        <w:r>
          <w:rPr>
            <w:rFonts w:ascii="IBM Plex Mono" w:cs="IBM Plex Mono" w:eastAsia="IBM Plex Mono" w:hAnsi="IBM Plex Mono"/>
            <w:color w:val="4F46E5"/>
            <w:sz w:val="17"/>
            <w:szCs w:val="17"/>
            <w:u w:val="single"/>
          </w:rPr>
          <w:t xml:space="preserve">https://www.nice.org.uk/guidance/ng123</w:t>
        </w:r>
      </w:hyperlink>
    </w:p>
    <w:p>
      <w:pPr>
        <w:pStyle w:val="ListParagraph"/>
        <w:numPr>
          <w:ilvl w:val="0"/>
          <w:numId w:val="1"/>
        </w:numPr>
        <w:spacing w:after="90" w:line="260"/>
      </w:pPr>
      <w:r>
        <w:rPr>
          <w:rFonts w:ascii="IBM Plex Mono" w:cs="IBM Plex Mono" w:eastAsia="IBM Plex Mono" w:hAnsi="IBM Plex Mono"/>
          <w:color w:val="334155"/>
          <w:sz w:val="17"/>
          <w:szCs w:val="17"/>
        </w:rPr>
        <w:t xml:space="preserve">Royal College of Obstetricians and Gynaecologists, British Society of Urogynaecology (2015). Post-Hysterectomy Vaginal Vault Prolapse. RCOG/BSUG Green-top Guideline No. 46. London: RCOG.</w:t>
      </w:r>
      <w:r>
        <w:rPr>
          <w:sz w:val="17"/>
          <w:szCs w:val="17"/>
        </w:rPr>
        <w:t xml:space="preserve"> </w:t>
      </w:r>
      <w:hyperlink w:history="1" r:id="rIdem2fvofl_w7szju7bulxy">
        <w:r>
          <w:rPr>
            <w:rFonts w:ascii="IBM Plex Mono" w:cs="IBM Plex Mono" w:eastAsia="IBM Plex Mono" w:hAnsi="IBM Plex Mono"/>
            <w:color w:val="4F46E5"/>
            <w:sz w:val="17"/>
            <w:szCs w:val="17"/>
            <w:u w:val="single"/>
          </w:rPr>
          <w:t xml:space="preserve">https://www.rcog.org.uk/guidance/browse-all-guidance/green-top-guidelines/post-hysterectomy-vaginal-vault-prolapse-green-top-guideline-no-46/</w:t>
        </w:r>
      </w:hyperlink>
    </w:p>
    <w:p>
      <w:pPr>
        <w:spacing w:after="160"/>
      </w:pPr>
      <w:r>
        <w:rPr>
          <w:sz w:val="4"/>
          <w:szCs w:val="4"/>
        </w:rPr>
        <w:t xml:space="preserve"/>
      </w:r>
    </w:p>
    <w:p>
      <w:pPr>
        <w:pStyle w:val="Heading1"/>
        <w:pageBreakBefore/>
        <w:pBdr>
          <w:bottom w:val="single" w:color="4F46E5" w:sz="8" w:space="8"/>
        </w:pBdr>
        <w:spacing w:after="260" w:before="0"/>
      </w:pPr>
      <w:r>
        <w:rPr>
          <w:rFonts w:ascii="Source Serif 4" w:cs="Source Serif 4" w:eastAsia="Source Serif 4" w:hAnsi="Source Serif 4"/>
          <w:b/>
          <w:bCs/>
          <w:color w:val="4F46E5"/>
          <w:sz w:val="34"/>
          <w:szCs w:val="34"/>
        </w:rPr>
        <w:t xml:space="preserve">Bab VI Kontribusi Divisi Uroginekologi Rekonstruksi</w:t>
      </w:r>
    </w:p>
    <w:tbl>
      <w:tblPr>
        <w:tblW w:type="pct" w:w="100%"/>
        <w:tblBorders>
          <w:top w:val="single" w:color="B45309" w:sz="6"/>
          <w:left w:val="single" w:color="B45309" w:sz="6"/>
          <w:bottom w:val="single" w:color="B45309" w:sz="6"/>
          <w:right w:val="single" w:color="B45309" w:sz="6"/>
          <w:insideH w:val="none"/>
          <w:insideV w:val="none"/>
        </w:tblBorders>
      </w:tblPr>
      <w:tblGrid>
        <w:gridCol w:w="100"/>
      </w:tblGrid>
      <w:tr>
        <w:tc>
          <w:tcPr>
            <w:shd w:fill="FFFBEB"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 Dasar Regulasi</w:t>
            </w:r>
          </w:p>
          <w:p>
            <w:pPr>
              <w:spacing w:after="0" w:line="280"/>
              <w:jc w:val="both"/>
            </w:pPr>
            <w:r>
              <w:rPr>
                <w:rFonts w:ascii="IBM Plex Mono" w:cs="IBM Plex Mono" w:eastAsia="IBM Plex Mono" w:hAnsi="IBM Plex Mono"/>
                <w:color w:val="334155"/>
                <w:sz w:val="18"/>
                <w:szCs w:val="18"/>
              </w:rPr>
              <w:t xml:space="preserve">Kotak kontribusi divisi ini mengikuti pola baku (A. Deskripsi — B. Kerangka Analisis — C. Ilustrasi Kasus Lapangan) yang berlaku pada seluruh buku dalam rangkaian ini, disusun dari perspektif Divisi Uroginekologi Rekonstruksi sebagai salah satu dari lima subspesialis resmi Obstetri dan Ginekologi.</w:t>
            </w:r>
          </w:p>
        </w:tc>
      </w:tr>
    </w:tbl>
    <w:p>
      <w:pPr>
        <w:spacing w:after="200"/>
      </w:pPr>
      <w:r>
        <w:rPr>
          <w:sz w:val="4"/>
          <w:szCs w:val="4"/>
        </w:rPr>
        <w:t xml:space="preserve"/>
      </w:r>
    </w:p>
    <w:p>
      <w:pPr>
        <w:pStyle w:val="Heading2"/>
        <w:spacing w:after="160" w:before="300"/>
      </w:pPr>
      <w:r>
        <w:rPr>
          <w:rFonts w:ascii="Source Serif 4" w:cs="Source Serif 4" w:eastAsia="Source Serif 4" w:hAnsi="Source Serif 4"/>
          <w:b/>
          <w:bCs/>
          <w:color w:val="4F46E5"/>
          <w:sz w:val="26"/>
          <w:szCs w:val="26"/>
        </w:rPr>
        <w:t xml:space="preserve">A. Deskripsi</w:t>
      </w:r>
    </w:p>
    <w:p>
      <w:pPr>
        <w:spacing w:after="200" w:line="300"/>
        <w:jc w:val="both"/>
      </w:pPr>
      <w:r>
        <w:rPr>
          <w:rFonts w:ascii="IBM Plex Sans" w:cs="IBM Plex Sans" w:eastAsia="IBM Plex Sans" w:hAnsi="IBM Plex Sans"/>
          <w:color w:val="334155"/>
          <w:sz w:val="22"/>
          <w:szCs w:val="22"/>
        </w:rPr>
        <w:t xml:space="preserve">Divisi Uroginekologi Rekonstruksi relevan secara langsung terhadap topik buku ini karena ketiga domain yang dibahas — menopause, inkontinensia urin, dan prolaps organ panggul — merupakan kontinum patofisiologis tunggal yang bermuara pada disfungsi dasar panggul. Perspektif divisi ini memberikan kerangka analisis untuk membedakan kasus yang dapat dituntaskan pada tingkat kompetensi dasar SpOG dari kasus yang memerlukan evaluasi urodinamik, pencitraan dasar panggul lanjut, atau rekonstruksi bedah, sehingga alur rujukan menjadi tepat waktu dan tepat sasaran.</w:t>
      </w:r>
    </w:p>
    <w:p>
      <w:pPr>
        <w:pStyle w:val="Heading2"/>
        <w:spacing w:after="160" w:before="300"/>
      </w:pPr>
      <w:r>
        <w:rPr>
          <w:rFonts w:ascii="Source Serif 4" w:cs="Source Serif 4" w:eastAsia="Source Serif 4" w:hAnsi="Source Serif 4"/>
          <w:b/>
          <w:bCs/>
          <w:color w:val="4F46E5"/>
          <w:sz w:val="26"/>
          <w:szCs w:val="26"/>
        </w:rPr>
        <w:t xml:space="preserve">B. Kerangka Analisis Kontinum Menopause–Disfungsi Dasar Panggul–Prolaps</w:t>
      </w:r>
    </w:p>
    <w:p>
      <w:pPr>
        <w:spacing w:after="200" w:line="300"/>
        <w:jc w:val="both"/>
      </w:pPr>
      <w:r>
        <w:rPr>
          <w:rFonts w:ascii="IBM Plex Sans" w:cs="IBM Plex Sans" w:eastAsia="IBM Plex Sans" w:hAnsi="IBM Plex Sans"/>
          <w:color w:val="334155"/>
          <w:sz w:val="22"/>
          <w:szCs w:val="22"/>
        </w:rPr>
        <w:t xml:space="preserve">Dari perspektif uroginekologi rekonstruktif, tiga kondisi pada buku ini dapat dipetakan dalam satu kerangka analisis kontinum: (1) defisiensi estrogen pascamenopause menurunkan kolagen dan elastisitas jaringan ikat dasar panggul serta mukosa urogenital; (2) penurunan integritas jaringan tersebut mempermudah timbulnya gejala saluran kemih bawah termasuk OAB dan memperberat manifestasi retensio urin pasca-persalinan pada pasien dengan riwayat trauma persalinan sebelumnya; (3) kombinasi faktor mekanis (riwayat persalinan) dan hormonal (estrogen rendah) mempercepat progresi anatomis prolaps organ panggul dari derajat I ke derajat lebih lanjut.</w:t>
      </w:r>
    </w:p>
    <w:p>
      <w:pPr>
        <w:spacing w:after="200" w:line="300"/>
        <w:jc w:val="both"/>
      </w:pPr>
      <w:r>
        <w:rPr>
          <w:rFonts w:ascii="IBM Plex Sans" w:cs="IBM Plex Sans" w:eastAsia="IBM Plex Sans" w:hAnsi="IBM Plex Sans"/>
          <w:color w:val="334155"/>
          <w:sz w:val="22"/>
          <w:szCs w:val="22"/>
        </w:rPr>
        <w:t xml:space="preserve">Kerangka ini menuntun pendekatan klinis holistik: seorang pasien pascamenopause dengan gejala OAB dan prolaps derajat I sebaiknya dievaluasi dan ditata laksana sebagai satu kesatuan — misalnya pemberian estrogen vaginal lokal dapat memperbaiki gejala genitourinari sekaligus kualitas jaringan penyokong pesarium — bukan sebagai tiga masalah terpisah yang ditangani berurutan tanpa koordinasi. Indikator kompetensi rujukan yang tepat waktu (Tabel 2) disusun berdasarkan kerangka analisis ini, bukan sekadar daftar gejala tunggal.</w:t>
      </w:r>
    </w:p>
    <w:p>
      <w:pPr>
        <w:pStyle w:val="Heading2"/>
        <w:spacing w:after="160" w:before="300"/>
      </w:pPr>
      <w:r>
        <w:rPr>
          <w:rFonts w:ascii="Source Serif 4" w:cs="Source Serif 4" w:eastAsia="Source Serif 4" w:hAnsi="Source Serif 4"/>
          <w:b/>
          <w:bCs/>
          <w:color w:val="4F46E5"/>
          <w:sz w:val="26"/>
          <w:szCs w:val="26"/>
        </w:rPr>
        <w:t xml:space="preserve">C. Ilustrasi Kasus Lapangan</w:t>
      </w:r>
    </w:p>
    <w:p>
      <w:pPr>
        <w:spacing w:after="200" w:line="300"/>
        <w:jc w:val="both"/>
      </w:pPr>
      <w:r>
        <w:rPr>
          <w:rFonts w:ascii="IBM Plex Sans" w:cs="IBM Plex Sans" w:eastAsia="IBM Plex Sans" w:hAnsi="IBM Plex Sans"/>
          <w:color w:val="334155"/>
          <w:sz w:val="22"/>
          <w:szCs w:val="22"/>
        </w:rPr>
        <w:t xml:space="preserve">Seorang perempuan usia 54 tahun, P3A0, pascamenopause sejak 3 tahun, datang dengan keluhan sering berkemih terutama malam hari (nokturia 3–4 kali) disertai rasa ingin berkemih mendadak yang sulit ditahan sejak 6 bulan terakhir, tanpa disertai nyeri berkemih. Pasien juga mengeluhkan rasa mengganjal ringan pada vagina sejak beberapa bulan terakhir namun tidak ada benjolan yang teraba. Riwayat persalinan pervaginam sebanyak tiga kali, anak terbesar dengan berat lahir 3.900 gram.</w:t>
      </w:r>
    </w:p>
    <w:p>
      <w:pPr>
        <w:spacing w:after="200" w:line="300"/>
        <w:jc w:val="both"/>
      </w:pPr>
      <w:r>
        <w:rPr>
          <w:rFonts w:ascii="IBM Plex Sans" w:cs="IBM Plex Sans" w:eastAsia="IBM Plex Sans" w:hAnsi="IBM Plex Sans"/>
          <w:color w:val="334155"/>
          <w:sz w:val="22"/>
          <w:szCs w:val="22"/>
        </w:rPr>
        <w:t xml:space="preserve">Pemeriksaan urinalisis dalam batas normal, menyingkirkan infeksi saluran kemih. Bladder diary 3 hari menunjukkan pola frekuensi berkemih meningkat dengan volume per berkemih relatif kecil, konsisten dengan kandung kemih hiperaktif (N39.4/GC50.0). Pemeriksaan spekulum dengan manuver Valsava menunjukkan penurunan dinding vagina anterior hingga 1,5 cm proksimal terhadap bidang hymen, sesuai prolaps organ panggul derajat I (N81.2/GC40).</w:t>
      </w:r>
    </w:p>
    <w:p>
      <w:pPr>
        <w:spacing w:after="200" w:line="300"/>
        <w:jc w:val="both"/>
      </w:pPr>
      <w:r>
        <w:rPr>
          <w:rFonts w:ascii="IBM Plex Sans" w:cs="IBM Plex Sans" w:eastAsia="IBM Plex Sans" w:hAnsi="IBM Plex Sans"/>
          <w:color w:val="334155"/>
          <w:sz w:val="22"/>
          <w:szCs w:val="22"/>
        </w:rPr>
        <w:t xml:space="preserve">Berdasarkan kerangka analisis kontinum di atas, dokter SpOG memberikan tata laksana terintegrasi: edukasi dan latihan otot dasar panggul terbimbing, estrogen vaginal lokal dosis rendah untuk memperbaiki kualitas jaringan genitourinari sekaligus meredakan gejala OAB dan mendukung penyokong dasar panggul, serta modifikasi asupan cairan dan kafein. Pasien dijadwalkan evaluasi ulang pada 8–12 minggu; bila gejala OAB menetap meski terapi lini pertama adekuat, atau derajat prolaps berprogresi, kasus dirujuk ke layanan uroginekologi rekonstruktif untuk evaluasi urodinamik dan pertimbangan tata laksana lanjut. Resolusi kasus ini menegaskan prinsip bahwa deteksi dini dan tata laksana terintegrasi pada tingkat kompetensi dasar SpOG dapat mencegah progresi menuju kondisi yang memerlukan intervensi lebih kompleks.</w:t>
      </w:r>
    </w:p>
    <w:p>
      <w:pPr>
        <w:pStyle w:val="Heading1"/>
        <w:pageBreakBefore/>
        <w:pBdr>
          <w:bottom w:val="single" w:color="4F46E5" w:sz="8" w:space="8"/>
        </w:pBdr>
        <w:spacing w:after="260" w:before="0"/>
      </w:pPr>
      <w:r>
        <w:rPr>
          <w:rFonts w:ascii="Source Serif 4" w:cs="Source Serif 4" w:eastAsia="Source Serif 4" w:hAnsi="Source Serif 4"/>
          <w:b/>
          <w:bCs/>
          <w:color w:val="4F46E5"/>
          <w:sz w:val="34"/>
          <w:szCs w:val="34"/>
        </w:rPr>
        <w:t xml:space="preserve">Bab VII Ringkasan</w:t>
      </w:r>
    </w:p>
    <w:tbl>
      <w:tblPr>
        <w:tblW w:type="pct" w:w="100%"/>
        <w:tblBorders>
          <w:top w:val="single" w:color="B45309" w:sz="6"/>
          <w:left w:val="single" w:color="B45309" w:sz="6"/>
          <w:bottom w:val="single" w:color="B45309" w:sz="6"/>
          <w:right w:val="single" w:color="B45309" w:sz="6"/>
          <w:insideH w:val="none"/>
          <w:insideV w:val="none"/>
        </w:tblBorders>
      </w:tblPr>
      <w:tblGrid>
        <w:gridCol w:w="100"/>
      </w:tblGrid>
      <w:tr>
        <w:tc>
          <w:tcPr>
            <w:shd w:fill="FFFBEB"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 Dasar Regulasi</w:t>
            </w:r>
          </w:p>
          <w:p>
            <w:pPr>
              <w:spacing w:after="0" w:line="280"/>
              <w:jc w:val="both"/>
            </w:pPr>
            <w:r>
              <w:rPr>
                <w:rFonts w:ascii="IBM Plex Mono" w:cs="IBM Plex Mono" w:eastAsia="IBM Plex Mono" w:hAnsi="IBM Plex Mono"/>
                <w:color w:val="334155"/>
                <w:sz w:val="18"/>
                <w:szCs w:val="18"/>
              </w:rPr>
              <w:t xml:space="preserve">Ringkasan ini merangkum kompetensi berdasarkan Tabel 7 No. 60–64 Kepkonsil HK.01.02/KKI/1318/2026 yang telah dibahas pada Bab I hingga Bab VI.</w:t>
            </w:r>
          </w:p>
        </w:tc>
      </w:tr>
    </w:tbl>
    <w:p>
      <w:pPr>
        <w:spacing w:after="200"/>
      </w:pPr>
      <w:r>
        <w:rPr>
          <w:sz w:val="4"/>
          <w:szCs w:val="4"/>
        </w:rPr>
        <w:t xml:space="preserve"/>
      </w:r>
    </w:p>
    <w:p>
      <w:pPr>
        <w:pStyle w:val="Heading2"/>
        <w:spacing w:after="160" w:before="300"/>
      </w:pPr>
      <w:r>
        <w:rPr>
          <w:rFonts w:ascii="Source Serif 4" w:cs="Source Serif 4" w:eastAsia="Source Serif 4" w:hAnsi="Source Serif 4"/>
          <w:b/>
          <w:bCs/>
          <w:color w:val="4F46E5"/>
          <w:sz w:val="26"/>
          <w:szCs w:val="26"/>
        </w:rPr>
        <w:t xml:space="preserve">7.1 Ringkasan Substansi</w:t>
      </w:r>
    </w:p>
    <w:p>
      <w:pPr>
        <w:spacing w:after="200" w:line="300"/>
        <w:jc w:val="both"/>
      </w:pPr>
      <w:r>
        <w:rPr>
          <w:rFonts w:ascii="IBM Plex Sans" w:cs="IBM Plex Sans" w:eastAsia="IBM Plex Sans" w:hAnsi="IBM Plex Sans"/>
          <w:color w:val="334155"/>
          <w:sz w:val="22"/>
          <w:szCs w:val="22"/>
        </w:rPr>
        <w:t xml:space="preserve">Buku ini menyatukan tiga domain kompetensi dasar SpOG yang saling berkaitan secara patofisiologis: fisiologi dan tata laksana menopause (Bab II, dasar No. 60), inkontinensia urin dasar mencakup kandung kemih hiperaktif dan retensio urin akut pasca-persalinan (Bab III, dasar No. 61–62), serta prolaps organ panggul dasar khususnya derajat I (Bab IV, dasar No. 63). Bab V memperdalam pengayaan standar internasional melalui terminologi IUGA/ICS dan pedoman NICE/RCOG, sedangkan Bab VI menyajikan perspektif divisi uroginekologi rekonstruktif yang menyatukan ketiga domain tersebut dalam satu kerangka analisis kontinum klinis.</w:t>
      </w:r>
    </w:p>
    <w:p>
      <w:pPr>
        <w:spacing w:after="200" w:line="300"/>
        <w:jc w:val="both"/>
      </w:pPr>
      <w:r>
        <w:rPr>
          <w:rFonts w:ascii="IBM Plex Sans" w:cs="IBM Plex Sans" w:eastAsia="IBM Plex Sans" w:hAnsi="IBM Plex Sans"/>
          <w:color w:val="334155"/>
          <w:sz w:val="22"/>
          <w:szCs w:val="22"/>
        </w:rPr>
        <w:t xml:space="preserve">Penekanan pembelajaran bagi peserta didik PPDS tahun II–IV adalah pada kemampuan deteksi dini, klasifikasi baku (POP-Q untuk prolaps, kriteria klinis untuk OAB), tata laksana konservatif lini pertama, serta — yang tidak kalah penting — pengenalan batas kompetensi dasar dan indikasi rujukan tepat waktu ke layanan uroginekologi rekonstruktif.</w:t>
      </w:r>
    </w:p>
    <w:p>
      <w:pPr>
        <w:pStyle w:val="Heading2"/>
        <w:spacing w:after="160" w:before="300"/>
      </w:pPr>
      <w:r>
        <w:rPr>
          <w:rFonts w:ascii="Source Serif 4" w:cs="Source Serif 4" w:eastAsia="Source Serif 4" w:hAnsi="Source Serif 4"/>
          <w:b/>
          <w:bCs/>
          <w:color w:val="4F46E5"/>
          <w:sz w:val="26"/>
          <w:szCs w:val="26"/>
        </w:rPr>
        <w:t xml:space="preserve">7.2 Tabel Ringkasan Kompetensi dan Indikator</w:t>
      </w:r>
    </w:p>
    <w:p>
      <w:pPr>
        <w:spacing w:after="100" w:before="200"/>
      </w:pPr>
      <w:r>
        <w:rPr>
          <w:rFonts w:ascii="IBM Plex Sans" w:cs="IBM Plex Sans" w:eastAsia="IBM Plex Sans" w:hAnsi="IBM Plex Sans"/>
          <w:b/>
          <w:bCs/>
          <w:i/>
          <w:iCs/>
          <w:color w:val="64748B"/>
          <w:sz w:val="19"/>
          <w:szCs w:val="19"/>
        </w:rPr>
        <w:t xml:space="preserve">Tabel 2. Ringkasan Kompetensi dan Indikator Capaian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dxa" w:w="3116"/>
            <w:tcBorders>
              <w:top w:val="single" w:color="CBD5E1" w:sz="2"/>
              <w:left w:val="single" w:color="CBD5E1" w:sz="2"/>
              <w:bottom w:val="single" w:color="CBD5E1" w:sz="2"/>
              <w:right w:val="single" w:color="CBD5E1" w:sz="2"/>
            </w:tcBorders>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Area Kompetensi</w:t>
            </w:r>
          </w:p>
        </w:tc>
        <w:tc>
          <w:tcPr>
            <w:tcW w:type="dxa" w:w="3116"/>
            <w:tcBorders>
              <w:top w:val="single" w:color="CBD5E1" w:sz="2"/>
              <w:left w:val="single" w:color="CBD5E1" w:sz="2"/>
              <w:bottom w:val="single" w:color="CBD5E1" w:sz="2"/>
              <w:right w:val="single" w:color="CBD5E1" w:sz="2"/>
            </w:tcBorders>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Kondisi Klinis Acuan (Tabel 7)</w:t>
            </w:r>
          </w:p>
        </w:tc>
        <w:tc>
          <w:tcPr>
            <w:tcW w:type="dxa" w:w="3116"/>
            <w:tcBorders>
              <w:top w:val="single" w:color="CBD5E1" w:sz="2"/>
              <w:left w:val="single" w:color="CBD5E1" w:sz="2"/>
              <w:bottom w:val="single" w:color="CBD5E1" w:sz="2"/>
              <w:right w:val="single" w:color="CBD5E1" w:sz="2"/>
            </w:tcBorders>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Indikator Capaian Minimal PPDS</w:t>
            </w:r>
          </w:p>
        </w:tc>
      </w:tr>
      <w:tr>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Anamnesis dan skrining menopause</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No. 60 — Menopause sederhana (N95.1 / GA30.0)</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Mampu melakukan anamnesis gejala vasomotor, genitourinari, dan skrining risiko osteoporosis pada ≥ 5 pasien terbimbing</w:t>
            </w:r>
          </w:p>
        </w:tc>
      </w:tr>
      <w:tr>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Diagnosis dan tata laksana awal OAB</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No. 61 — Kandung kemih hiperaktif (N39.4; N32.8 / GC50.0)</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Mampu menegakkan diagnosis klinis OAB dan memulai terapi lini pertama (modifikasi perilaku, antimuskarinik) secara mandiri</w:t>
            </w:r>
          </w:p>
        </w:tc>
      </w:tr>
      <w:tr>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Penanganan retensio urin pasca-persalinan</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No. 62 — Retensio urin akut pasca-persalinan (R33 / MF50.3)</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Mampu mengenali, memasang kateterisasi, dan menyusun rencana pemantauan volume residu pascakateter</w:t>
            </w:r>
          </w:p>
        </w:tc>
      </w:tr>
      <w:tr>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Skrining dan klasifikasi prolaps dasar</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No. 63 — Prolaps organ panggul derajat I (N81.2 / GC40)</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Mampu melakukan pemeriksaan dan pelaporan derajat prolaps menggunakan sistem POP-Q pada simulasi/pasien terbimbing</w:t>
            </w:r>
          </w:p>
        </w:tc>
      </w:tr>
      <w:tr>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Rujukan kasus kompleks</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Lintas No. 61–64</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Mampu mengidentifikasi indikasi rujukan ke layanan uroginekologi rekonstruktif untuk kasus di luar kompetensi dasar</w:t>
            </w:r>
          </w:p>
        </w:tc>
      </w:tr>
    </w:tbl>
    <w:p>
      <w:pPr>
        <w:spacing w:after="200" w:before="120"/>
      </w:pPr>
      <w:r>
        <w:rPr>
          <w:sz w:val="4"/>
          <w:szCs w:val="4"/>
        </w:rPr>
        <w:t xml:space="preserve"/>
      </w:r>
    </w:p>
    <w:p>
      <w:pPr>
        <w:pStyle w:val="Heading2"/>
        <w:spacing w:after="160" w:before="300"/>
      </w:pPr>
      <w:r>
        <w:rPr>
          <w:rFonts w:ascii="Source Serif 4" w:cs="Source Serif 4" w:eastAsia="Source Serif 4" w:hAnsi="Source Serif 4"/>
          <w:b/>
          <w:bCs/>
          <w:color w:val="4F46E5"/>
          <w:sz w:val="26"/>
          <w:szCs w:val="26"/>
        </w:rPr>
        <w:t xml:space="preserve">7.3 Penutup</w:t>
      </w:r>
    </w:p>
    <w:p>
      <w:pPr>
        <w:spacing w:after="200" w:line="300"/>
        <w:jc w:val="both"/>
      </w:pPr>
      <w:r>
        <w:rPr>
          <w:rFonts w:ascii="IBM Plex Sans" w:cs="IBM Plex Sans" w:eastAsia="IBM Plex Sans" w:hAnsi="IBM Plex Sans"/>
          <w:color w:val="334155"/>
          <w:sz w:val="22"/>
          <w:szCs w:val="22"/>
        </w:rPr>
        <w:t xml:space="preserve">Data epidemiologi spesifik populasi Indonesia mengenai prevalensi menopause simtomatik, OAB, retensio urin pasca-persalinan, dan prolaps organ panggul derajat I belum tercantum secara eksplisit pada Kepkonsil maupun sumber lain yang dikutip pada buku ini. Pembaca dianjurkan menelusuri data registri nasional dan publikasi terkini dari Kementerian Kesehatan, BKKBN, Perkumpulan Obstetri dan Ginekologi Indonesia (POGI), atau WHO untuk melengkapi pemahaman epidemiologis pada konteks kerja masing-masing.</w:t>
      </w:r>
    </w:p>
    <w:p>
      <w:pPr>
        <w:spacing w:after="200" w:line="300"/>
        <w:jc w:val="both"/>
      </w:pPr>
      <w:r>
        <w:rPr>
          <w:rFonts w:ascii="IBM Plex Sans" w:cs="IBM Plex Sans" w:eastAsia="IBM Plex Sans" w:hAnsi="IBM Plex Sans"/>
          <w:color w:val="334155"/>
          <w:sz w:val="22"/>
          <w:szCs w:val="22"/>
        </w:rPr>
        <w:t xml:space="preserve">Penguasaan materi buku ini menjadi prasyarat sebelum peserta didik mempelajari Pedoman Penatalaksanaan Kasus (PPK) dan Pedoman Penatalaksanaan Kasus Kelompok (PPKK) terkait yang merujuk langsung pada entri Tabel 7 No. 60–64 sebagaimana dibahas pada buku ini.</w:t>
      </w:r>
    </w:p>
    <w:p>
      <w:pPr>
        <w:pStyle w:val="Heading1"/>
        <w:pageBreakBefore/>
        <w:pBdr>
          <w:bottom w:val="single" w:color="4F46E5" w:sz="8" w:space="8"/>
        </w:pBdr>
        <w:spacing w:after="260" w:before="0"/>
      </w:pPr>
      <w:r>
        <w:rPr>
          <w:rFonts w:ascii="Source Serif 4" w:cs="Source Serif 4" w:eastAsia="Source Serif 4" w:hAnsi="Source Serif 4"/>
          <w:b/>
          <w:bCs/>
          <w:color w:val="4F46E5"/>
          <w:sz w:val="34"/>
          <w:szCs w:val="34"/>
        </w:rPr>
        <w:t xml:space="preserve">Glosarium</w:t>
      </w:r>
    </w:p>
    <w:p>
      <w:pPr>
        <w:spacing w:after="200" w:line="300"/>
        <w:jc w:val="both"/>
      </w:pPr>
      <w:r>
        <w:rPr>
          <w:rFonts w:ascii="IBM Plex Sans" w:cs="IBM Plex Sans" w:eastAsia="IBM Plex Sans" w:hAnsi="IBM Plex Sans"/>
          <w:color w:val="334155"/>
          <w:sz w:val="22"/>
          <w:szCs w:val="22"/>
        </w:rPr>
        <w:t xml:space="preserve">Glosarium berikut merangkum istilah teknis yang digunakan pada buku ini, disusun untuk memudahkan pembaca yang baru mempelajari topik menopause, uroginekologi dasar, dan prolaps organ panggul.</w:t>
      </w:r>
    </w:p>
    <w:p>
      <w:pPr>
        <w:spacing w:after="100" w:before="200"/>
      </w:pPr>
      <w:r>
        <w:rPr>
          <w:rFonts w:ascii="IBM Plex Sans" w:cs="IBM Plex Sans" w:eastAsia="IBM Plex Sans" w:hAnsi="IBM Plex Sans"/>
          <w:b/>
          <w:bCs/>
          <w:i/>
          <w:iCs/>
          <w:color w:val="64748B"/>
          <w:sz w:val="19"/>
          <w:szCs w:val="19"/>
        </w:rPr>
        <w:t xml:space="preserve">Tabel 3. Glosarium Istilah</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dxa" w:w="3116"/>
            <w:tcBorders>
              <w:top w:val="single" w:color="CBD5E1" w:sz="2"/>
              <w:left w:val="single" w:color="CBD5E1" w:sz="2"/>
              <w:bottom w:val="single" w:color="CBD5E1" w:sz="2"/>
              <w:right w:val="single" w:color="CBD5E1" w:sz="2"/>
            </w:tcBorders>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Istilah</w:t>
            </w:r>
          </w:p>
        </w:tc>
        <w:tc>
          <w:tcPr>
            <w:tcW w:type="dxa" w:w="3116"/>
            <w:tcBorders>
              <w:top w:val="single" w:color="CBD5E1" w:sz="2"/>
              <w:left w:val="single" w:color="CBD5E1" w:sz="2"/>
              <w:bottom w:val="single" w:color="CBD5E1" w:sz="2"/>
              <w:right w:val="single" w:color="CBD5E1" w:sz="2"/>
            </w:tcBorders>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Padanan/Singkatan</w:t>
            </w:r>
          </w:p>
        </w:tc>
        <w:tc>
          <w:tcPr>
            <w:tcW w:type="dxa" w:w="3116"/>
            <w:tcBorders>
              <w:top w:val="single" w:color="CBD5E1" w:sz="2"/>
              <w:left w:val="single" w:color="CBD5E1" w:sz="2"/>
              <w:bottom w:val="single" w:color="CBD5E1" w:sz="2"/>
              <w:right w:val="single" w:color="CBD5E1" w:sz="2"/>
            </w:tcBorders>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Penjelasan Ringkas</w:t>
            </w:r>
          </w:p>
        </w:tc>
      </w:tr>
      <w:tr>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Menopause</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Berhentinya menstruasi secara permanen akibat hilangnya aktivitas folikel ovarium, ditegakkan retrospektif setelah 12 bulan tanpa haid tanpa sebab patologis lain.</w:t>
            </w:r>
          </w:p>
        </w:tc>
      </w:tr>
      <w:tr>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Perimenopause</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Masa transisi menuju menopause yang ditandai fluktuasi hormon reproduksi, terutama penurunan bertahap estradiol dan peningkatan FSH.</w:t>
            </w:r>
          </w:p>
        </w:tc>
      </w:tr>
      <w:tr>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Sindrom genitourinari menopause</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GSM (genitourinary syndrome of menopause)</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Kumpulan gejala genitourinari akibat defisiensi estrogen pascamenopause, mencakup atrofi vagina dan perubahan mukosa saluran kemih bawah.</w:t>
            </w:r>
          </w:p>
        </w:tc>
      </w:tr>
      <w:tr>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Terapi hormon menopause</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MHT (menopause hormone therapy)</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Pemberian estrogen (dengan atau tanpa progestin) untuk meredakan gejala menopause, sistemik atau lokal (vaginal).</w:t>
            </w:r>
          </w:p>
        </w:tc>
      </w:tr>
      <w:tr>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Hipotesis waktu inisiasi</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Timing hypothesis</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Konsep bahwa rasio manfaat-risiko terapi hormon menopause dipengaruhi oleh usia dan jarak waktu inisiasi terhadap awitan menopause.</w:t>
            </w:r>
          </w:p>
        </w:tc>
      </w:tr>
      <w:tr>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Kandung kemih hiperaktif</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OAB (overactive bladder)</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Sindrom klinis berupa urgensi berkemih, dengan atau tanpa inkontinensia urgensi, biasanya disertai frekuensi meningkat dan nokturia.</w:t>
            </w:r>
          </w:p>
        </w:tc>
      </w:tr>
      <w:tr>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Catatan berkemih</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Bladder diary</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Catatan waktu dan volume berkemih selama beberapa hari untuk mengonfirmasi pola frekuensi dan volume, digunakan pada evaluasi OAB.</w:t>
            </w:r>
          </w:p>
        </w:tc>
      </w:tr>
      <w:tr>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Volume residu pascaberkemih</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PVR (post-void residual)</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Volume urin yang tersisa di kandung kemih segera setelah berkemih spontan, diukur dengan bladder scan atau kateterisasi.</w:t>
            </w:r>
          </w:p>
        </w:tc>
      </w:tr>
      <w:tr>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Retensio urin</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Ketidakmampuan berkemih spontan secara adekuat; pada konteks pasca-persalinan bersifat akut dan umumnya reversibel.</w:t>
            </w:r>
          </w:p>
        </w:tc>
      </w:tr>
      <w:tr>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Percobaan lepas kateter</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Trial without catheter</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Prosedur pelepasan kateter menetap secara terjadwal disertai pemantauan berkemih spontan dan PVR untuk menilai pemulihan fungsi kandung kemih.</w:t>
            </w:r>
          </w:p>
        </w:tc>
      </w:tr>
      <w:tr>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Prolaps organ panggul</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POP (pelvic organ prolapse)</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Penurunan satu atau lebih organ panggul (dinding vagina anterior/posterior, apeks vagina, atau uterus) akibat kegagalan sistem penyokong dasar panggul.</w:t>
            </w:r>
          </w:p>
        </w:tc>
      </w:tr>
      <w:tr>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Sistem kuantifikasi prolaps organ panggul</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POP-Q (Pelvic Organ Prolapse Quantification)</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Sistem baku pengukuran posisi titik-titik anatomis dinding vagina relatif terhadap bidang hymen untuk menentukan derajat prolaps.</w:t>
            </w:r>
          </w:p>
        </w:tc>
      </w:tr>
      <w:tr>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Otot levator ani</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Kelompok otot dasar panggul yang menjadi penyokong utama organ panggul; kelemahannya berkontribusi pada prolaps dan disfungsi berkemih.</w:t>
            </w:r>
          </w:p>
        </w:tc>
      </w:tr>
      <w:tr>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Fasia endopelvik</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Jaringan ikat penyokong organ panggul yang menghubungkan organ dengan dinding panggul; kegagalannya berkontribusi pada prolaps.</w:t>
            </w:r>
          </w:p>
        </w:tc>
      </w:tr>
      <w:tr>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Pesarium vagina</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Vaginal pessary</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Alat non-bedah yang dimasukkan ke vagina untuk menyokong organ panggul yang mengalami prolaps.</w:t>
            </w:r>
          </w:p>
        </w:tc>
      </w:tr>
      <w:tr>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Latihan otot dasar panggul</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Termasuk latihan Kegel</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Latihan kontraksi-relaksasi terstruktur otot dasar panggul untuk memperkuat penyokong organ panggul dan mengurangi gejala OAB/prolaps ringan.</w:t>
            </w:r>
          </w:p>
        </w:tc>
      </w:tr>
      <w:tr>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Dispareunia</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Nyeri saat atau setelah hubungan seksual, dapat berkaitan dengan atrofi vagina pascamenopause.</w:t>
            </w:r>
          </w:p>
        </w:tc>
      </w:tr>
      <w:tr>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Pengambilan keputusan bersama</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Shared decision making</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Proses pengambilan keputusan klinis yang melibatkan preferensi dan nilai pasien bersama pertimbangan medis dokter.</w:t>
            </w:r>
          </w:p>
        </w:tc>
      </w:tr>
      <w:tr>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Evaluasi urodinamik</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Urodynamic study</w:t>
            </w:r>
          </w:p>
        </w:tc>
        <w:tc>
          <w:tcPr>
            <w:tcW w:type="dxa" w:w="3116"/>
            <w:tcBorders>
              <w:top w:val="single" w:color="CBD5E1" w:sz="2"/>
              <w:left w:val="single" w:color="CBD5E1" w:sz="2"/>
              <w:bottom w:val="single" w:color="CBD5E1" w:sz="2"/>
              <w:right w:val="single" w:color="CBD5E1" w:sz="2"/>
            </w:tcBorders>
            <w:shd w:fill="FFFFFF"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Rangkaian pemeriksaan fungsi berkemih (penyimpanan dan pengosongan kandung kemih) untuk kasus disfungsi berkemih kompleks; kompetensi lanjut/rujukan.</w:t>
            </w:r>
          </w:p>
        </w:tc>
      </w:tr>
      <w:tr>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Insufisiensi ovarium prematur</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POI (premature ovarian insufficiency)</w:t>
            </w:r>
          </w:p>
        </w:tc>
        <w:tc>
          <w:tcPr>
            <w:tcW w:type="dxa" w:w="3116"/>
            <w:tcBorders>
              <w:top w:val="single" w:color="CBD5E1" w:sz="2"/>
              <w:left w:val="single" w:color="CBD5E1" w:sz="2"/>
              <w:bottom w:val="single" w:color="CBD5E1" w:sz="2"/>
              <w:right w:val="single" w:color="CBD5E1" w:sz="2"/>
            </w:tcBorders>
            <w:shd w:fill="F8FAFC" w:val="clear"/>
            <w:tcMar>
              <w:top w:type="dxa" w:w="90"/>
              <w:left w:type="dxa" w:w="100"/>
              <w:bottom w:type="dxa" w:w="90"/>
              <w:right w:type="dxa" w:w="100"/>
            </w:tcMar>
            <w:vAlign w:val="center"/>
          </w:tcPr>
          <w:p>
            <w:r>
              <w:rPr>
                <w:rFonts w:ascii="IBM Plex Mono" w:cs="IBM Plex Mono" w:eastAsia="IBM Plex Mono" w:hAnsi="IBM Plex Mono"/>
                <w:color w:val="334155"/>
                <w:sz w:val="17"/>
                <w:szCs w:val="17"/>
              </w:rPr>
              <w:t xml:space="preserve">Berhentinya fungsi ovarium sebelum usia 40 tahun, memerlukan pendekatan berbeda dari menopause fisiologis pada usia rata-rata.</w:t>
            </w:r>
          </w:p>
        </w:tc>
      </w:tr>
    </w:tbl>
    <w:p>
      <w:pPr>
        <w:spacing w:after="200" w:before="120"/>
      </w:pPr>
      <w:r>
        <w:rPr>
          <w:sz w:val="4"/>
          <w:szCs w:val="4"/>
        </w:rPr>
        <w:t xml:space="preserve"/>
      </w:r>
    </w:p>
    <w:p>
      <w:pPr>
        <w:pStyle w:val="Heading1"/>
        <w:pageBreakBefore/>
        <w:pBdr>
          <w:bottom w:val="single" w:color="4F46E5" w:sz="8" w:space="8"/>
        </w:pBdr>
        <w:spacing w:after="260" w:before="0"/>
      </w:pPr>
      <w:r>
        <w:rPr>
          <w:rFonts w:ascii="Source Serif 4" w:cs="Source Serif 4" w:eastAsia="Source Serif 4" w:hAnsi="Source Serif 4"/>
          <w:b/>
          <w:bCs/>
          <w:color w:val="4F46E5"/>
          <w:sz w:val="34"/>
          <w:szCs w:val="34"/>
        </w:rPr>
        <w:t xml:space="preserve">Daftar Pustaka</w:t>
      </w:r>
    </w:p>
    <w:p>
      <w:pPr>
        <w:spacing w:after="200" w:line="300"/>
        <w:jc w:val="both"/>
      </w:pPr>
      <w:r>
        <w:rPr>
          <w:rFonts w:ascii="IBM Plex Sans" w:cs="IBM Plex Sans" w:eastAsia="IBM Plex Sans" w:hAnsi="IBM Plex Sans"/>
          <w:color w:val="334155"/>
          <w:sz w:val="22"/>
          <w:szCs w:val="22"/>
        </w:rPr>
        <w:t xml:space="preserve">Seluruh rujukan berikut adalah sumber yang dapat ditelusuri secara publik pada saat buku ini disusun (Agustus 2026). Tautan disertakan untuk memudahkan penelusuran lebih lanjut oleh pembaca.</w:t>
      </w:r>
    </w:p>
    <w:p>
      <w:pPr>
        <w:spacing w:after="180" w:line="280"/>
        <w:ind w:left="360" w:hanging="360"/>
        <w:jc w:val="both"/>
      </w:pPr>
      <w:r>
        <w:rPr>
          <w:rFonts w:ascii="IBM Plex Sans" w:cs="IBM Plex Sans" w:eastAsia="IBM Plex Sans" w:hAnsi="IBM Plex Sans"/>
          <w:color w:val="334155"/>
          <w:sz w:val="20"/>
          <w:szCs w:val="20"/>
        </w:rPr>
        <w:t xml:space="preserve">American College of Obstetricians and Gynecologists (2014, ditinjau ulang 2024). Management of Menopausal Symptoms. ACOG Practice Bulletin No. 141. Obstetrics &amp; Gynecology 123(1):202–216.</w:t>
      </w:r>
      <w:r>
        <w:rPr>
          <w:rFonts w:ascii="IBM Plex Sans" w:cs="IBM Plex Sans" w:eastAsia="IBM Plex Sans" w:hAnsi="IBM Plex Sans"/>
          <w:color w:val="334155"/>
          <w:sz w:val="20"/>
          <w:szCs w:val="20"/>
        </w:rPr>
        <w:t xml:space="preserve"> Tersedia di: </w:t>
      </w:r>
      <w:hyperlink w:history="1" r:id="rId1-fee4xgkh9n44g7bcuuk">
        <w:r>
          <w:rPr>
            <w:rFonts w:ascii="IBM Plex Mono" w:cs="IBM Plex Mono" w:eastAsia="IBM Plex Mono" w:hAnsi="IBM Plex Mono"/>
            <w:color w:val="4F46E5"/>
            <w:sz w:val="17"/>
            <w:szCs w:val="17"/>
            <w:u w:val="single"/>
          </w:rPr>
          <w:t xml:space="preserve">https://doi.org/10.1097/01.AOG.0000441353.20693.78</w:t>
        </w:r>
      </w:hyperlink>
    </w:p>
    <w:p>
      <w:pPr>
        <w:spacing w:after="180" w:line="280"/>
        <w:ind w:left="360" w:hanging="360"/>
        <w:jc w:val="both"/>
      </w:pPr>
      <w:r>
        <w:rPr>
          <w:rFonts w:ascii="IBM Plex Sans" w:cs="IBM Plex Sans" w:eastAsia="IBM Plex Sans" w:hAnsi="IBM Plex Sans"/>
          <w:color w:val="334155"/>
          <w:sz w:val="20"/>
          <w:szCs w:val="20"/>
        </w:rPr>
        <w:t xml:space="preserve">Haylen BT, de Ridder D, Freeman RM, et al. (2010). An International Urogynecological Association (IUGA)/International Continence Society (ICS) joint report on the terminology for female pelvic floor dysfunction. International Urogynecology Journal 21(1):5–26.</w:t>
      </w:r>
      <w:r>
        <w:rPr>
          <w:rFonts w:ascii="IBM Plex Sans" w:cs="IBM Plex Sans" w:eastAsia="IBM Plex Sans" w:hAnsi="IBM Plex Sans"/>
          <w:color w:val="334155"/>
          <w:sz w:val="20"/>
          <w:szCs w:val="20"/>
        </w:rPr>
        <w:t xml:space="preserve"> Tersedia di: </w:t>
      </w:r>
      <w:hyperlink w:history="1" r:id="rIdabtexoycgwmmo1lowqp0g">
        <w:r>
          <w:rPr>
            <w:rFonts w:ascii="IBM Plex Mono" w:cs="IBM Plex Mono" w:eastAsia="IBM Plex Mono" w:hAnsi="IBM Plex Mono"/>
            <w:color w:val="4F46E5"/>
            <w:sz w:val="17"/>
            <w:szCs w:val="17"/>
            <w:u w:val="single"/>
          </w:rPr>
          <w:t xml:space="preserve">https://doi.org/10.1007/s00192-009-0976-9</w:t>
        </w:r>
      </w:hyperlink>
    </w:p>
    <w:p>
      <w:pPr>
        <w:spacing w:after="180" w:line="280"/>
        <w:ind w:left="360" w:hanging="360"/>
        <w:jc w:val="both"/>
      </w:pPr>
      <w:r>
        <w:rPr>
          <w:rFonts w:ascii="IBM Plex Sans" w:cs="IBM Plex Sans" w:eastAsia="IBM Plex Sans" w:hAnsi="IBM Plex Sans"/>
          <w:color w:val="334155"/>
          <w:sz w:val="20"/>
          <w:szCs w:val="20"/>
        </w:rPr>
        <w:t xml:space="preserve">Haylen BT, Maher CF, Barber MD, et al. (2016). An International Urogynecological Association (IUGA)/International Continence Society (ICS) joint report on the terminology for female pelvic organ prolapse (POP). International Urogynecology Journal 27(4):655–684.</w:t>
      </w:r>
      <w:r>
        <w:rPr>
          <w:rFonts w:ascii="IBM Plex Sans" w:cs="IBM Plex Sans" w:eastAsia="IBM Plex Sans" w:hAnsi="IBM Plex Sans"/>
          <w:color w:val="334155"/>
          <w:sz w:val="20"/>
          <w:szCs w:val="20"/>
        </w:rPr>
        <w:t xml:space="preserve"> Tersedia di: </w:t>
      </w:r>
      <w:hyperlink w:history="1" r:id="rIdgzw8xzljjirbgiuk1rmt1">
        <w:r>
          <w:rPr>
            <w:rFonts w:ascii="IBM Plex Mono" w:cs="IBM Plex Mono" w:eastAsia="IBM Plex Mono" w:hAnsi="IBM Plex Mono"/>
            <w:color w:val="4F46E5"/>
            <w:sz w:val="17"/>
            <w:szCs w:val="17"/>
            <w:u w:val="single"/>
          </w:rPr>
          <w:t xml:space="preserve">https://doi.org/10.1007/s00192-016-3003-y</w:t>
        </w:r>
      </w:hyperlink>
    </w:p>
    <w:p>
      <w:pPr>
        <w:spacing w:after="180" w:line="280"/>
        <w:ind w:left="360" w:hanging="360"/>
        <w:jc w:val="both"/>
      </w:pPr>
      <w:r>
        <w:rPr>
          <w:rFonts w:ascii="IBM Plex Sans" w:cs="IBM Plex Sans" w:eastAsia="IBM Plex Sans" w:hAnsi="IBM Plex Sans"/>
          <w:color w:val="334155"/>
          <w:sz w:val="20"/>
          <w:szCs w:val="20"/>
        </w:rPr>
        <w:t xml:space="preserve">Konsil Kesehatan Indonesia (2026). Standar Kompetensi Dokter Spesialis dan Subspesialis Bidang Obstetri dan Ginekologi. Keputusan Ketua Konsil Kesehatan Indonesia Nomor HK.01.02/KKI/1318/2026, Tabel 7.</w:t>
      </w:r>
    </w:p>
    <w:p>
      <w:pPr>
        <w:spacing w:after="180" w:line="280"/>
        <w:ind w:left="360" w:hanging="360"/>
        <w:jc w:val="both"/>
      </w:pPr>
      <w:r>
        <w:rPr>
          <w:rFonts w:ascii="IBM Plex Sans" w:cs="IBM Plex Sans" w:eastAsia="IBM Plex Sans" w:hAnsi="IBM Plex Sans"/>
          <w:color w:val="334155"/>
          <w:sz w:val="20"/>
          <w:szCs w:val="20"/>
        </w:rPr>
        <w:t xml:space="preserve">Marjoribanks J, Farquhar C, Roberts H, Lethaby A, Lee J (2017). Long-term hormone therapy for perimenopausal and postmenopausal women. Cochrane Database of Systematic Reviews, Issue 1, Art. No. CD004143.</w:t>
      </w:r>
      <w:r>
        <w:rPr>
          <w:rFonts w:ascii="IBM Plex Sans" w:cs="IBM Plex Sans" w:eastAsia="IBM Plex Sans" w:hAnsi="IBM Plex Sans"/>
          <w:color w:val="334155"/>
          <w:sz w:val="20"/>
          <w:szCs w:val="20"/>
        </w:rPr>
        <w:t xml:space="preserve"> Tersedia di: </w:t>
      </w:r>
      <w:hyperlink w:history="1" r:id="rIdjw5cidyouuevmkcycw8vo">
        <w:r>
          <w:rPr>
            <w:rFonts w:ascii="IBM Plex Mono" w:cs="IBM Plex Mono" w:eastAsia="IBM Plex Mono" w:hAnsi="IBM Plex Mono"/>
            <w:color w:val="4F46E5"/>
            <w:sz w:val="17"/>
            <w:szCs w:val="17"/>
            <w:u w:val="single"/>
          </w:rPr>
          <w:t xml:space="preserve">https://doi.org/10.1002/14651858.CD004143.pub5</w:t>
        </w:r>
      </w:hyperlink>
    </w:p>
    <w:p>
      <w:pPr>
        <w:spacing w:after="180" w:line="280"/>
        <w:ind w:left="360" w:hanging="360"/>
        <w:jc w:val="both"/>
      </w:pPr>
      <w:r>
        <w:rPr>
          <w:rFonts w:ascii="IBM Plex Sans" w:cs="IBM Plex Sans" w:eastAsia="IBM Plex Sans" w:hAnsi="IBM Plex Sans"/>
          <w:color w:val="334155"/>
          <w:sz w:val="20"/>
          <w:szCs w:val="20"/>
        </w:rPr>
        <w:t xml:space="preserve">National Institute for Health and Care Excellence (2019, terakhir ditinjau 2026). Urinary Incontinence and Pelvic Organ Prolapse in Women: Management. NICE Guideline NG123. London: NICE.</w:t>
      </w:r>
      <w:r>
        <w:rPr>
          <w:rFonts w:ascii="IBM Plex Sans" w:cs="IBM Plex Sans" w:eastAsia="IBM Plex Sans" w:hAnsi="IBM Plex Sans"/>
          <w:color w:val="334155"/>
          <w:sz w:val="20"/>
          <w:szCs w:val="20"/>
        </w:rPr>
        <w:t xml:space="preserve"> Tersedia di: </w:t>
      </w:r>
      <w:hyperlink w:history="1" r:id="rIdkcxgtzr38aamc-jrsd0ry">
        <w:r>
          <w:rPr>
            <w:rFonts w:ascii="IBM Plex Mono" w:cs="IBM Plex Mono" w:eastAsia="IBM Plex Mono" w:hAnsi="IBM Plex Mono"/>
            <w:color w:val="4F46E5"/>
            <w:sz w:val="17"/>
            <w:szCs w:val="17"/>
            <w:u w:val="single"/>
          </w:rPr>
          <w:t xml:space="preserve">https://www.nice.org.uk/guidance/ng123</w:t>
        </w:r>
      </w:hyperlink>
    </w:p>
    <w:p>
      <w:pPr>
        <w:spacing w:after="180" w:line="280"/>
        <w:ind w:left="360" w:hanging="360"/>
        <w:jc w:val="both"/>
      </w:pPr>
      <w:r>
        <w:rPr>
          <w:rFonts w:ascii="IBM Plex Sans" w:cs="IBM Plex Sans" w:eastAsia="IBM Plex Sans" w:hAnsi="IBM Plex Sans"/>
          <w:color w:val="334155"/>
          <w:sz w:val="20"/>
          <w:szCs w:val="20"/>
        </w:rPr>
        <w:t xml:space="preserve">Royal College of Obstetricians and Gynaecologists, British Society of Urogynaecology (2015). Post-Hysterectomy Vaginal Vault Prolapse. RCOG/BSUG Green-top Guideline No. 46. London: RCOG.</w:t>
      </w:r>
      <w:r>
        <w:rPr>
          <w:rFonts w:ascii="IBM Plex Sans" w:cs="IBM Plex Sans" w:eastAsia="IBM Plex Sans" w:hAnsi="IBM Plex Sans"/>
          <w:color w:val="334155"/>
          <w:sz w:val="20"/>
          <w:szCs w:val="20"/>
        </w:rPr>
        <w:t xml:space="preserve"> Tersedia di: </w:t>
      </w:r>
      <w:hyperlink w:history="1" r:id="rIdqd1kaqjf8ixvibqxbq4rs">
        <w:r>
          <w:rPr>
            <w:rFonts w:ascii="IBM Plex Mono" w:cs="IBM Plex Mono" w:eastAsia="IBM Plex Mono" w:hAnsi="IBM Plex Mono"/>
            <w:color w:val="4F46E5"/>
            <w:sz w:val="17"/>
            <w:szCs w:val="17"/>
            <w:u w:val="single"/>
          </w:rPr>
          <w:t xml:space="preserve">https://www.rcog.org.uk/guidance/browse-all-guidance/green-top-guidelines/post-hysterectomy-vaginal-vault-prolapse-green-top-guideline-no-46/</w:t>
        </w:r>
      </w:hyperlink>
    </w:p>
    <w:p>
      <w:pPr>
        <w:spacing w:after="180" w:line="280"/>
        <w:ind w:left="360" w:hanging="360"/>
        <w:jc w:val="both"/>
      </w:pPr>
      <w:r>
        <w:rPr>
          <w:rFonts w:ascii="IBM Plex Sans" w:cs="IBM Plex Sans" w:eastAsia="IBM Plex Sans" w:hAnsi="IBM Plex Sans"/>
          <w:color w:val="334155"/>
          <w:sz w:val="20"/>
          <w:szCs w:val="20"/>
        </w:rPr>
        <w:t xml:space="preserve">World Health Organization (2022). WHO Recommendations on Maternal and Newborn Care for a Positive Postnatal Experience. Geneva: World Health Organization.</w:t>
      </w:r>
      <w:r>
        <w:rPr>
          <w:rFonts w:ascii="IBM Plex Sans" w:cs="IBM Plex Sans" w:eastAsia="IBM Plex Sans" w:hAnsi="IBM Plex Sans"/>
          <w:color w:val="334155"/>
          <w:sz w:val="20"/>
          <w:szCs w:val="20"/>
        </w:rPr>
        <w:t xml:space="preserve"> Tersedia di: </w:t>
      </w:r>
      <w:hyperlink w:history="1" r:id="rIde0wmftpdt4dp_lfkti0ja">
        <w:r>
          <w:rPr>
            <w:rFonts w:ascii="IBM Plex Mono" w:cs="IBM Plex Mono" w:eastAsia="IBM Plex Mono" w:hAnsi="IBM Plex Mono"/>
            <w:color w:val="4F46E5"/>
            <w:sz w:val="17"/>
            <w:szCs w:val="17"/>
            <w:u w:val="single"/>
          </w:rPr>
          <w:t xml:space="preserve">https://www.who.int/publications/i/item/9789240045989</w:t>
        </w:r>
      </w:hyperlink>
    </w:p>
    <w:sectPr>
      <w:headerReference w:type="default" r:id="rId7"/>
      <w:footerReference w:type="default" r:id="rId8"/>
      <w:pgSz w:w="11906" w:h="16838" w:orient="portrait"/>
      <w:pgMar w:top="1418" w:right="1134"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64748B"/>
        <w:sz w:val="15"/>
        <w:szCs w:val="15"/>
      </w:rPr>
      <w:t xml:space="preserve">Dokumen 10 dari 15 — </w:t>
    </w:r>
    <w:r>
      <w:rPr>
        <w:rFonts w:ascii="IBM Plex Sans" w:cs="IBM Plex Sans" w:eastAsia="IBM Plex Sans" w:hAnsi="IBM Plex Sans"/>
        <w:color w:val="64748B"/>
        <w:sz w:val="15"/>
        <w:szCs w:val="15"/>
      </w:rPr>
      <w:t xml:space="preserve">Halaman </w:t>
    </w:r>
    <w:r>
      <w:rPr>
        <w:rFonts w:ascii="IBM Plex Sans" w:cs="IBM Plex Sans" w:eastAsia="IBM Plex Sans" w:hAnsi="IBM Plex Sans"/>
        <w:color w:val="64748B"/>
        <w:sz w:val="15"/>
        <w:szCs w:val="15"/>
      </w:rPr>
      <w:fldChar w:fldCharType="begin"/>
      <w:instrText xml:space="preserve">PAGE</w:instrText>
      <w:fldChar w:fldCharType="separate"/>
      <w:fldChar w:fldCharType="end"/>
    </w:r>
    <w:r>
      <w:rPr>
        <w:rFonts w:ascii="IBM Plex Sans" w:cs="IBM Plex Sans" w:eastAsia="IBM Plex Sans" w:hAnsi="IBM Plex Sans"/>
        <w:color w:val="64748B"/>
        <w:sz w:val="15"/>
        <w:szCs w:val="15"/>
      </w:rPr>
      <w:t xml:space="preserve"> / </w:t>
    </w:r>
    <w:r>
      <w:rPr>
        <w:rFonts w:ascii="IBM Plex Sans" w:cs="IBM Plex Sans" w:eastAsia="IBM Plex Sans" w:hAnsi="IBM Plex Sans"/>
        <w:color w:val="64748B"/>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F46E5" w:sz="4" w:space="4"/>
      </w:pBdr>
      <w:jc w:val="right"/>
    </w:pPr>
    <w:r>
      <w:rPr>
        <w:rFonts w:ascii="IBM Plex Sans" w:cs="IBM Plex Sans" w:eastAsia="IBM Plex Sans" w:hAnsi="IBM Plex Sans"/>
        <w:b/>
        <w:bCs/>
        <w:color w:val="B45309"/>
        <w:sz w:val="15"/>
        <w:szCs w:val="15"/>
      </w:rPr>
      <w:t xml:space="preserve">B9 · </w:t>
    </w:r>
    <w:r>
      <w:rPr>
        <w:rFonts w:ascii="IBM Plex Sans" w:cs="IBM Plex Sans" w:eastAsia="IBM Plex Sans" w:hAnsi="IBM Plex Sans"/>
        <w:color w:val="64748B"/>
        <w:sz w:val="15"/>
        <w:szCs w:val="15"/>
      </w:rPr>
      <w:t xml:space="preserve">Menopause, Uroginekologi Dasar, dan Prolaps Organ Panggul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efxinxumbsipq4gqirnd_" Type="http://schemas.openxmlformats.org/officeDocument/2006/relationships/hyperlink" Target="https://doi.org/10.1097/01.AOG.0000441353.20693.78" TargetMode="External"/><Relationship Id="rIdqnb5u1nshcce30gmqbwoq" Type="http://schemas.openxmlformats.org/officeDocument/2006/relationships/hyperlink" Target="https://doi.org/10.1002/14651858.CD004143.pub5" TargetMode="External"/><Relationship Id="rIdgixdsj1s17punmj0m1j6c" Type="http://schemas.openxmlformats.org/officeDocument/2006/relationships/hyperlink" Target="https://doi.org/10.1007/s00192-009-0976-9" TargetMode="External"/><Relationship Id="rIdvcxguh2iyjmw3dpueelt5" Type="http://schemas.openxmlformats.org/officeDocument/2006/relationships/hyperlink" Target="https://www.who.int/publications/i/item/9789240045989" TargetMode="External"/><Relationship Id="rIdeytr785q_1k3lqdgxraif" Type="http://schemas.openxmlformats.org/officeDocument/2006/relationships/hyperlink" Target="https://doi.org/10.1007/s00192-016-3003-y" TargetMode="External"/><Relationship Id="rIdf1engpbfzc6uqs4qust2d" Type="http://schemas.openxmlformats.org/officeDocument/2006/relationships/hyperlink" Target="https://www.nice.org.uk/guidance/ng123" TargetMode="External"/><Relationship Id="rIdzq-9b7jgw3efesw6icywu" Type="http://schemas.openxmlformats.org/officeDocument/2006/relationships/hyperlink" Target="https://www.rcog.org.uk/guidance/browse-all-guidance/green-top-guidelines/post-hysterectomy-vaginal-vault-prolapse-green-top-guideline-no-46/" TargetMode="External"/><Relationship Id="rIdb39mgnhybnal1gyzhagdi" Type="http://schemas.openxmlformats.org/officeDocument/2006/relationships/hyperlink" Target="https://doi.org/10.1007/s00192-009-0976-9" TargetMode="External"/><Relationship Id="rIdinkqtmzcfnxlfeuzlcs3s" Type="http://schemas.openxmlformats.org/officeDocument/2006/relationships/hyperlink" Target="https://doi.org/10.1007/s00192-016-3003-y" TargetMode="External"/><Relationship Id="rIdjasgedzwaw4rv9zyfk_pe" Type="http://schemas.openxmlformats.org/officeDocument/2006/relationships/hyperlink" Target="https://www.nice.org.uk/guidance/ng123" TargetMode="External"/><Relationship Id="rIdem2fvofl_w7szju7bulxy" Type="http://schemas.openxmlformats.org/officeDocument/2006/relationships/hyperlink" Target="https://www.rcog.org.uk/guidance/browse-all-guidance/green-top-guidelines/post-hysterectomy-vaginal-vault-prolapse-green-top-guideline-no-46/" TargetMode="External"/><Relationship Id="rId1-fee4xgkh9n44g7bcuuk" Type="http://schemas.openxmlformats.org/officeDocument/2006/relationships/hyperlink" Target="https://doi.org/10.1097/01.AOG.0000441353.20693.78" TargetMode="External"/><Relationship Id="rIdabtexoycgwmmo1lowqp0g" Type="http://schemas.openxmlformats.org/officeDocument/2006/relationships/hyperlink" Target="https://doi.org/10.1007/s00192-009-0976-9" TargetMode="External"/><Relationship Id="rIdgzw8xzljjirbgiuk1rmt1" Type="http://schemas.openxmlformats.org/officeDocument/2006/relationships/hyperlink" Target="https://doi.org/10.1007/s00192-016-3003-y" TargetMode="External"/><Relationship Id="rIdjw5cidyouuevmkcycw8vo" Type="http://schemas.openxmlformats.org/officeDocument/2006/relationships/hyperlink" Target="https://doi.org/10.1002/14651858.CD004143.pub5" TargetMode="External"/><Relationship Id="rIdkcxgtzr38aamc-jrsd0ry" Type="http://schemas.openxmlformats.org/officeDocument/2006/relationships/hyperlink" Target="https://www.nice.org.uk/guidance/ng123" TargetMode="External"/><Relationship Id="rIdqd1kaqjf8ixvibqxbq4rs" Type="http://schemas.openxmlformats.org/officeDocument/2006/relationships/hyperlink" Target="https://www.rcog.org.uk/guidance/browse-all-guidance/green-top-guidelines/post-hysterectomy-vaginal-vault-prolapse-green-top-guideline-no-46/" TargetMode="External"/><Relationship Id="rIde0wmftpdt4dp_lfkti0ja" Type="http://schemas.openxmlformats.org/officeDocument/2006/relationships/hyperlink" Target="https://www.who.int/publications/i/item/9789240045989" TargetMode="External"/><Relationship Id="rId2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2026-08-16T23:14:04.831Z</dcterms:created>
  <dcterms:modified xsi:type="dcterms:W3CDTF">2026-08-16T23:14:04.831Z</dcterms:modified>
</cp:coreProperties>
</file>

<file path=docProps/custom.xml><?xml version="1.0" encoding="utf-8"?>
<Properties xmlns="http://schemas.openxmlformats.org/officeDocument/2006/custom-properties" xmlns:vt="http://schemas.openxmlformats.org/officeDocument/2006/docPropsVTypes"/>
</file>