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800"/>
        <w:jc w:val="center"/>
      </w:pPr>
      <w:r>
        <w:rPr>
          <w:rFonts w:ascii="IBM Plex Sans" w:cs="IBM Plex Sans" w:eastAsia="IBM Plex Sans" w:hAnsi="IBM Plex Sans"/>
          <w:color w:val="64748B"/>
          <w:spacing w:val="20"/>
          <w:sz w:val="22"/>
          <w:szCs w:val="22"/>
        </w:rPr>
        <w:t xml:space="preserve">PANDUAN PRAKTIK KLINIS</w:t>
      </w:r>
    </w:p>
    <w:p>
      <w:pPr>
        <w:spacing w:after="100" w:before="100"/>
        <w:jc w:val="center"/>
      </w:pPr>
      <w:r>
        <w:rPr>
          <w:rFonts w:ascii="IBM Plex Mono" w:cs="IBM Plex Mono" w:eastAsia="IBM Plex Mono" w:hAnsi="IBM Plex Mono"/>
          <w:color w:val="B45309"/>
          <w:sz w:val="20"/>
          <w:szCs w:val="20"/>
        </w:rPr>
        <w:t xml:space="preserve">PPK No. 1 dari 73</w:t>
      </w:r>
    </w:p>
    <w:p>
      <w:pPr>
        <w:spacing w:after="100" w:before="300"/>
        <w:jc w:val="center"/>
      </w:pPr>
      <w:r>
        <w:rPr>
          <w:rFonts w:ascii="Source Serif 4" w:cs="Source Serif 4" w:eastAsia="Source Serif 4" w:hAnsi="Source Serif 4"/>
          <w:b/>
          <w:bCs/>
          <w:color w:val="4F46E5"/>
          <w:sz w:val="44"/>
          <w:szCs w:val="44"/>
        </w:rPr>
        <w:t xml:space="preserve">Kehamilan Tanpa Penyulit</w:t>
      </w:r>
    </w:p>
    <w:p>
      <w:pPr>
        <w:spacing w:after="400"/>
        <w:jc w:val="center"/>
      </w:pPr>
      <w:r>
        <w:rPr>
          <w:rFonts w:ascii="IBM Plex Sans" w:cs="IBM Plex Sans" w:eastAsia="IBM Plex Sans" w:hAnsi="IBM Plex Sans"/>
          <w:i/>
          <w:iCs/>
          <w:color w:val="64748B"/>
          <w:sz w:val="26"/>
          <w:szCs w:val="26"/>
        </w:rPr>
        <w:t xml:space="preserve">Pregnancy without Complication</w:t>
      </w:r>
    </w:p>
    <w:p>
      <w:pPr>
        <w:spacing w:after="60"/>
        <w:jc w:val="center"/>
      </w:pPr>
      <w:r>
        <w:rPr>
          <w:rFonts w:ascii="IBM Plex Mono" w:cs="IBM Plex Mono" w:eastAsia="IBM Plex Mono" w:hAnsi="IBM Plex Mono"/>
          <w:color w:val="334155"/>
          <w:sz w:val="20"/>
          <w:szCs w:val="20"/>
        </w:rPr>
        <w:t xml:space="preserve">ICD-10: Z34   |   ICD-11: QA42</w:t>
      </w:r>
    </w:p>
    <w:p>
      <w:pPr>
        <w:spacing w:after="600"/>
        <w:jc w:val="center"/>
      </w:pPr>
      <w:r>
        <w:rPr>
          <w:rFonts w:ascii="IBM Plex Sans" w:cs="IBM Plex Sans" w:eastAsia="IBM Plex Sans" w:hAnsi="IBM Plex Sans"/>
          <w:color w:val="334155"/>
          <w:sz w:val="20"/>
          <w:szCs w:val="20"/>
        </w:rPr>
        <w:t xml:space="preserve">Divisi Pengampu: Fetomaternal</w:t>
      </w:r>
    </w:p>
    <w:p>
      <w:pPr>
        <w:spacing w:before="1200"/>
        <w:jc w:val="center"/>
      </w:pPr>
      <w:r>
        <w:rPr>
          <w:rFonts w:ascii="IBM Plex Sans" w:cs="IBM Plex Sans" w:eastAsia="IBM Plex Sans" w:hAnsi="IBM Plex Sans"/>
          <w:b/>
          <w:bCs/>
          <w:color w:val="B45309"/>
          <w:sz w:val="18"/>
          <w:szCs w:val="18"/>
        </w:rPr>
        <w:t xml:space="preserve">Dasar Regulasi:</w:t>
      </w:r>
    </w:p>
    <w:p>
      <w:pPr>
        <w:jc w:val="center"/>
      </w:pPr>
      <w:r>
        <w:rPr>
          <w:rFonts w:ascii="IBM Plex Sans" w:cs="IBM Plex Sans" w:eastAsia="IBM Plex Sans" w:hAnsi="IBM Plex Sans"/>
          <w:color w:val="334155"/>
          <w:sz w:val="18"/>
          <w:szCs w:val="18"/>
        </w:rPr>
        <w:t xml:space="preserve">Tabel 7 No. 1, Lampiran Keputusan Ketua Konsil Kesehatan Indonesia No. HK.01.02/KKI/1318/2026 tentang Standar Kompetensi Dokter Spesialis dan Subspesialis Bidang Obstetri dan Ginekologi</w:t>
      </w:r>
    </w:p>
    <w:p>
      <w:pPr>
        <w:spacing w:before="200"/>
        <w:jc w:val="center"/>
      </w:pPr>
      <w:r>
        <w:rPr>
          <w:rFonts w:ascii="IBM Plex Sans" w:cs="IBM Plex Sans" w:eastAsia="IBM Plex Sans" w:hAnsi="IBM Plex Sans"/>
          <w:i/>
          <w:iCs/>
          <w:color w:val="64748B"/>
          <w:sz w:val="18"/>
          <w:szCs w:val="18"/>
        </w:rPr>
        <w:t xml:space="preserve">Rujukan silang: Buku Tematik B2 — Obstetri Fisiologis dan Asuhan Antenatal</w:t>
      </w:r>
    </w:p>
    <w:p>
      <w:pPr>
        <w:spacing w:before="900"/>
        <w:jc w:val="center"/>
      </w:pPr>
      <w:r>
        <w:rPr>
          <w:rFonts w:ascii="IBM Plex Sans" w:cs="IBM Plex Sans" w:eastAsia="IBM Plex Sans" w:hAnsi="IBM Plex Sans"/>
          <w:b/>
          <w:bCs/>
          <w:color w:val="334155"/>
          <w:sz w:val="20"/>
          <w:szCs w:val="20"/>
        </w:rPr>
        <w:t xml:space="preserve">Dr.dr. Budi Siswanto, Sp.OG., Subsp.Obginsos., SH., S.Kom.</w:t>
      </w:r>
    </w:p>
    <w:p>
      <w:pPr>
        <w:spacing w:after="40"/>
        <w:jc w:val="center"/>
      </w:pPr>
      <w:r>
        <w:rPr>
          <w:rFonts w:ascii="IBM Plex Sans" w:cs="IBM Plex Sans" w:eastAsia="IBM Plex Sans" w:hAnsi="IBM Plex Sans"/>
          <w:color w:val="64748B"/>
          <w:sz w:val="19"/>
          <w:szCs w:val="19"/>
        </w:rPr>
        <w:t xml:space="preserve">Perpustakaan Digital ABBA</w:t>
      </w:r>
    </w:p>
    <w:p>
      <w:pPr>
        <w:jc w:val="center"/>
      </w:pPr>
      <w:r>
        <w:rPr>
          <w:rFonts w:ascii="IBM Plex Mono" w:cs="IBM Plex Mono" w:eastAsia="IBM Plex Mono" w:hAnsi="IBM Plex Mono"/>
          <w:color w:val="64748B"/>
          <w:sz w:val="17"/>
          <w:szCs w:val="17"/>
        </w:rPr>
        <w:t xml:space="preserve">Jl. Kerinci Raya No. 9, Malang 65138 · 2026</w:t>
      </w:r>
    </w:p>
    <w:p>
      <w:r>
        <w:br w:type="page"/>
      </w:r>
    </w:p>
    <w:p>
      <w:pPr>
        <w:pStyle w:val="Heading1"/>
        <w:spacing w:after="140" w:before="320"/>
      </w:pPr>
      <w:r>
        <w:rPr>
          <w:rFonts w:ascii="Source Serif 4" w:cs="Source Serif 4" w:eastAsia="Source Serif 4" w:hAnsi="Source Serif 4"/>
          <w:b/>
          <w:bCs/>
          <w:color w:val="4F46E5"/>
        </w:rPr>
        <w:t xml:space="preserve">1. Pengertian/Definisi</w:t>
      </w:r>
    </w:p>
    <w:tbl>
      <w:tblPr>
        <w:tblW w:type="pct" w:w="100%"/>
        <w:tblBorders>
          <w:top w:val="single" w:color="B45309" w:sz="4"/>
          <w:left w:val="single" w:color="B45309" w:sz="4"/>
          <w:bottom w:val="single" w:color="B45309" w:sz="4"/>
          <w:right w:val="single" w:color="B45309" w:sz="4"/>
          <w:insideH w:val="none" w:color="FFFFFF" w:sz="0"/>
          <w:insideV w:val="none" w:color="FFFFFF" w:sz="0"/>
        </w:tblBorders>
      </w:tblPr>
      <w:tblGrid>
        <w:gridCol w:w="100"/>
      </w:tblGrid>
      <w:tr>
        <w:tc>
          <w:tcPr>
            <w:tcW w:type="pct" w:w="100%"/>
            <w:shd w:fill="FFFBEB" w:val="clear"/>
            <w:tcMar>
              <w:top w:type="dxa" w:w="160"/>
              <w:left w:type="dxa" w:w="200"/>
              <w:bottom w:type="dxa" w:w="160"/>
              <w:right w:type="dxa" w:w="200"/>
            </w:tcMar>
          </w:tcPr>
          <w:p>
            <w:pPr>
              <w:spacing w:after="60"/>
            </w:pPr>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color w:val="334155"/>
                <w:sz w:val="20"/>
                <w:szCs w:val="20"/>
              </w:rPr>
              <w:t xml:space="preserve">Entri diagnosis ini diverifikasi ulang dari Tabel 7 No. 1, Lampiran Keputusan Ketua Konsil Kesehatan Indonesia No. HK.01.02/KKI/1318/2026 tentang Standar Kompetensi Dokter Spesialis dan Subspesialis Bidang Obstetri dan Ginekologi: "Kehamilan tanpa penyulit / Pregnancy without complication", kode ICD-10 Z34, ICD-11 QA42, dengan Keterangan/Populasi resmi: "Kehamilan normal; ibu sehat tanpa komplikasi". Divisi pengampu yang menyumbang perspektif tambahan: Fetomaternal.</w:t>
            </w:r>
          </w:p>
        </w:tc>
      </w:tr>
    </w:tbl>
    <w:p>
      <w:pPr>
        <w:spacing w:after="120"/>
      </w:pPr>
    </w:p>
    <w:p>
      <w:pPr>
        <w:spacing w:after="160" w:line="276"/>
      </w:pPr>
      <w:r>
        <w:rPr>
          <w:rFonts w:ascii="IBM Plex Sans" w:cs="IBM Plex Sans" w:eastAsia="IBM Plex Sans" w:hAnsi="IBM Plex Sans"/>
          <w:color w:val="334155"/>
          <w:sz w:val="22"/>
          <w:szCs w:val="22"/>
        </w:rPr>
        <w:t xml:space="preserve">PPK ini merupakan turunan operasional dari Buku Tematik B2 — Obstetri Fisiologis dan Asuhan Antenatal, disusun untuk menstandardisasi asuhan pada kehamilan tanpa penyulit (Pregnancy without complication) sesuai entri No. 1 Tabel 7 No. 1, Lampiran Keputusan Ketua Konsil Kesehatan Indonesia No. HK.01.02/KKI/1318/2026 tentang Standar Kompetensi Dokter Spesialis dan Subspesialis Bidang Obstetri dan Ginekologi.</w:t>
      </w:r>
    </w:p>
    <w:p>
      <w:pPr>
        <w:spacing w:after="160" w:line="276"/>
      </w:pPr>
      <w:r>
        <w:rPr>
          <w:rFonts w:ascii="IBM Plex Sans" w:cs="IBM Plex Sans" w:eastAsia="IBM Plex Sans" w:hAnsi="IBM Plex Sans"/>
          <w:color w:val="334155"/>
          <w:sz w:val="22"/>
          <w:szCs w:val="22"/>
        </w:rPr>
        <w:t xml:space="preserve">Kehamilan tanpa penyulit adalah kondisi kehamilan pada ibu yang sehat, tanpa penyakit penyerta (komorbid) bermakna, tanpa faktor risiko obstetri signifikan, dan tanpa komplikasi maternal maupun janin yang terdeteksi sepanjang usia kehamilan, sejak konsepsi hingga terminasi kehamilan pada usia aterm (37–41 minggu). Populasi sasaran PPK ini sesuai Keterangan/Populasi resmi Kepkonsil adalah "Kehamilan normal; ibu sehat tanpa komplikasi".</w:t>
      </w:r>
    </w:p>
    <w:p>
      <w:pPr>
        <w:spacing w:after="160" w:line="276"/>
      </w:pPr>
      <w:r>
        <w:rPr>
          <w:rFonts w:ascii="IBM Plex Sans" w:cs="IBM Plex Sans" w:eastAsia="IBM Plex Sans" w:hAnsi="IBM Plex Sans"/>
          <w:color w:val="334155"/>
          <w:sz w:val="22"/>
          <w:szCs w:val="22"/>
        </w:rPr>
        <w:t xml:space="preserve">Konsep ini sejalan dengan prinsip WHO tentang "pengalaman kehamilan yang positif" (positive pregnancy experience), yaitu mempertahankan kondisi fisiologis dan sosiokultural yang normal, menjaga kehamilan tetap sehat bagi ibu dan bayi, serta memastikan transisi yang baik menuju persalinan dan masa nifas.</w:t>
      </w:r>
    </w:p>
    <w:p>
      <w:pPr>
        <w:spacing w:after="160" w:line="276"/>
      </w:pPr>
      <w:r>
        <w:rPr>
          <w:rFonts w:ascii="IBM Plex Sans" w:cs="IBM Plex Sans" w:eastAsia="IBM Plex Sans" w:hAnsi="IBM Plex Sans"/>
          <w:color w:val="334155"/>
          <w:sz w:val="22"/>
          <w:szCs w:val="22"/>
        </w:rPr>
        <w:t xml:space="preserve">Tujuan utama tata laksana adalah menjaga kehamilan tetap berada dalam kategori risiko rendah (low-risk) melalui deteksi dini penyimpangan dari kehamilan normal, sehingga transisi ke jalur PPK lain (mis. hipertensi dalam kehamilan, preeklamsia, atau kondisi penyulit lain dalam Tabel 7 Kepkonsil) dapat dilakukan secara tepat waktu apabila ditemukan penyulit di kemudian hari. Kategori risiko bersifat dinamis dan dapat berubah kapan pun sepanjang masa kehamilan, sehingga penilaian ulang dilakukan pada setiap kontak antenatal, bukan hanya pada kunjungan pertama.</w:t>
      </w:r>
    </w:p>
    <w:p>
      <w:pPr>
        <w:pStyle w:val="Heading1"/>
        <w:spacing w:after="140" w:before="320"/>
      </w:pPr>
      <w:r>
        <w:rPr>
          <w:rFonts w:ascii="Source Serif 4" w:cs="Source Serif 4" w:eastAsia="Source Serif 4" w:hAnsi="Source Serif 4"/>
          <w:b/>
          <w:bCs/>
          <w:color w:val="4F46E5"/>
        </w:rPr>
        <w:t xml:space="preserve">2. Anamnesis</w:t>
      </w:r>
    </w:p>
    <w:p>
      <w:pPr>
        <w:spacing w:after="160" w:line="276"/>
      </w:pPr>
      <w:r>
        <w:rPr>
          <w:rFonts w:ascii="IBM Plex Sans" w:cs="IBM Plex Sans" w:eastAsia="IBM Plex Sans" w:hAnsi="IBM Plex Sans"/>
          <w:color w:val="334155"/>
          <w:sz w:val="22"/>
          <w:szCs w:val="22"/>
        </w:rPr>
        <w:t xml:space="preserve">Anamnesis pada kunjungan antenatal pertama dan kunjungan lanjutan disusun untuk memastikan kehamilan tetap dalam kategori tanpa penyulit, mencakup:</w:t>
      </w:r>
    </w:p>
    <w:p>
      <w:pPr>
        <w:pStyle w:val="ListParagraph"/>
        <w:numPr>
          <w:ilvl w:val="0"/>
          <w:numId w:val="2"/>
        </w:numPr>
        <w:spacing w:after="100" w:line="270"/>
      </w:pPr>
      <w:r>
        <w:rPr>
          <w:rFonts w:ascii="IBM Plex Sans" w:cs="IBM Plex Sans" w:eastAsia="IBM Plex Sans" w:hAnsi="IBM Plex Sans"/>
          <w:color w:val="334155"/>
          <w:sz w:val="22"/>
          <w:szCs w:val="22"/>
        </w:rPr>
        <w:t xml:space="preserve">Identitas ibu, usia, paritas, dan riwayat haid terakhir (HPHT) untuk penentuan usia kehamilan dan taksiran persalinan.</w:t>
      </w:r>
    </w:p>
    <w:p>
      <w:pPr>
        <w:pStyle w:val="ListParagraph"/>
        <w:numPr>
          <w:ilvl w:val="0"/>
          <w:numId w:val="2"/>
        </w:numPr>
        <w:spacing w:after="100" w:line="270"/>
      </w:pPr>
      <w:r>
        <w:rPr>
          <w:rFonts w:ascii="IBM Plex Sans" w:cs="IBM Plex Sans" w:eastAsia="IBM Plex Sans" w:hAnsi="IBM Plex Sans"/>
          <w:color w:val="334155"/>
          <w:sz w:val="22"/>
          <w:szCs w:val="22"/>
        </w:rPr>
        <w:t xml:space="preserve">Riwayat obstetri sebelumnya: jumlah kehamilan, persalinan, keguguran, komplikasi kehamilan/persalinan terdahulu, berat lahir bayi sebelumnya.</w:t>
      </w:r>
    </w:p>
    <w:p>
      <w:pPr>
        <w:pStyle w:val="ListParagraph"/>
        <w:numPr>
          <w:ilvl w:val="0"/>
          <w:numId w:val="2"/>
        </w:numPr>
        <w:spacing w:after="100" w:line="270"/>
      </w:pPr>
      <w:r>
        <w:rPr>
          <w:rFonts w:ascii="IBM Plex Sans" w:cs="IBM Plex Sans" w:eastAsia="IBM Plex Sans" w:hAnsi="IBM Plex Sans"/>
          <w:color w:val="334155"/>
          <w:sz w:val="22"/>
          <w:szCs w:val="22"/>
        </w:rPr>
        <w:t xml:space="preserve">Riwayat penyakit dahulu dan penyakit keluarga: hipertensi, diabetes melitus, penyakit jantung, penyakit tiroid, penyakit ginjal, gangguan pembekuan darah, riwayat preeklamsia pada kehamilan/keluarga sebelumnya.</w:t>
      </w:r>
    </w:p>
    <w:p>
      <w:pPr>
        <w:pStyle w:val="ListParagraph"/>
        <w:numPr>
          <w:ilvl w:val="0"/>
          <w:numId w:val="2"/>
        </w:numPr>
        <w:spacing w:after="100" w:line="270"/>
      </w:pPr>
      <w:r>
        <w:rPr>
          <w:rFonts w:ascii="IBM Plex Sans" w:cs="IBM Plex Sans" w:eastAsia="IBM Plex Sans" w:hAnsi="IBM Plex Sans"/>
          <w:color w:val="334155"/>
          <w:sz w:val="22"/>
          <w:szCs w:val="22"/>
        </w:rPr>
        <w:t xml:space="preserve">Riwayat kehamilan saat ini: keluhan mual muntah, perdarahan, gerakan janin (pada trimester 2-3), kontraksi, keputihan abnormal.</w:t>
      </w:r>
    </w:p>
    <w:p>
      <w:pPr>
        <w:pStyle w:val="ListParagraph"/>
        <w:numPr>
          <w:ilvl w:val="0"/>
          <w:numId w:val="2"/>
        </w:numPr>
        <w:spacing w:after="100" w:line="270"/>
      </w:pPr>
      <w:r>
        <w:rPr>
          <w:rFonts w:ascii="IBM Plex Sans" w:cs="IBM Plex Sans" w:eastAsia="IBM Plex Sans" w:hAnsi="IBM Plex Sans"/>
          <w:color w:val="334155"/>
          <w:sz w:val="22"/>
          <w:szCs w:val="22"/>
        </w:rPr>
        <w:t xml:space="preserve">Riwayat sosial dan gaya hidup: status gizi, konsumsi tembakau/alkohol/zat tertentu, aktivitas fisik, dukungan psikososial, dan kondisi tempat tinggal.</w:t>
      </w:r>
    </w:p>
    <w:p>
      <w:pPr>
        <w:pStyle w:val="ListParagraph"/>
        <w:numPr>
          <w:ilvl w:val="0"/>
          <w:numId w:val="2"/>
        </w:numPr>
        <w:spacing w:after="100" w:line="270"/>
      </w:pPr>
      <w:r>
        <w:rPr>
          <w:rFonts w:ascii="IBM Plex Sans" w:cs="IBM Plex Sans" w:eastAsia="IBM Plex Sans" w:hAnsi="IBM Plex Sans"/>
          <w:color w:val="334155"/>
          <w:sz w:val="22"/>
          <w:szCs w:val="22"/>
        </w:rPr>
        <w:t xml:space="preserve">Riwayat imunisasi (tetanus toksoid) dan konsumsi suplementasi (asam folat, besi) sebelum dan selama kehamilan.</w:t>
      </w:r>
    </w:p>
    <w:p>
      <w:pPr>
        <w:pStyle w:val="ListParagraph"/>
        <w:numPr>
          <w:ilvl w:val="0"/>
          <w:numId w:val="2"/>
        </w:numPr>
        <w:spacing w:after="100" w:line="270"/>
      </w:pPr>
      <w:r>
        <w:rPr>
          <w:rFonts w:ascii="IBM Plex Sans" w:cs="IBM Plex Sans" w:eastAsia="IBM Plex Sans" w:hAnsi="IBM Plex Sans"/>
          <w:color w:val="334155"/>
          <w:sz w:val="22"/>
          <w:szCs w:val="22"/>
        </w:rPr>
        <w:t xml:space="preserve">Skrining faktor risiko sosial: kekerasan dalam rumah tangga, kehamilan tidak diinginkan, dan kebutuhan dukungan tambahan.</w:t>
      </w:r>
    </w:p>
    <w:p>
      <w:pPr>
        <w:pStyle w:val="ListParagraph"/>
        <w:numPr>
          <w:ilvl w:val="0"/>
          <w:numId w:val="2"/>
        </w:numPr>
        <w:spacing w:after="100" w:line="270"/>
      </w:pPr>
      <w:r>
        <w:rPr>
          <w:rFonts w:ascii="IBM Plex Sans" w:cs="IBM Plex Sans" w:eastAsia="IBM Plex Sans" w:hAnsi="IBM Plex Sans"/>
          <w:color w:val="334155"/>
          <w:sz w:val="22"/>
          <w:szCs w:val="22"/>
        </w:rPr>
        <w:t xml:space="preserve">Skrining status kesehatan jiwa dasar, termasuk gejala kecemasan atau perubahan suasana hati yang mengganggu fungsi sehari-hari, untuk penapisan awal sesuai kapasitas fasilitas.</w:t>
      </w:r>
    </w:p>
    <w:p>
      <w:pPr>
        <w:spacing w:after="160" w:line="276"/>
      </w:pPr>
      <w:r>
        <w:rPr>
          <w:rFonts w:ascii="IBM Plex Sans" w:cs="IBM Plex Sans" w:eastAsia="IBM Plex Sans" w:hAnsi="IBM Plex Sans"/>
          <w:color w:val="334155"/>
          <w:sz w:val="22"/>
          <w:szCs w:val="22"/>
        </w:rPr>
        <w:t xml:space="preserve">Anamnesis pada kunjungan lanjutan bersifat lebih terarah (focused history): menanyakan ulang keluhan yang relevan dengan usia kehamilan saat itu, kepatuhan suplementasi, dan ada-tidaknya tanda bahaya baru sejak kunjungan sebelumnya.</w:t>
      </w:r>
    </w:p>
    <w:p>
      <w:pPr>
        <w:pStyle w:val="Heading1"/>
        <w:spacing w:after="140" w:before="320"/>
      </w:pPr>
      <w:r>
        <w:rPr>
          <w:rFonts w:ascii="Source Serif 4" w:cs="Source Serif 4" w:eastAsia="Source Serif 4" w:hAnsi="Source Serif 4"/>
          <w:b/>
          <w:bCs/>
          <w:color w:val="4F46E5"/>
        </w:rPr>
        <w:t xml:space="preserve">3. Pemeriksaan Fisik</w:t>
      </w:r>
    </w:p>
    <w:p>
      <w:pPr>
        <w:spacing w:after="160" w:line="276"/>
      </w:pPr>
      <w:r>
        <w:rPr>
          <w:rFonts w:ascii="IBM Plex Sans" w:cs="IBM Plex Sans" w:eastAsia="IBM Plex Sans" w:hAnsi="IBM Plex Sans"/>
          <w:color w:val="334155"/>
          <w:sz w:val="22"/>
          <w:szCs w:val="22"/>
        </w:rPr>
        <w:t xml:space="preserve">Pemeriksaan fisik umum dan obstetri dilakukan pada setiap kunjungan antenatal untuk memastikan parameter berada dalam batas normal:</w:t>
      </w:r>
    </w:p>
    <w:p>
      <w:pPr>
        <w:pStyle w:val="ListParagraph"/>
        <w:numPr>
          <w:ilvl w:val="0"/>
          <w:numId w:val="2"/>
        </w:numPr>
        <w:spacing w:after="100" w:line="270"/>
      </w:pPr>
      <w:r>
        <w:rPr>
          <w:rFonts w:ascii="IBM Plex Sans" w:cs="IBM Plex Sans" w:eastAsia="IBM Plex Sans" w:hAnsi="IBM Plex Sans"/>
          <w:color w:val="334155"/>
          <w:sz w:val="22"/>
          <w:szCs w:val="22"/>
        </w:rPr>
        <w:t xml:space="preserve">Tanda vital: tekanan darah, nadi, frekuensi napas, suhu tubuh; tekanan darah diukur dengan teknik standar untuk skrining awal hipertensi dalam kehamilan.</w:t>
      </w:r>
    </w:p>
    <w:p>
      <w:pPr>
        <w:pStyle w:val="ListParagraph"/>
        <w:numPr>
          <w:ilvl w:val="0"/>
          <w:numId w:val="2"/>
        </w:numPr>
        <w:spacing w:after="100" w:line="270"/>
      </w:pPr>
      <w:r>
        <w:rPr>
          <w:rFonts w:ascii="IBM Plex Sans" w:cs="IBM Plex Sans" w:eastAsia="IBM Plex Sans" w:hAnsi="IBM Plex Sans"/>
          <w:color w:val="334155"/>
          <w:sz w:val="22"/>
          <w:szCs w:val="22"/>
        </w:rPr>
        <w:t xml:space="preserve">Antropometri: berat badan, tinggi badan, indeks massa tubuh pra-hamil, dan pemantauan kenaikan berat badan sesuai IMT awal.</w:t>
      </w:r>
    </w:p>
    <w:p>
      <w:pPr>
        <w:pStyle w:val="ListParagraph"/>
        <w:numPr>
          <w:ilvl w:val="0"/>
          <w:numId w:val="2"/>
        </w:numPr>
        <w:spacing w:after="100" w:line="270"/>
      </w:pPr>
      <w:r>
        <w:rPr>
          <w:rFonts w:ascii="IBM Plex Sans" w:cs="IBM Plex Sans" w:eastAsia="IBM Plex Sans" w:hAnsi="IBM Plex Sans"/>
          <w:color w:val="334155"/>
          <w:sz w:val="22"/>
          <w:szCs w:val="22"/>
        </w:rPr>
        <w:t xml:space="preserve">Pemeriksaan status generalis: konjungtiva (anemia), edema tungkai, kelenjar tiroid, jantung dan paru.</w:t>
      </w:r>
    </w:p>
    <w:p>
      <w:pPr>
        <w:pStyle w:val="ListParagraph"/>
        <w:numPr>
          <w:ilvl w:val="0"/>
          <w:numId w:val="2"/>
        </w:numPr>
        <w:spacing w:after="100" w:line="270"/>
      </w:pPr>
      <w:r>
        <w:rPr>
          <w:rFonts w:ascii="IBM Plex Sans" w:cs="IBM Plex Sans" w:eastAsia="IBM Plex Sans" w:hAnsi="IBM Plex Sans"/>
          <w:color w:val="334155"/>
          <w:sz w:val="22"/>
          <w:szCs w:val="22"/>
        </w:rPr>
        <w:t xml:space="preserve">Pemeriksaan obstetri luar: tinggi fundus uteri (TFU) disesuaikan usia kehamilan, letak dan presentasi janin (trimester 3), denyut jantung janin (DJJ).</w:t>
      </w:r>
    </w:p>
    <w:p>
      <w:pPr>
        <w:pStyle w:val="ListParagraph"/>
        <w:numPr>
          <w:ilvl w:val="0"/>
          <w:numId w:val="2"/>
        </w:numPr>
        <w:spacing w:after="100" w:line="270"/>
      </w:pPr>
      <w:r>
        <w:rPr>
          <w:rFonts w:ascii="IBM Plex Sans" w:cs="IBM Plex Sans" w:eastAsia="IBM Plex Sans" w:hAnsi="IBM Plex Sans"/>
          <w:color w:val="334155"/>
          <w:sz w:val="22"/>
          <w:szCs w:val="22"/>
        </w:rPr>
        <w:t xml:space="preserve">Pemeriksaan obstetri dalam dilakukan hanya atas indikasi klinis spesifik, bukan sebagai pemeriksaan rutin tanpa indikasi.</w:t>
      </w:r>
    </w:p>
    <w:p>
      <w:pPr>
        <w:pStyle w:val="ListParagraph"/>
        <w:numPr>
          <w:ilvl w:val="0"/>
          <w:numId w:val="2"/>
        </w:numPr>
        <w:spacing w:after="100" w:line="270"/>
      </w:pPr>
      <w:r>
        <w:rPr>
          <w:rFonts w:ascii="IBM Plex Sans" w:cs="IBM Plex Sans" w:eastAsia="IBM Plex Sans" w:hAnsi="IBM Plex Sans"/>
          <w:color w:val="334155"/>
          <w:sz w:val="22"/>
          <w:szCs w:val="22"/>
        </w:rPr>
        <w:t xml:space="preserve">Pemeriksaan payudara dan status gizi (lingkar lengan atas) pada kunjungan pertama untuk deteksi dini risiko kurang energi kronik (KEK).</w:t>
      </w:r>
    </w:p>
    <w:p>
      <w:pPr>
        <w:spacing w:after="160" w:line="276"/>
      </w:pPr>
      <w:r>
        <w:rPr>
          <w:rFonts w:ascii="IBM Plex Sans" w:cs="IBM Plex Sans" w:eastAsia="IBM Plex Sans" w:hAnsi="IBM Plex Sans"/>
          <w:color w:val="334155"/>
          <w:sz w:val="22"/>
          <w:szCs w:val="22"/>
        </w:rPr>
        <w:t xml:space="preserve">Pengukuran tekanan darah dilakukan dengan Pasien dalam posisi duduk tenang minimal lima menit sebelum pengukuran, menggunakan manset berukuran sesuai lingkar lengan, untuk menghindari hasil positif maupun negatif palsu pada skrining hipertensi dalam kehamilan.</w:t>
      </w:r>
    </w:p>
    <w:p>
      <w:pPr>
        <w:pStyle w:val="Heading1"/>
        <w:spacing w:after="140" w:before="320"/>
      </w:pPr>
      <w:r>
        <w:rPr>
          <w:rFonts w:ascii="Source Serif 4" w:cs="Source Serif 4" w:eastAsia="Source Serif 4" w:hAnsi="Source Serif 4"/>
          <w:b/>
          <w:bCs/>
          <w:color w:val="4F46E5"/>
        </w:rPr>
        <w:t xml:space="preserve">4. Kriteria Diagnosis</w:t>
      </w:r>
    </w:p>
    <w:p>
      <w:pPr>
        <w:spacing w:after="160" w:line="276"/>
      </w:pPr>
      <w:r>
        <w:rPr>
          <w:rFonts w:ascii="IBM Plex Sans" w:cs="IBM Plex Sans" w:eastAsia="IBM Plex Sans" w:hAnsi="IBM Plex Sans"/>
          <w:color w:val="334155"/>
          <w:sz w:val="22"/>
          <w:szCs w:val="22"/>
        </w:rPr>
        <w:t xml:space="preserve">Diagnosis Kehamilan tanpa penyulit (Pregnancy without complication) — ICD-10: Z34; ICD-11: QA42 — ditegakkan berdasarkan konfirmasi kehamilan (klinis dan/atau laboratorium/ultrasonografi) disertai TIDAK ditemukannya kriteria berikut sepanjang pemantauan:</w:t>
      </w:r>
    </w:p>
    <w:p>
      <w:pPr>
        <w:pStyle w:val="ListParagraph"/>
        <w:numPr>
          <w:ilvl w:val="0"/>
          <w:numId w:val="2"/>
        </w:numPr>
        <w:spacing w:after="100" w:line="270"/>
      </w:pPr>
      <w:r>
        <w:rPr>
          <w:rFonts w:ascii="IBM Plex Sans" w:cs="IBM Plex Sans" w:eastAsia="IBM Plex Sans" w:hAnsi="IBM Plex Sans"/>
          <w:color w:val="334155"/>
          <w:sz w:val="22"/>
          <w:szCs w:val="22"/>
        </w:rPr>
        <w:t xml:space="preserve">Tekanan darah sistolik ≥140 mmHg dan/atau diastolik ≥90 mmHg pada dua kali pengukuran, atau tanda preeklamsia lain.</w:t>
      </w:r>
    </w:p>
    <w:p>
      <w:pPr>
        <w:pStyle w:val="ListParagraph"/>
        <w:numPr>
          <w:ilvl w:val="0"/>
          <w:numId w:val="2"/>
        </w:numPr>
        <w:spacing w:after="100" w:line="270"/>
      </w:pPr>
      <w:r>
        <w:rPr>
          <w:rFonts w:ascii="IBM Plex Sans" w:cs="IBM Plex Sans" w:eastAsia="IBM Plex Sans" w:hAnsi="IBM Plex Sans"/>
          <w:color w:val="334155"/>
          <w:sz w:val="22"/>
          <w:szCs w:val="22"/>
        </w:rPr>
        <w:t xml:space="preserve">Perdarahan pervaginam abnormal pada trimester manapun.</w:t>
      </w:r>
    </w:p>
    <w:p>
      <w:pPr>
        <w:pStyle w:val="ListParagraph"/>
        <w:numPr>
          <w:ilvl w:val="0"/>
          <w:numId w:val="2"/>
        </w:numPr>
        <w:spacing w:after="100" w:line="270"/>
      </w:pPr>
      <w:r>
        <w:rPr>
          <w:rFonts w:ascii="IBM Plex Sans" w:cs="IBM Plex Sans" w:eastAsia="IBM Plex Sans" w:hAnsi="IBM Plex Sans"/>
          <w:color w:val="334155"/>
          <w:sz w:val="22"/>
          <w:szCs w:val="22"/>
        </w:rPr>
        <w:t xml:space="preserve">Kelainan letak/presentasi janin yang menetap pada usia kehamilan aterm tanpa rencana tata laksana khusus.</w:t>
      </w:r>
    </w:p>
    <w:p>
      <w:pPr>
        <w:pStyle w:val="ListParagraph"/>
        <w:numPr>
          <w:ilvl w:val="0"/>
          <w:numId w:val="2"/>
        </w:numPr>
        <w:spacing w:after="100" w:line="270"/>
      </w:pPr>
      <w:r>
        <w:rPr>
          <w:rFonts w:ascii="IBM Plex Sans" w:cs="IBM Plex Sans" w:eastAsia="IBM Plex Sans" w:hAnsi="IBM Plex Sans"/>
          <w:color w:val="334155"/>
          <w:sz w:val="22"/>
          <w:szCs w:val="22"/>
        </w:rPr>
        <w:t xml:space="preserve">Pertumbuhan janin terhambat atau makrosomia berdasarkan pemeriksaan klinis/ultrasonografi.</w:t>
      </w:r>
    </w:p>
    <w:p>
      <w:pPr>
        <w:pStyle w:val="ListParagraph"/>
        <w:numPr>
          <w:ilvl w:val="0"/>
          <w:numId w:val="2"/>
        </w:numPr>
        <w:spacing w:after="100" w:line="270"/>
      </w:pPr>
      <w:r>
        <w:rPr>
          <w:rFonts w:ascii="IBM Plex Sans" w:cs="IBM Plex Sans" w:eastAsia="IBM Plex Sans" w:hAnsi="IBM Plex Sans"/>
          <w:color w:val="334155"/>
          <w:sz w:val="22"/>
          <w:szCs w:val="22"/>
        </w:rPr>
        <w:t xml:space="preserve">Penyakit penyerta (komorbid) yang memerlukan tata laksana khusus, seperti diabetes melitus gestasional, penyakit jantung, atau infeksi bermakna.</w:t>
      </w:r>
    </w:p>
    <w:p>
      <w:pPr>
        <w:pStyle w:val="ListParagraph"/>
        <w:numPr>
          <w:ilvl w:val="0"/>
          <w:numId w:val="2"/>
        </w:numPr>
        <w:spacing w:after="100" w:line="270"/>
      </w:pPr>
      <w:r>
        <w:rPr>
          <w:rFonts w:ascii="IBM Plex Sans" w:cs="IBM Plex Sans" w:eastAsia="IBM Plex Sans" w:hAnsi="IBM Plex Sans"/>
          <w:color w:val="334155"/>
          <w:sz w:val="22"/>
          <w:szCs w:val="22"/>
        </w:rPr>
        <w:t xml:space="preserve">Kelainan cairan ketuban (oligohidramnion/polihidramnion) atau kelainan plasenta.</w:t>
      </w:r>
    </w:p>
    <w:p>
      <w:pPr>
        <w:pStyle w:val="Heading1"/>
        <w:spacing w:after="140" w:before="320"/>
      </w:pPr>
      <w:r>
        <w:rPr>
          <w:rFonts w:ascii="Source Serif 4" w:cs="Source Serif 4" w:eastAsia="Source Serif 4" w:hAnsi="Source Serif 4"/>
          <w:b/>
          <w:bCs/>
          <w:color w:val="4F46E5"/>
        </w:rPr>
        <w:t xml:space="preserve">5. Diagnosis Kerja dan Diagnosis Banding</w:t>
      </w:r>
    </w:p>
    <w:p>
      <w:pPr>
        <w:spacing w:after="160" w:line="276"/>
      </w:pPr>
      <w:r>
        <w:rPr>
          <w:rFonts w:ascii="IBM Plex Sans" w:cs="IBM Plex Sans" w:eastAsia="IBM Plex Sans" w:hAnsi="IBM Plex Sans"/>
          <w:color w:val="334155"/>
          <w:sz w:val="22"/>
          <w:szCs w:val="22"/>
        </w:rPr>
        <w:t xml:space="preserve">Diagnosis kerja: Kehamilan tanpa penyulit sesuai usia gestasi (G_P_A_ hamil ... minggu, janin tunggal/hidup, presentasi sesuai usia kehamilan), ICD-10 Z34 / ICD-11 QA42.</w:t>
      </w:r>
    </w:p>
    <w:p>
      <w:pPr>
        <w:spacing w:after="160" w:line="276"/>
      </w:pPr>
      <w:r>
        <w:rPr>
          <w:rFonts w:ascii="IBM Plex Sans" w:cs="IBM Plex Sans" w:eastAsia="IBM Plex Sans" w:hAnsi="IBM Plex Sans"/>
          <w:color w:val="334155"/>
          <w:sz w:val="22"/>
          <w:szCs w:val="22"/>
        </w:rPr>
        <w:t xml:space="preserve">Diagnosis banding yang wajib disingkirkan pada setiap kunjungan meliputi kondisi dalam entri Tabel 7 Kepkonsil lain yang bersinggungan secara klinis, antara lain: masalah ringan pada kehamilan (bila keluhan fisiologis dominan), keguguran mengancam (bila ada perdarahan trimester awal), kehamilan ektopik (bila nyeri perut dan perdarahan trimester awal tanpa gestasi intrauterin terkonfirmasi), hipertensi dalam kehamilan/preeklamsia (bila ditemukan peningkatan tekanan darah), dan kondisi penyulit lain sesuai penemuan klinis yang relevan.</w:t>
      </w:r>
    </w:p>
    <w:p>
      <w:pPr>
        <w:pStyle w:val="Heading1"/>
        <w:spacing w:after="140" w:before="320"/>
      </w:pPr>
      <w:r>
        <w:rPr>
          <w:rFonts w:ascii="Source Serif 4" w:cs="Source Serif 4" w:eastAsia="Source Serif 4" w:hAnsi="Source Serif 4"/>
          <w:b/>
          <w:bCs/>
          <w:color w:val="4F46E5"/>
        </w:rPr>
        <w:t xml:space="preserve">6. Pemeriksaan Penunjang</w:t>
      </w:r>
    </w:p>
    <w:p>
      <w:pPr>
        <w:spacing w:after="160" w:line="276"/>
      </w:pPr>
      <w:r>
        <w:rPr>
          <w:rFonts w:ascii="IBM Plex Sans" w:cs="IBM Plex Sans" w:eastAsia="IBM Plex Sans" w:hAnsi="IBM Plex Sans"/>
          <w:color w:val="334155"/>
          <w:sz w:val="22"/>
          <w:szCs w:val="22"/>
        </w:rPr>
        <w:t xml:space="preserve">Pemeriksaan penunjang standar pada kehamilan tanpa penyulit disesuaikan trimester dan bersifat skrining risiko, bukan diagnostik penyulit:</w:t>
      </w:r>
    </w:p>
    <w:p>
      <w:pPr>
        <w:pStyle w:val="ListParagraph"/>
        <w:numPr>
          <w:ilvl w:val="0"/>
          <w:numId w:val="2"/>
        </w:numPr>
        <w:spacing w:after="100" w:line="270"/>
      </w:pPr>
      <w:r>
        <w:rPr>
          <w:rFonts w:ascii="IBM Plex Sans" w:cs="IBM Plex Sans" w:eastAsia="IBM Plex Sans" w:hAnsi="IBM Plex Sans"/>
          <w:color w:val="334155"/>
          <w:sz w:val="22"/>
          <w:szCs w:val="22"/>
        </w:rPr>
        <w:t xml:space="preserve">Laboratorium dasar trimester pertama: darah perifer lengkap, golongan darah dan rhesus, gula darah, HIV, sifilis, hepatitis B, urinalisis (termasuk skrining proteinuria).</w:t>
      </w:r>
    </w:p>
    <w:p>
      <w:pPr>
        <w:pStyle w:val="ListParagraph"/>
        <w:numPr>
          <w:ilvl w:val="0"/>
          <w:numId w:val="2"/>
        </w:numPr>
        <w:spacing w:after="100" w:line="270"/>
      </w:pPr>
      <w:r>
        <w:rPr>
          <w:rFonts w:ascii="IBM Plex Sans" w:cs="IBM Plex Sans" w:eastAsia="IBM Plex Sans" w:hAnsi="IBM Plex Sans"/>
          <w:color w:val="334155"/>
          <w:sz w:val="22"/>
          <w:szCs w:val="22"/>
        </w:rPr>
        <w:t xml:space="preserve">Ultrasonografi trimester pertama untuk konfirmasi gestasi intrauterin, usia kehamilan, dan jumlah janin.</w:t>
      </w:r>
    </w:p>
    <w:p>
      <w:pPr>
        <w:pStyle w:val="ListParagraph"/>
        <w:numPr>
          <w:ilvl w:val="0"/>
          <w:numId w:val="2"/>
        </w:numPr>
        <w:spacing w:after="100" w:line="270"/>
      </w:pPr>
      <w:r>
        <w:rPr>
          <w:rFonts w:ascii="IBM Plex Sans" w:cs="IBM Plex Sans" w:eastAsia="IBM Plex Sans" w:hAnsi="IBM Plex Sans"/>
          <w:color w:val="334155"/>
          <w:sz w:val="22"/>
          <w:szCs w:val="22"/>
        </w:rPr>
        <w:t xml:space="preserve">Ultrasonografi trimester kedua (sekitar 18-22 minggu) untuk evaluasi anatomi janin dan lokasi plasenta.</w:t>
      </w:r>
    </w:p>
    <w:p>
      <w:pPr>
        <w:pStyle w:val="ListParagraph"/>
        <w:numPr>
          <w:ilvl w:val="0"/>
          <w:numId w:val="2"/>
        </w:numPr>
        <w:spacing w:after="100" w:line="270"/>
      </w:pPr>
      <w:r>
        <w:rPr>
          <w:rFonts w:ascii="IBM Plex Sans" w:cs="IBM Plex Sans" w:eastAsia="IBM Plex Sans" w:hAnsi="IBM Plex Sans"/>
          <w:color w:val="334155"/>
          <w:sz w:val="22"/>
          <w:szCs w:val="22"/>
        </w:rPr>
        <w:t xml:space="preserve">Skrining gula darah pada trimester kedua sesuai faktor risiko atau secara universal sesuai kebijakan fasilitas.</w:t>
      </w:r>
    </w:p>
    <w:p>
      <w:pPr>
        <w:pStyle w:val="ListParagraph"/>
        <w:numPr>
          <w:ilvl w:val="0"/>
          <w:numId w:val="2"/>
        </w:numPr>
        <w:spacing w:after="100" w:line="270"/>
      </w:pPr>
      <w:r>
        <w:rPr>
          <w:rFonts w:ascii="IBM Plex Sans" w:cs="IBM Plex Sans" w:eastAsia="IBM Plex Sans" w:hAnsi="IBM Plex Sans"/>
          <w:color w:val="334155"/>
          <w:sz w:val="22"/>
          <w:szCs w:val="22"/>
        </w:rPr>
        <w:t xml:space="preserve">Ultrasonografi trimester ketiga atas indikasi klinis (evaluasi pertumbuhan janin, presentasi, atau cairan ketuban).</w:t>
      </w:r>
    </w:p>
    <w:p>
      <w:pPr>
        <w:pStyle w:val="ListParagraph"/>
        <w:numPr>
          <w:ilvl w:val="0"/>
          <w:numId w:val="2"/>
        </w:numPr>
        <w:spacing w:after="100" w:line="270"/>
      </w:pPr>
      <w:r>
        <w:rPr>
          <w:rFonts w:ascii="IBM Plex Sans" w:cs="IBM Plex Sans" w:eastAsia="IBM Plex Sans" w:hAnsi="IBM Plex Sans"/>
          <w:color w:val="334155"/>
          <w:sz w:val="22"/>
          <w:szCs w:val="22"/>
        </w:rPr>
        <w:t xml:space="preserve">Pemeriksaan tambahan (mis. skrining aneuploidi, TORCH, fungsi tiroid) dilakukan atas indikasi, bukan pemeriksaan rutin universal, sesuai kebijakan fasilitas dan ketersediaan sumber daya.</w:t>
      </w:r>
    </w:p>
    <w:p>
      <w:pPr>
        <w:pStyle w:val="Heading1"/>
        <w:spacing w:after="140" w:before="320"/>
      </w:pPr>
      <w:r>
        <w:rPr>
          <w:rFonts w:ascii="Source Serif 4" w:cs="Source Serif 4" w:eastAsia="Source Serif 4" w:hAnsi="Source Serif 4"/>
          <w:b/>
          <w:bCs/>
          <w:color w:val="4F46E5"/>
        </w:rPr>
        <w:t xml:space="preserve">7. Tata Laksana</w:t>
      </w:r>
    </w:p>
    <w:p>
      <w:pPr>
        <w:spacing w:after="160" w:line="276"/>
      </w:pPr>
      <w:r>
        <w:rPr>
          <w:rFonts w:ascii="IBM Plex Sans" w:cs="IBM Plex Sans" w:eastAsia="IBM Plex Sans" w:hAnsi="IBM Plex Sans"/>
          <w:color w:val="334155"/>
          <w:sz w:val="22"/>
          <w:szCs w:val="22"/>
        </w:rPr>
        <w:t xml:space="preserve">Tata laksana kehamilan tanpa penyulit berfokus pada asuhan antenatal terjadwal, promosi kesehatan, dan deteksi dini penyimpangan dari kehamilan normal.</w:t>
      </w:r>
    </w:p>
    <w:p>
      <w:pPr>
        <w:pStyle w:val="Heading2"/>
        <w:spacing w:after="140" w:before="220"/>
      </w:pPr>
      <w:r>
        <w:rPr>
          <w:rFonts w:ascii="Source Serif 4" w:cs="Source Serif 4" w:eastAsia="Source Serif 4" w:hAnsi="Source Serif 4"/>
          <w:b/>
          <w:bCs/>
          <w:color w:val="B45309"/>
        </w:rPr>
        <w:t xml:space="preserve">7.1 Tata Laksana Non-Farmakologis</w:t>
      </w:r>
    </w:p>
    <w:p>
      <w:pPr>
        <w:pStyle w:val="ListParagraph"/>
        <w:numPr>
          <w:ilvl w:val="0"/>
          <w:numId w:val="2"/>
        </w:numPr>
        <w:spacing w:after="100" w:line="270"/>
      </w:pPr>
      <w:r>
        <w:rPr>
          <w:rFonts w:ascii="IBM Plex Sans" w:cs="IBM Plex Sans" w:eastAsia="IBM Plex Sans" w:hAnsi="IBM Plex Sans"/>
          <w:color w:val="334155"/>
          <w:sz w:val="22"/>
          <w:szCs w:val="22"/>
        </w:rPr>
        <w:t xml:space="preserve">Kunjungan antenatal terjadwal minimal sesuai jadwal kontak yang berlaku (dijadwalkan lebih rapat mendekati usia aterm), dengan pemeriksaan tanda vital, TFU, DJJ, dan skrining keluhan pada setiap kunjungan.</w:t>
      </w:r>
    </w:p>
    <w:p>
      <w:pPr>
        <w:pStyle w:val="ListParagraph"/>
        <w:numPr>
          <w:ilvl w:val="0"/>
          <w:numId w:val="2"/>
        </w:numPr>
        <w:spacing w:after="100" w:line="270"/>
      </w:pPr>
      <w:r>
        <w:rPr>
          <w:rFonts w:ascii="IBM Plex Sans" w:cs="IBM Plex Sans" w:eastAsia="IBM Plex Sans" w:hAnsi="IBM Plex Sans"/>
          <w:color w:val="334155"/>
          <w:sz w:val="22"/>
          <w:szCs w:val="22"/>
        </w:rPr>
        <w:t xml:space="preserve">Edukasi gizi seimbang, aktivitas fisik ringan-sedang yang aman selama kehamilan, dan pola istirahat.</w:t>
      </w:r>
    </w:p>
    <w:p>
      <w:pPr>
        <w:pStyle w:val="ListParagraph"/>
        <w:numPr>
          <w:ilvl w:val="0"/>
          <w:numId w:val="2"/>
        </w:numPr>
        <w:spacing w:after="100" w:line="270"/>
      </w:pPr>
      <w:r>
        <w:rPr>
          <w:rFonts w:ascii="IBM Plex Sans" w:cs="IBM Plex Sans" w:eastAsia="IBM Plex Sans" w:hAnsi="IBM Plex Sans"/>
          <w:color w:val="334155"/>
          <w:sz w:val="22"/>
          <w:szCs w:val="22"/>
        </w:rPr>
        <w:t xml:space="preserve">Konseling perilaku berisiko (hindari tembakau, alkohol, dan zat tertentu tanpa indikasi medis).</w:t>
      </w:r>
    </w:p>
    <w:p>
      <w:pPr>
        <w:pStyle w:val="ListParagraph"/>
        <w:numPr>
          <w:ilvl w:val="0"/>
          <w:numId w:val="2"/>
        </w:numPr>
        <w:spacing w:after="100" w:line="270"/>
      </w:pPr>
      <w:r>
        <w:rPr>
          <w:rFonts w:ascii="IBM Plex Sans" w:cs="IBM Plex Sans" w:eastAsia="IBM Plex Sans" w:hAnsi="IBM Plex Sans"/>
          <w:color w:val="334155"/>
          <w:sz w:val="22"/>
          <w:szCs w:val="22"/>
        </w:rPr>
        <w:t xml:space="preserve">Pemantauan mandiri gerakan janin oleh ibu sejak trimester ketiga dengan edukasi tanda bahaya yang harus segera dilaporkan.</w:t>
      </w:r>
    </w:p>
    <w:p>
      <w:pPr>
        <w:pStyle w:val="ListParagraph"/>
        <w:numPr>
          <w:ilvl w:val="0"/>
          <w:numId w:val="2"/>
        </w:numPr>
        <w:spacing w:after="100" w:line="270"/>
      </w:pPr>
      <w:r>
        <w:rPr>
          <w:rFonts w:ascii="IBM Plex Sans" w:cs="IBM Plex Sans" w:eastAsia="IBM Plex Sans" w:hAnsi="IBM Plex Sans"/>
          <w:color w:val="334155"/>
          <w:sz w:val="22"/>
          <w:szCs w:val="22"/>
        </w:rPr>
        <w:t xml:space="preserve">Perencanaan persalinan (birth preparedness) termasuk penentuan tempat persalinan dan pengenalan tanda persalinan serta tanda bahaya kehamilan.</w:t>
      </w:r>
    </w:p>
    <w:p>
      <w:pPr>
        <w:pStyle w:val="Heading2"/>
        <w:spacing w:after="140" w:before="220"/>
      </w:pPr>
      <w:r>
        <w:rPr>
          <w:rFonts w:ascii="Source Serif 4" w:cs="Source Serif 4" w:eastAsia="Source Serif 4" w:hAnsi="Source Serif 4"/>
          <w:b/>
          <w:bCs/>
          <w:color w:val="B45309"/>
        </w:rPr>
        <w:t xml:space="preserve">7.2 Tata Laksana Farmakologis</w:t>
      </w:r>
    </w:p>
    <w:p>
      <w:pPr>
        <w:pStyle w:val="ListParagraph"/>
        <w:numPr>
          <w:ilvl w:val="0"/>
          <w:numId w:val="2"/>
        </w:numPr>
        <w:spacing w:after="100" w:line="270"/>
      </w:pPr>
      <w:r>
        <w:rPr>
          <w:rFonts w:ascii="IBM Plex Sans" w:cs="IBM Plex Sans" w:eastAsia="IBM Plex Sans" w:hAnsi="IBM Plex Sans"/>
          <w:color w:val="334155"/>
          <w:sz w:val="22"/>
          <w:szCs w:val="22"/>
        </w:rPr>
        <w:t xml:space="preserve">Suplementasi asam folat dan besi-folat sesuai rekomendasi nasional yang berlaku untuk pencegahan defek tabung saraf dan anemia defisiensi besi.</w:t>
      </w:r>
    </w:p>
    <w:p>
      <w:pPr>
        <w:pStyle w:val="ListParagraph"/>
        <w:numPr>
          <w:ilvl w:val="0"/>
          <w:numId w:val="2"/>
        </w:numPr>
        <w:spacing w:after="100" w:line="270"/>
      </w:pPr>
      <w:r>
        <w:rPr>
          <w:rFonts w:ascii="IBM Plex Sans" w:cs="IBM Plex Sans" w:eastAsia="IBM Plex Sans" w:hAnsi="IBM Plex Sans"/>
          <w:color w:val="334155"/>
          <w:sz w:val="22"/>
          <w:szCs w:val="22"/>
        </w:rPr>
        <w:t xml:space="preserve">Suplementasi kalsium pada populasi dengan asupan kalsium diet rendah, sesuai rekomendasi WHO 2016 dan kebijakan program gizi ibu hamil nasional yang berlaku di fasilitas setempat.</w:t>
      </w:r>
    </w:p>
    <w:p>
      <w:pPr>
        <w:pStyle w:val="ListParagraph"/>
        <w:numPr>
          <w:ilvl w:val="0"/>
          <w:numId w:val="2"/>
        </w:numPr>
        <w:spacing w:after="100" w:line="270"/>
      </w:pPr>
      <w:r>
        <w:rPr>
          <w:rFonts w:ascii="IBM Plex Sans" w:cs="IBM Plex Sans" w:eastAsia="IBM Plex Sans" w:hAnsi="IBM Plex Sans"/>
          <w:color w:val="334155"/>
          <w:sz w:val="22"/>
          <w:szCs w:val="22"/>
        </w:rPr>
        <w:t xml:space="preserve">Imunisasi tetanus toksoid sesuai status imunisasi ibu.</w:t>
      </w:r>
    </w:p>
    <w:p>
      <w:pPr>
        <w:pStyle w:val="ListParagraph"/>
        <w:numPr>
          <w:ilvl w:val="0"/>
          <w:numId w:val="2"/>
        </w:numPr>
        <w:spacing w:after="100" w:line="270"/>
      </w:pPr>
      <w:r>
        <w:rPr>
          <w:rFonts w:ascii="IBM Plex Sans" w:cs="IBM Plex Sans" w:eastAsia="IBM Plex Sans" w:hAnsi="IBM Plex Sans"/>
          <w:color w:val="334155"/>
          <w:sz w:val="22"/>
          <w:szCs w:val="22"/>
        </w:rPr>
        <w:t xml:space="preserve">Tidak ada indikasi terapi farmakologis spesifik penyulit selama kriteria kehamilan tanpa penyulit terpenuhi; pemberian obat lain hanya atas indikasi klinis yang jelas.</w:t>
      </w:r>
    </w:p>
    <w:p>
      <w:pPr>
        <w:pStyle w:val="Heading2"/>
        <w:spacing w:after="140" w:before="220"/>
      </w:pPr>
      <w:r>
        <w:rPr>
          <w:rFonts w:ascii="Source Serif 4" w:cs="Source Serif 4" w:eastAsia="Source Serif 4" w:hAnsi="Source Serif 4"/>
          <w:b/>
          <w:bCs/>
          <w:color w:val="B45309"/>
        </w:rPr>
        <w:t xml:space="preserve">7.3 Tata Laksana Bedah/Prosedural (bila relevan)</w:t>
      </w:r>
    </w:p>
    <w:p>
      <w:pPr>
        <w:spacing w:after="160" w:line="276"/>
      </w:pPr>
      <w:r>
        <w:rPr>
          <w:rFonts w:ascii="IBM Plex Sans" w:cs="IBM Plex Sans" w:eastAsia="IBM Plex Sans" w:hAnsi="IBM Plex Sans"/>
          <w:color w:val="334155"/>
          <w:sz w:val="22"/>
          <w:szCs w:val="22"/>
        </w:rPr>
        <w:t xml:space="preserve">Tidak terdapat indikasi tata laksana bedah atau prosedural invasif pada kehamilan tanpa penyulit. Prosedur seperti pengambilan sampel vili korialis atau amniosentesis hanya dilakukan atas indikasi spesifik (mis. skrining genetik berisiko tinggi) yang menempatkan kasus di luar kategori tanpa penyulit dan dirujuk sesuai PPK terkait.</w:t>
      </w:r>
    </w:p>
    <w:p>
      <w:pPr>
        <w:pStyle w:val="Heading2"/>
        <w:spacing w:after="140" w:before="220"/>
      </w:pPr>
      <w:r>
        <w:rPr>
          <w:rFonts w:ascii="Source Serif 4" w:cs="Source Serif 4" w:eastAsia="Source Serif 4" w:hAnsi="Source Serif 4"/>
          <w:b/>
          <w:bCs/>
          <w:color w:val="B45309"/>
        </w:rPr>
        <w:t xml:space="preserve">7.4 Kriteria Rujukan ke Subspesialis Fetomaternal</w:t>
      </w:r>
    </w:p>
    <w:p>
      <w:pPr>
        <w:spacing w:after="160" w:line="276"/>
      </w:pPr>
      <w:r>
        <w:rPr>
          <w:rFonts w:ascii="IBM Plex Sans" w:cs="IBM Plex Sans" w:eastAsia="IBM Plex Sans" w:hAnsi="IBM Plex Sans"/>
          <w:color w:val="334155"/>
          <w:sz w:val="22"/>
          <w:szCs w:val="22"/>
        </w:rPr>
        <w:t xml:space="preserve">Rujukan ke Divisi Fetomaternal dipertimbangkan apabila ditemukan salah satu kondisi berikut selama pemantauan kehamilan yang semula tanpa penyulit:</w:t>
      </w:r>
    </w:p>
    <w:p>
      <w:pPr>
        <w:pStyle w:val="ListParagraph"/>
        <w:numPr>
          <w:ilvl w:val="0"/>
          <w:numId w:val="2"/>
        </w:numPr>
        <w:spacing w:after="100" w:line="270"/>
      </w:pPr>
      <w:r>
        <w:rPr>
          <w:rFonts w:ascii="IBM Plex Sans" w:cs="IBM Plex Sans" w:eastAsia="IBM Plex Sans" w:hAnsi="IBM Plex Sans"/>
          <w:color w:val="334155"/>
          <w:sz w:val="22"/>
          <w:szCs w:val="22"/>
        </w:rPr>
        <w:t xml:space="preserve">Ditemukan tanda hipertensi dalam kehamilan, preeklamsia, atau kelainan pertumbuhan janin pada evaluasi lanjutan.</w:t>
      </w:r>
    </w:p>
    <w:p>
      <w:pPr>
        <w:pStyle w:val="ListParagraph"/>
        <w:numPr>
          <w:ilvl w:val="0"/>
          <w:numId w:val="2"/>
        </w:numPr>
        <w:spacing w:after="100" w:line="270"/>
      </w:pPr>
      <w:r>
        <w:rPr>
          <w:rFonts w:ascii="IBM Plex Sans" w:cs="IBM Plex Sans" w:eastAsia="IBM Plex Sans" w:hAnsi="IBM Plex Sans"/>
          <w:color w:val="334155"/>
          <w:sz w:val="22"/>
          <w:szCs w:val="22"/>
        </w:rPr>
        <w:t xml:space="preserve">Kelainan anatomi janin atau kecurigaan kelainan genetik pada ultrasonografi.</w:t>
      </w:r>
    </w:p>
    <w:p>
      <w:pPr>
        <w:pStyle w:val="ListParagraph"/>
        <w:numPr>
          <w:ilvl w:val="0"/>
          <w:numId w:val="2"/>
        </w:numPr>
        <w:spacing w:after="100" w:line="270"/>
      </w:pPr>
      <w:r>
        <w:rPr>
          <w:rFonts w:ascii="IBM Plex Sans" w:cs="IBM Plex Sans" w:eastAsia="IBM Plex Sans" w:hAnsi="IBM Plex Sans"/>
          <w:color w:val="334155"/>
          <w:sz w:val="22"/>
          <w:szCs w:val="22"/>
        </w:rPr>
        <w:t xml:space="preserve">Penyakit penyerta maternal baru terdiagnosis yang memerlukan tata laksana kehamilan risiko tinggi.</w:t>
      </w:r>
    </w:p>
    <w:p>
      <w:pPr>
        <w:pStyle w:val="ListParagraph"/>
        <w:numPr>
          <w:ilvl w:val="0"/>
          <w:numId w:val="2"/>
        </w:numPr>
        <w:spacing w:after="100" w:line="270"/>
      </w:pPr>
      <w:r>
        <w:rPr>
          <w:rFonts w:ascii="IBM Plex Sans" w:cs="IBM Plex Sans" w:eastAsia="IBM Plex Sans" w:hAnsi="IBM Plex Sans"/>
          <w:color w:val="334155"/>
          <w:sz w:val="22"/>
          <w:szCs w:val="22"/>
        </w:rPr>
        <w:t xml:space="preserve">Kehamilan kembar atau kelainan letak plasenta yang memerlukan pemantauan intensif.</w:t>
      </w:r>
    </w:p>
    <w:p>
      <w:pPr>
        <w:pStyle w:val="Heading1"/>
        <w:spacing w:after="140" w:before="320"/>
      </w:pPr>
      <w:r>
        <w:rPr>
          <w:rFonts w:ascii="Source Serif 4" w:cs="Source Serif 4" w:eastAsia="Source Serif 4" w:hAnsi="Source Serif 4"/>
          <w:b/>
          <w:bCs/>
          <w:color w:val="4F46E5"/>
        </w:rPr>
        <w:t xml:space="preserve">8. Edukasi Pasien dan Keluarga</w:t>
      </w:r>
    </w:p>
    <w:p>
      <w:pPr>
        <w:pStyle w:val="ListParagraph"/>
        <w:numPr>
          <w:ilvl w:val="0"/>
          <w:numId w:val="2"/>
        </w:numPr>
        <w:spacing w:after="100" w:line="270"/>
      </w:pPr>
      <w:r>
        <w:rPr>
          <w:rFonts w:ascii="IBM Plex Sans" w:cs="IBM Plex Sans" w:eastAsia="IBM Plex Sans" w:hAnsi="IBM Plex Sans"/>
          <w:color w:val="334155"/>
          <w:sz w:val="22"/>
          <w:szCs w:val="22"/>
        </w:rPr>
        <w:t xml:space="preserve">Penjelasan mengenai jadwal kunjungan antenatal dan tujuan setiap pemeriksaan yang dijalani.</w:t>
      </w:r>
    </w:p>
    <w:p>
      <w:pPr>
        <w:pStyle w:val="ListParagraph"/>
        <w:numPr>
          <w:ilvl w:val="0"/>
          <w:numId w:val="2"/>
        </w:numPr>
        <w:spacing w:after="100" w:line="270"/>
      </w:pPr>
      <w:r>
        <w:rPr>
          <w:rFonts w:ascii="IBM Plex Sans" w:cs="IBM Plex Sans" w:eastAsia="IBM Plex Sans" w:hAnsi="IBM Plex Sans"/>
          <w:color w:val="334155"/>
          <w:sz w:val="22"/>
          <w:szCs w:val="22"/>
        </w:rPr>
        <w:t xml:space="preserve">Pengenalan tanda bahaya kehamilan yang memerlukan evaluasi segera: perdarahan pervaginam, nyeri kepala hebat, gangguan penglihatan, nyeri ulu hati, penurunan gerakan janin, atau kontraksi sebelum waktunya.</w:t>
      </w:r>
    </w:p>
    <w:p>
      <w:pPr>
        <w:pStyle w:val="ListParagraph"/>
        <w:numPr>
          <w:ilvl w:val="0"/>
          <w:numId w:val="2"/>
        </w:numPr>
        <w:spacing w:after="100" w:line="270"/>
      </w:pPr>
      <w:r>
        <w:rPr>
          <w:rFonts w:ascii="IBM Plex Sans" w:cs="IBM Plex Sans" w:eastAsia="IBM Plex Sans" w:hAnsi="IBM Plex Sans"/>
          <w:color w:val="334155"/>
          <w:sz w:val="22"/>
          <w:szCs w:val="22"/>
        </w:rPr>
        <w:t xml:space="preserve">Edukasi gizi, aktivitas fisik, dan perilaku sehat selama kehamilan, termasuk pentingnya kepatuhan suplementasi.</w:t>
      </w:r>
    </w:p>
    <w:p>
      <w:pPr>
        <w:pStyle w:val="ListParagraph"/>
        <w:numPr>
          <w:ilvl w:val="0"/>
          <w:numId w:val="2"/>
        </w:numPr>
        <w:spacing w:after="100" w:line="270"/>
      </w:pPr>
      <w:r>
        <w:rPr>
          <w:rFonts w:ascii="IBM Plex Sans" w:cs="IBM Plex Sans" w:eastAsia="IBM Plex Sans" w:hAnsi="IBM Plex Sans"/>
          <w:color w:val="334155"/>
          <w:sz w:val="22"/>
          <w:szCs w:val="22"/>
        </w:rPr>
        <w:t xml:space="preserve">Pelibatan keluarga/pendamping dalam perencanaan persalinan dan pengenalan tanda bahaya, guna mempercepat pengambilan keputusan rujukan bila diperlukan.</w:t>
      </w:r>
    </w:p>
    <w:p>
      <w:pPr>
        <w:pStyle w:val="ListParagraph"/>
        <w:numPr>
          <w:ilvl w:val="0"/>
          <w:numId w:val="2"/>
        </w:numPr>
        <w:spacing w:after="100" w:line="270"/>
      </w:pPr>
      <w:r>
        <w:rPr>
          <w:rFonts w:ascii="IBM Plex Sans" w:cs="IBM Plex Sans" w:eastAsia="IBM Plex Sans" w:hAnsi="IBM Plex Sans"/>
          <w:color w:val="334155"/>
          <w:sz w:val="22"/>
          <w:szCs w:val="22"/>
        </w:rPr>
        <w:t xml:space="preserve">Informasi mengenai hak Pasien atas layanan antenatal bermartabat dan tanpa diskriminasi.</w:t>
      </w:r>
    </w:p>
    <w:p>
      <w:pPr>
        <w:pStyle w:val="Heading1"/>
        <w:spacing w:after="140" w:before="320"/>
      </w:pPr>
      <w:r>
        <w:rPr>
          <w:rFonts w:ascii="Source Serif 4" w:cs="Source Serif 4" w:eastAsia="Source Serif 4" w:hAnsi="Source Serif 4"/>
          <w:b/>
          <w:bCs/>
          <w:color w:val="4F46E5"/>
        </w:rPr>
        <w:t xml:space="preserve">9. Prognosis</w:t>
      </w:r>
    </w:p>
    <w:p>
      <w:pPr>
        <w:spacing w:after="160" w:line="276"/>
      </w:pPr>
      <w:r>
        <w:rPr>
          <w:rFonts w:ascii="IBM Plex Sans" w:cs="IBM Plex Sans" w:eastAsia="IBM Plex Sans" w:hAnsi="IBM Plex Sans"/>
          <w:color w:val="334155"/>
          <w:sz w:val="22"/>
          <w:szCs w:val="22"/>
        </w:rPr>
        <w:t xml:space="preserve">Prognosis kehamilan tanpa penyulit pada umumnya baik (bonam) bagi ibu maupun janin apabila asuhan antenatal terjadwal dijalankan secara konsisten dan deteksi dini penyulit dilakukan tepat waktu. Prognosis dapat berubah sewaktu-waktu apabila timbul penyulit baru selama masa kehamilan, sehingga pemantauan berkelanjutan hingga persalinan tetap diperlukan.</w:t>
      </w:r>
    </w:p>
    <w:p>
      <w:pPr>
        <w:pStyle w:val="Heading1"/>
        <w:spacing w:after="140" w:before="320"/>
      </w:pPr>
      <w:r>
        <w:rPr>
          <w:rFonts w:ascii="Source Serif 4" w:cs="Source Serif 4" w:eastAsia="Source Serif 4" w:hAnsi="Source Serif 4"/>
          <w:b/>
          <w:bCs/>
          <w:color w:val="4F46E5"/>
        </w:rPr>
        <w:t xml:space="preserve">10. Tingkat Evidens dan Rekomendasi</w:t>
      </w:r>
    </w:p>
    <w:p>
      <w:pPr>
        <w:spacing w:after="160" w:line="276"/>
      </w:pPr>
      <w:r>
        <w:rPr>
          <w:rFonts w:ascii="IBM Plex Sans" w:cs="IBM Plex Sans" w:eastAsia="IBM Plex Sans" w:hAnsi="IBM Plex Sans"/>
          <w:color w:val="334155"/>
          <w:sz w:val="22"/>
          <w:szCs w:val="22"/>
        </w:rPr>
        <w:t xml:space="preserve">Rekomendasi tata laksana pada PPK ini mengacu pada skala evidens standar (Grading of Recommendations Assessment, Development and Evaluation/GRADE atau skala evidens klinis setara yang diadopsi institusi) sebagai berikut: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rPr>
          <w:tblHeader/>
        </w:trPr>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Komponen Tata Laksana</w:t>
            </w:r>
          </w:p>
        </w:tc>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Tingkat Evidens</w:t>
            </w:r>
          </w:p>
        </w:tc>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Kekuatan Rekomendasi</w:t>
            </w:r>
          </w:p>
        </w:tc>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Sumber</w:t>
            </w:r>
          </w:p>
        </w:tc>
      </w:tr>
      <w:tr>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Kontak antenatal minimal enam kali sepanjang kehamilan</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Tinggi</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Kuat</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Permenkes No. 21/2021; WHO 2016</w:t>
            </w:r>
          </w:p>
        </w:tc>
      </w:tr>
      <w:tr>
        <w:tc>
          <w:tcPr>
            <w:tcW w:type="dxa" w:w="225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Suplementasi asam folat dan besi-folat harian</w:t>
            </w:r>
          </w:p>
        </w:tc>
        <w:tc>
          <w:tcPr>
            <w:tcW w:type="dxa" w:w="225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Tinggi</w:t>
            </w:r>
          </w:p>
        </w:tc>
        <w:tc>
          <w:tcPr>
            <w:tcW w:type="dxa" w:w="225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Kuat</w:t>
            </w:r>
          </w:p>
        </w:tc>
        <w:tc>
          <w:tcPr>
            <w:tcW w:type="dxa" w:w="225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WHO 2016; Kepkonsil Tabel 7 No. 1</w:t>
            </w:r>
          </w:p>
        </w:tc>
      </w:tr>
      <w:tr>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Suplementasi kalsium pada asupan diet rendah</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Sedang</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Kondisional</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WHO 2016</w:t>
            </w:r>
          </w:p>
        </w:tc>
      </w:tr>
      <w:tr>
        <w:tc>
          <w:tcPr>
            <w:tcW w:type="dxa" w:w="225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Ultrasonografi trimester 1 dan trimester 2 rutin</w:t>
            </w:r>
          </w:p>
        </w:tc>
        <w:tc>
          <w:tcPr>
            <w:tcW w:type="dxa" w:w="225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Sedang–Tinggi</w:t>
            </w:r>
          </w:p>
        </w:tc>
        <w:tc>
          <w:tcPr>
            <w:tcW w:type="dxa" w:w="225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Kuat</w:t>
            </w:r>
          </w:p>
        </w:tc>
        <w:tc>
          <w:tcPr>
            <w:tcW w:type="dxa" w:w="225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ISUOG 2022; NICE NG201</w:t>
            </w:r>
          </w:p>
        </w:tc>
      </w:tr>
      <w:tr>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Skrining tekanan darah dan proteinuria tiap kunjungan</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Tinggi</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Kuat</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WHO 2016; ACOG 2025</w:t>
            </w:r>
          </w:p>
        </w:tc>
      </w:tr>
      <w:tr>
        <w:tc>
          <w:tcPr>
            <w:tcW w:type="dxa" w:w="225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Jumlah kunjungan dapat disesuaikan (individualized) bila risiko rendah dan akses terpantau</w:t>
            </w:r>
          </w:p>
        </w:tc>
        <w:tc>
          <w:tcPr>
            <w:tcW w:type="dxa" w:w="225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Sedang</w:t>
            </w:r>
          </w:p>
        </w:tc>
        <w:tc>
          <w:tcPr>
            <w:tcW w:type="dxa" w:w="225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Kondisional</w:t>
            </w:r>
          </w:p>
        </w:tc>
        <w:tc>
          <w:tcPr>
            <w:tcW w:type="dxa" w:w="225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Cochrane 2015; ACOG 2025</w:t>
            </w:r>
          </w:p>
        </w:tc>
      </w:tr>
    </w:tbl>
    <w:p>
      <w:pPr>
        <w:pStyle w:val="Heading1"/>
        <w:spacing w:after="140" w:before="320"/>
      </w:pPr>
      <w:r>
        <w:rPr>
          <w:rFonts w:ascii="Source Serif 4" w:cs="Source Serif 4" w:eastAsia="Source Serif 4" w:hAnsi="Source Serif 4"/>
          <w:b/>
          <w:bCs/>
          <w:color w:val="4F46E5"/>
        </w:rPr>
        <w:t xml:space="preserve">11. Indikator Medis</w:t>
      </w:r>
    </w:p>
    <w:p>
      <w:pPr>
        <w:pStyle w:val="ListParagraph"/>
        <w:numPr>
          <w:ilvl w:val="0"/>
          <w:numId w:val="2"/>
        </w:numPr>
        <w:spacing w:after="100" w:line="270"/>
      </w:pPr>
      <w:r>
        <w:rPr>
          <w:rFonts w:ascii="IBM Plex Sans" w:cs="IBM Plex Sans" w:eastAsia="IBM Plex Sans" w:hAnsi="IBM Plex Sans"/>
          <w:color w:val="334155"/>
          <w:sz w:val="22"/>
          <w:szCs w:val="22"/>
        </w:rPr>
        <w:t xml:space="preserve">Cakupan kunjungan antenatal lengkap sesuai jadwal kontak yang berlaku, terdokumentasi dalam rekam medis.</w:t>
      </w:r>
    </w:p>
    <w:p>
      <w:pPr>
        <w:pStyle w:val="ListParagraph"/>
        <w:numPr>
          <w:ilvl w:val="0"/>
          <w:numId w:val="2"/>
        </w:numPr>
        <w:spacing w:after="100" w:line="270"/>
      </w:pPr>
      <w:r>
        <w:rPr>
          <w:rFonts w:ascii="IBM Plex Sans" w:cs="IBM Plex Sans" w:eastAsia="IBM Plex Sans" w:hAnsi="IBM Plex Sans"/>
          <w:color w:val="334155"/>
          <w:sz w:val="22"/>
          <w:szCs w:val="22"/>
        </w:rPr>
        <w:t xml:space="preserve">Proporsi ibu hamil dengan tekanan darah terukur dan terdokumentasi pada setiap kunjungan.</w:t>
      </w:r>
    </w:p>
    <w:p>
      <w:pPr>
        <w:pStyle w:val="ListParagraph"/>
        <w:numPr>
          <w:ilvl w:val="0"/>
          <w:numId w:val="2"/>
        </w:numPr>
        <w:spacing w:after="100" w:line="270"/>
      </w:pPr>
      <w:r>
        <w:rPr>
          <w:rFonts w:ascii="IBM Plex Sans" w:cs="IBM Plex Sans" w:eastAsia="IBM Plex Sans" w:hAnsi="IBM Plex Sans"/>
          <w:color w:val="334155"/>
          <w:sz w:val="22"/>
          <w:szCs w:val="22"/>
        </w:rPr>
        <w:t xml:space="preserve">Proporsi ibu hamil yang menerima suplementasi asam folat/besi-folat sesuai rekomendasi.</w:t>
      </w:r>
    </w:p>
    <w:p>
      <w:pPr>
        <w:pStyle w:val="ListParagraph"/>
        <w:numPr>
          <w:ilvl w:val="0"/>
          <w:numId w:val="2"/>
        </w:numPr>
        <w:spacing w:after="100" w:line="270"/>
      </w:pPr>
      <w:r>
        <w:rPr>
          <w:rFonts w:ascii="IBM Plex Sans" w:cs="IBM Plex Sans" w:eastAsia="IBM Plex Sans" w:hAnsi="IBM Plex Sans"/>
          <w:color w:val="334155"/>
          <w:sz w:val="22"/>
          <w:szCs w:val="22"/>
        </w:rPr>
        <w:t xml:space="preserve">Proporsi kasus yang terdeteksi penyulit dan dirujuk tepat waktu ke PPK/subspesialis terkait.</w:t>
      </w:r>
    </w:p>
    <w:p>
      <w:pPr>
        <w:pStyle w:val="ListParagraph"/>
        <w:numPr>
          <w:ilvl w:val="0"/>
          <w:numId w:val="2"/>
        </w:numPr>
        <w:spacing w:after="100" w:line="270"/>
      </w:pPr>
      <w:r>
        <w:rPr>
          <w:rFonts w:ascii="IBM Plex Sans" w:cs="IBM Plex Sans" w:eastAsia="IBM Plex Sans" w:hAnsi="IBM Plex Sans"/>
          <w:color w:val="334155"/>
          <w:sz w:val="22"/>
          <w:szCs w:val="22"/>
        </w:rPr>
        <w:t xml:space="preserve">Luaran maternal dan perinatal pada akhir kehamilan (persalinan aterm tanpa komplikasi) sebagai indikator hasil akhir [DATA: rujuk laporan/registri resmi terbaru].</w:t>
      </w:r>
    </w:p>
    <w:p>
      <w:pPr>
        <w:pStyle w:val="Heading1"/>
        <w:spacing w:after="140" w:before="320"/>
      </w:pPr>
      <w:r>
        <w:rPr>
          <w:rFonts w:ascii="Source Serif 4" w:cs="Source Serif 4" w:eastAsia="Source Serif 4" w:hAnsi="Source Serif 4"/>
          <w:b/>
          <w:bCs/>
          <w:color w:val="4F46E5"/>
        </w:rPr>
        <w:t xml:space="preserve">12. Perbandingan dan Pengayaan Standar Internasional</w:t>
      </w:r>
    </w:p>
    <w:p>
      <w:pPr>
        <w:spacing w:after="160" w:line="276"/>
      </w:pPr>
      <w:r>
        <w:rPr>
          <w:rFonts w:ascii="IBM Plex Sans" w:cs="IBM Plex Sans" w:eastAsia="IBM Plex Sans" w:hAnsi="IBM Plex Sans"/>
          <w:color w:val="334155"/>
          <w:sz w:val="22"/>
          <w:szCs w:val="22"/>
        </w:rPr>
        <w:t xml:space="preserve">Perbandingan dilakukan terhadap standar internasional yang relevan sebagai lapisan pengayaan non-superior, sesuai Aturan 2, 00-PERINTAH-UMUM.txt:</w:t>
      </w:r>
    </w:p>
    <w:p>
      <w:pPr>
        <w:pStyle w:val="ListParagraph"/>
        <w:numPr>
          <w:ilvl w:val="0"/>
          <w:numId w:val="2"/>
        </w:numPr>
        <w:spacing w:after="100" w:line="270"/>
      </w:pPr>
      <w:r>
        <w:rPr>
          <w:rFonts w:ascii="IBM Plex Sans" w:cs="IBM Plex Sans" w:eastAsia="IBM Plex Sans" w:hAnsi="IBM Plex Sans"/>
          <w:color w:val="334155"/>
          <w:sz w:val="22"/>
          <w:szCs w:val="22"/>
        </w:rPr>
        <w:t xml:space="preserve">WHO Recommendations on Antenatal Care for a Positive Pregnancy Experience (2016): merekomendasikan model kontak antenatal minimal delapan kali sepanjang kehamilan untuk menurunkan mortalitas perinatal dan meningkatkan pengalaman kehamilan yang positif, mencakup skrining tekanan darah, proteinuria, dan gula darah pada tiap kontak.</w:t>
      </w:r>
    </w:p>
    <w:p>
      <w:pPr>
        <w:pStyle w:val="ListParagraph"/>
        <w:numPr>
          <w:ilvl w:val="0"/>
          <w:numId w:val="2"/>
        </w:numPr>
        <w:spacing w:after="100" w:line="270"/>
      </w:pPr>
      <w:r>
        <w:rPr>
          <w:rFonts w:ascii="IBM Plex Sans" w:cs="IBM Plex Sans" w:eastAsia="IBM Plex Sans" w:hAnsi="IBM Plex Sans"/>
          <w:color w:val="334155"/>
          <w:sz w:val="22"/>
          <w:szCs w:val="22"/>
        </w:rPr>
        <w:t xml:space="preserve">ACOG Clinical Consensus, "Tailored Prenatal Care Delivery for Pregnant Individuals" (2025): merekomendasikan penilaian risiko berjenjang sejak kunjungan pertama serta penyesuaian jumlah dan format kunjungan (termasuk kombinasi kunjungan tatap muka dan telemedicine) berdasarkan tingkat risiko individu, bukan jadwal seragam untuk seluruh populasi.</w:t>
      </w:r>
    </w:p>
    <w:p>
      <w:pPr>
        <w:pStyle w:val="ListParagraph"/>
        <w:numPr>
          <w:ilvl w:val="0"/>
          <w:numId w:val="2"/>
        </w:numPr>
        <w:spacing w:after="100" w:line="270"/>
      </w:pPr>
      <w:r>
        <w:rPr>
          <w:rFonts w:ascii="IBM Plex Sans" w:cs="IBM Plex Sans" w:eastAsia="IBM Plex Sans" w:hAnsi="IBM Plex Sans"/>
          <w:color w:val="334155"/>
          <w:sz w:val="22"/>
          <w:szCs w:val="22"/>
        </w:rPr>
        <w:t xml:space="preserve">NICE Guideline NG201 "Antenatal Care" (2021, ditinjau ulang 2024), dikembangkan oleh National Guideline Alliance yang berafiliasi dengan RCOG, dan ISUOG Practice Guidelines (Salomon et al., 2022): menetapkan standar teknis ultrasonografi trimester kedua (18–22 minggu) untuk evaluasi anatomi janin sebagai komponen wajib asuhan antenatal risiko rendah.</w:t>
      </w:r>
    </w:p>
    <w:p>
      <w:pPr>
        <w:pStyle w:val="ListParagraph"/>
        <w:numPr>
          <w:ilvl w:val="0"/>
          <w:numId w:val="2"/>
        </w:numPr>
        <w:spacing w:after="100" w:line="270"/>
      </w:pPr>
      <w:r>
        <w:rPr>
          <w:rFonts w:ascii="IBM Plex Sans" w:cs="IBM Plex Sans" w:eastAsia="IBM Plex Sans" w:hAnsi="IBM Plex Sans"/>
          <w:color w:val="334155"/>
          <w:sz w:val="22"/>
          <w:szCs w:val="22"/>
        </w:rPr>
        <w:t xml:space="preserve">Cochrane Systematic Review, "Alternative versus standard packages of antenatal care for low-risk pregnancy" (Dowswell et al., 2015): tidak menemukan perbedaan bermakna pada luaran maternal utama antara jadwal kunjungan yang dipadatkan dan jadwal standar pada populasi risiko rendah di negara berpenghasilan tinggi, namun mencatat kemungkinan peningkatan mortalitas perinatal pada pengurangan kunjungan di negara berpenghasilan rendah-menengah sehingga rekomendasi ini perlu diterapkan dengan pemantauan ketat.</w:t>
      </w:r>
    </w:p>
    <w:p>
      <w:pPr>
        <w:spacing w:after="160" w:line="276"/>
      </w:pPr>
      <w:r>
        <w:rPr>
          <w:rFonts w:ascii="IBM Plex Sans" w:cs="IBM Plex Sans" w:eastAsia="IBM Plex Sans" w:hAnsi="IBM Plex Sans"/>
          <w:color w:val="334155"/>
          <w:sz w:val="22"/>
          <w:szCs w:val="22"/>
        </w:rPr>
        <w:t xml:space="preserve">Standar nasional menetapkan kontak antenatal minimal enam kali sepanjang kehamilan (dua kali trimester pertama, satu kali trimester kedua, tiga kali trimester ketiga, minimal dua di antaranya diperiksa oleh dokter) sesuai Peraturan Menteri Kesehatan Nomor 21 Tahun 2021 tentang Pelayanan Kesehatan Masa Sebelum Hamil, Masa Hamil, Persalinan, dan Masa Sesudah Melahirkan; Kepkonsil Tabel 7 No. 1 menetapkan kerangka kompetensi umum tanpa merinci jumlah kontak. Standar internasional WHO merekomendasikan minimal delapan kontak antenatal untuk konteks global. Praktik di Indonesia mengikuti standar nasional (Permenkes No. 21/2021) dengan standar internasional di atas sebagai pengayaan referensi teknis, bukan pengganti.</w:t>
      </w:r>
    </w:p>
    <w:p>
      <w:pPr>
        <w:pStyle w:val="Heading1"/>
        <w:spacing w:after="140" w:before="320"/>
      </w:pPr>
      <w:r>
        <w:rPr>
          <w:rFonts w:ascii="Source Serif 4" w:cs="Source Serif 4" w:eastAsia="Source Serif 4" w:hAnsi="Source Serif 4"/>
          <w:b/>
          <w:bCs/>
          <w:color w:val="4F46E5"/>
        </w:rPr>
        <w:t xml:space="preserve">13. Kepustakaan</w:t>
      </w:r>
    </w:p>
    <w:p>
      <w:pPr>
        <w:pStyle w:val="ListParagraph"/>
        <w:numPr>
          <w:ilvl w:val="0"/>
          <w:numId w:val="3"/>
        </w:numPr>
        <w:spacing w:after="100" w:line="270"/>
      </w:pPr>
      <w:r>
        <w:rPr>
          <w:rFonts w:ascii="IBM Plex Sans" w:cs="IBM Plex Sans" w:eastAsia="IBM Plex Sans" w:hAnsi="IBM Plex Sans"/>
          <w:color w:val="334155"/>
          <w:sz w:val="22"/>
          <w:szCs w:val="22"/>
        </w:rPr>
        <w:t xml:space="preserve">Konsil Kesehatan Indonesia. Keputusan Ketua Konsil Kesehatan Indonesia Nomor HK.01.02/KKI/1318/2026 tentang Standar Kompetensi Dokter Spesialis dan Subspesialis Bidang Obstetri dan Ginekologi, Lampiran Tabel 7 No. 1. Jakarta: Konsil Kesehatan Indonesia, 2026.</w:t>
      </w:r>
    </w:p>
    <w:p>
      <w:pPr>
        <w:pStyle w:val="ListParagraph"/>
        <w:numPr>
          <w:ilvl w:val="0"/>
          <w:numId w:val="3"/>
        </w:numPr>
        <w:spacing w:after="100" w:line="270"/>
      </w:pPr>
      <w:r>
        <w:rPr>
          <w:rFonts w:ascii="IBM Plex Sans" w:cs="IBM Plex Sans" w:eastAsia="IBM Plex Sans" w:hAnsi="IBM Plex Sans"/>
          <w:color w:val="334155"/>
          <w:sz w:val="22"/>
          <w:szCs w:val="22"/>
        </w:rPr>
        <w:t xml:space="preserve">Kementerian Kesehatan Republik Indonesia. Peraturan Menteri Kesehatan Nomor 21 Tahun 2021 tentang Pelayanan Kesehatan Masa Sebelum Hamil, Masa Hamil, Persalinan, dan Masa Sesudah Melahirkan, Pelayanan Kontrasepsi, dan Pelayanan Kesehatan Seksual. Jakarta: Kementerian Kesehatan RI, 2021.</w:t>
      </w:r>
    </w:p>
    <w:p>
      <w:pPr>
        <w:pStyle w:val="ListParagraph"/>
        <w:numPr>
          <w:ilvl w:val="0"/>
          <w:numId w:val="3"/>
        </w:numPr>
        <w:spacing w:after="100" w:line="270"/>
      </w:pPr>
      <w:r>
        <w:rPr>
          <w:rFonts w:ascii="IBM Plex Sans" w:cs="IBM Plex Sans" w:eastAsia="IBM Plex Sans" w:hAnsi="IBM Plex Sans"/>
          <w:color w:val="334155"/>
          <w:sz w:val="22"/>
          <w:szCs w:val="22"/>
        </w:rPr>
        <w:t xml:space="preserve">World Health Organization. WHO Recommendations on Antenatal Care for a Positive Pregnancy Experience. Geneva: WHO, 2016. Tersedia pada: https://www.who.int/publications/i/item/9789241549912</w:t>
      </w:r>
    </w:p>
    <w:p>
      <w:pPr>
        <w:pStyle w:val="ListParagraph"/>
        <w:numPr>
          <w:ilvl w:val="0"/>
          <w:numId w:val="3"/>
        </w:numPr>
        <w:spacing w:after="100" w:line="270"/>
      </w:pPr>
      <w:r>
        <w:rPr>
          <w:rFonts w:ascii="IBM Plex Sans" w:cs="IBM Plex Sans" w:eastAsia="IBM Plex Sans" w:hAnsi="IBM Plex Sans"/>
          <w:color w:val="334155"/>
          <w:sz w:val="22"/>
          <w:szCs w:val="22"/>
        </w:rPr>
        <w:t xml:space="preserve">American College of Obstetricians and Gynecologists (ACOG). Tailored Prenatal Care Delivery for Pregnant Individuals. Clinical Consensus, April 2025. Tersedia pada: https://www.acog.org/clinical/clinical-guidance/clinical-consensus/articles/2025/04/tailored-prenatal-care-delivery-for-pregnant-individuals</w:t>
      </w:r>
    </w:p>
    <w:p>
      <w:pPr>
        <w:pStyle w:val="ListParagraph"/>
        <w:numPr>
          <w:ilvl w:val="0"/>
          <w:numId w:val="3"/>
        </w:numPr>
        <w:spacing w:after="100" w:line="270"/>
      </w:pPr>
      <w:r>
        <w:rPr>
          <w:rFonts w:ascii="IBM Plex Sans" w:cs="IBM Plex Sans" w:eastAsia="IBM Plex Sans" w:hAnsi="IBM Plex Sans"/>
          <w:color w:val="334155"/>
          <w:sz w:val="22"/>
          <w:szCs w:val="22"/>
        </w:rPr>
        <w:t xml:space="preserve">National Institute for Health and Care Excellence (NICE), dikembangkan oleh National Guideline Alliance (berafiliasi RCOG). Antenatal Care, NICE Guideline NG201. London: NICE, 2021 (ditinjau ulang 2024). Tersedia pada: https://www.nice.org.uk/guidance/ng201</w:t>
      </w:r>
    </w:p>
    <w:p>
      <w:pPr>
        <w:pStyle w:val="ListParagraph"/>
        <w:numPr>
          <w:ilvl w:val="0"/>
          <w:numId w:val="3"/>
        </w:numPr>
        <w:spacing w:after="100" w:line="270"/>
      </w:pPr>
      <w:r>
        <w:rPr>
          <w:rFonts w:ascii="IBM Plex Sans" w:cs="IBM Plex Sans" w:eastAsia="IBM Plex Sans" w:hAnsi="IBM Plex Sans"/>
          <w:color w:val="334155"/>
          <w:sz w:val="22"/>
          <w:szCs w:val="22"/>
        </w:rPr>
        <w:t xml:space="preserve">Salomon LJ, Alfirevic Z, Berghella V, et al., untuk ISUOG Clinical Standards Committee. ISUOG Practice Guidelines (updated): performance of the routine mid-trimester fetal ultrasound scan. Ultrasound Obstet Gynecol. 2022;59(6):840–856. Tersedia pada: https://obgyn.onlinelibrary.wiley.com/doi/10.1002/uog.24888</w:t>
      </w:r>
    </w:p>
    <w:p>
      <w:pPr>
        <w:pStyle w:val="ListParagraph"/>
        <w:numPr>
          <w:ilvl w:val="0"/>
          <w:numId w:val="3"/>
        </w:numPr>
        <w:spacing w:after="100" w:line="270"/>
      </w:pPr>
      <w:r>
        <w:rPr>
          <w:rFonts w:ascii="IBM Plex Sans" w:cs="IBM Plex Sans" w:eastAsia="IBM Plex Sans" w:hAnsi="IBM Plex Sans"/>
          <w:color w:val="334155"/>
          <w:sz w:val="22"/>
          <w:szCs w:val="22"/>
        </w:rPr>
        <w:t xml:space="preserve">Dowswell T, Carroli G, Duley L, Gates S, Gülmezoglu AM, Khan-Neelofur D, et al. Alternative versus standard packages of antenatal care for low-risk pregnancy. Cochrane Database of Systematic Reviews. 2015. Tersedia pada: https://www.cochrane.org/CD000934/PREG_alternative-packages-antenatal-care-low-risk-pregnant-women</w:t>
      </w:r>
    </w:p>
    <w:p>
      <w:pPr>
        <w:pStyle w:val="Heading1"/>
        <w:spacing w:after="140" w:before="320"/>
      </w:pPr>
      <w:r>
        <w:rPr>
          <w:rFonts w:ascii="Source Serif 4" w:cs="Source Serif 4" w:eastAsia="Source Serif 4" w:hAnsi="Source Serif 4"/>
          <w:b/>
          <w:bCs/>
          <w:color w:val="4F46E5"/>
        </w:rPr>
        <w:t xml:space="preserve">Glosarium</w:t>
      </w:r>
    </w:p>
    <w:p>
      <w:pPr>
        <w:spacing w:after="40" w:line="270"/>
      </w:pPr>
      <w:r>
        <w:rPr>
          <w:rFonts w:ascii="IBM Plex Sans" w:cs="IBM Plex Sans" w:eastAsia="IBM Plex Sans" w:hAnsi="IBM Plex Sans"/>
          <w:b/>
          <w:bCs/>
          <w:color w:val="334155"/>
          <w:sz w:val="22"/>
          <w:szCs w:val="22"/>
        </w:rPr>
        <w:t xml:space="preserve">Antenatal Care (ANC) / Asuhan Antenatal</w:t>
      </w:r>
    </w:p>
    <w:p>
      <w:pPr>
        <w:spacing w:after="160" w:line="276"/>
      </w:pPr>
      <w:r>
        <w:rPr>
          <w:rFonts w:ascii="IBM Plex Sans" w:cs="IBM Plex Sans" w:eastAsia="IBM Plex Sans" w:hAnsi="IBM Plex Sans"/>
          <w:color w:val="334155"/>
          <w:sz w:val="22"/>
          <w:szCs w:val="22"/>
        </w:rPr>
        <w:t xml:space="preserve">Rangkaian pemeriksaan berkala pada ibu hamil sejak konsepsi hingga awal persalinan, bertujuan memantau kesehatan ibu dan janin serta mendeteksi dini faktor risiko atau penyulit kehamilan.</w:t>
      </w:r>
    </w:p>
    <w:p>
      <w:pPr>
        <w:spacing w:after="40" w:line="270"/>
      </w:pPr>
      <w:r>
        <w:rPr>
          <w:rFonts w:ascii="IBM Plex Sans" w:cs="IBM Plex Sans" w:eastAsia="IBM Plex Sans" w:hAnsi="IBM Plex Sans"/>
          <w:b/>
          <w:bCs/>
          <w:color w:val="334155"/>
          <w:sz w:val="22"/>
          <w:szCs w:val="22"/>
        </w:rPr>
        <w:t xml:space="preserve">Usia Kehamilan (Gestasi)</w:t>
      </w:r>
    </w:p>
    <w:p>
      <w:pPr>
        <w:spacing w:after="160" w:line="276"/>
      </w:pPr>
      <w:r>
        <w:rPr>
          <w:rFonts w:ascii="IBM Plex Sans" w:cs="IBM Plex Sans" w:eastAsia="IBM Plex Sans" w:hAnsi="IBM Plex Sans"/>
          <w:color w:val="334155"/>
          <w:sz w:val="22"/>
          <w:szCs w:val="22"/>
        </w:rPr>
        <w:t xml:space="preserve">Lama kehamilan yang dihitung sejak hari pertama haid terakhir (HPHT), dinyatakan dalam minggu, digunakan untuk menentukan trimester dan taksiran persalinan.</w:t>
      </w:r>
    </w:p>
    <w:p>
      <w:pPr>
        <w:spacing w:after="40" w:line="270"/>
      </w:pPr>
      <w:r>
        <w:rPr>
          <w:rFonts w:ascii="IBM Plex Sans" w:cs="IBM Plex Sans" w:eastAsia="IBM Plex Sans" w:hAnsi="IBM Plex Sans"/>
          <w:b/>
          <w:bCs/>
          <w:color w:val="334155"/>
          <w:sz w:val="22"/>
          <w:szCs w:val="22"/>
        </w:rPr>
        <w:t xml:space="preserve">Trimester</w:t>
      </w:r>
    </w:p>
    <w:p>
      <w:pPr>
        <w:spacing w:after="160" w:line="276"/>
      </w:pPr>
      <w:r>
        <w:rPr>
          <w:rFonts w:ascii="IBM Plex Sans" w:cs="IBM Plex Sans" w:eastAsia="IBM Plex Sans" w:hAnsi="IBM Plex Sans"/>
          <w:color w:val="334155"/>
          <w:sz w:val="22"/>
          <w:szCs w:val="22"/>
        </w:rPr>
        <w:t xml:space="preserve">Pembagian usia kehamilan menjadi tiga periode: trimester 1 (0–12 minggu), trimester 2 (13–27 minggu), dan trimester 3 (28 minggu hingga persalinan).</w:t>
      </w:r>
    </w:p>
    <w:p>
      <w:pPr>
        <w:spacing w:after="40" w:line="270"/>
      </w:pPr>
      <w:r>
        <w:rPr>
          <w:rFonts w:ascii="IBM Plex Sans" w:cs="IBM Plex Sans" w:eastAsia="IBM Plex Sans" w:hAnsi="IBM Plex Sans"/>
          <w:b/>
          <w:bCs/>
          <w:color w:val="334155"/>
          <w:sz w:val="22"/>
          <w:szCs w:val="22"/>
        </w:rPr>
        <w:t xml:space="preserve">Tinggi Fundus Uteri (TFU)</w:t>
      </w:r>
    </w:p>
    <w:p>
      <w:pPr>
        <w:spacing w:after="160" w:line="276"/>
      </w:pPr>
      <w:r>
        <w:rPr>
          <w:rFonts w:ascii="IBM Plex Sans" w:cs="IBM Plex Sans" w:eastAsia="IBM Plex Sans" w:hAnsi="IBM Plex Sans"/>
          <w:color w:val="334155"/>
          <w:sz w:val="22"/>
          <w:szCs w:val="22"/>
        </w:rPr>
        <w:t xml:space="preserve">Jarak dari tepi atas simfisis pubis ke puncak fundus uteri, diukur untuk memperkirakan usia kehamilan dan memantau pertumbuhan janin.</w:t>
      </w:r>
    </w:p>
    <w:p>
      <w:pPr>
        <w:spacing w:after="40" w:line="270"/>
      </w:pPr>
      <w:r>
        <w:rPr>
          <w:rFonts w:ascii="IBM Plex Sans" w:cs="IBM Plex Sans" w:eastAsia="IBM Plex Sans" w:hAnsi="IBM Plex Sans"/>
          <w:b/>
          <w:bCs/>
          <w:color w:val="334155"/>
          <w:sz w:val="22"/>
          <w:szCs w:val="22"/>
        </w:rPr>
        <w:t xml:space="preserve">Denyut Jantung Janin (DJJ)</w:t>
      </w:r>
    </w:p>
    <w:p>
      <w:pPr>
        <w:spacing w:after="160" w:line="276"/>
      </w:pPr>
      <w:r>
        <w:rPr>
          <w:rFonts w:ascii="IBM Plex Sans" w:cs="IBM Plex Sans" w:eastAsia="IBM Plex Sans" w:hAnsi="IBM Plex Sans"/>
          <w:color w:val="334155"/>
          <w:sz w:val="22"/>
          <w:szCs w:val="22"/>
        </w:rPr>
        <w:t xml:space="preserve">Frekuensi detak jantung janin yang diperiksa setiap kunjungan antenatal sebagai indikator kesejahteraan janin; nilai normal berkisar 110–160 kali per menit.</w:t>
      </w:r>
    </w:p>
    <w:p>
      <w:pPr>
        <w:spacing w:after="40" w:line="270"/>
      </w:pPr>
      <w:r>
        <w:rPr>
          <w:rFonts w:ascii="IBM Plex Sans" w:cs="IBM Plex Sans" w:eastAsia="IBM Plex Sans" w:hAnsi="IBM Plex Sans"/>
          <w:b/>
          <w:bCs/>
          <w:color w:val="334155"/>
          <w:sz w:val="22"/>
          <w:szCs w:val="22"/>
        </w:rPr>
        <w:t xml:space="preserve">Preeklamsia</w:t>
      </w:r>
    </w:p>
    <w:p>
      <w:pPr>
        <w:spacing w:after="160" w:line="276"/>
      </w:pPr>
      <w:r>
        <w:rPr>
          <w:rFonts w:ascii="IBM Plex Sans" w:cs="IBM Plex Sans" w:eastAsia="IBM Plex Sans" w:hAnsi="IBM Plex Sans"/>
          <w:color w:val="334155"/>
          <w:sz w:val="22"/>
          <w:szCs w:val="22"/>
        </w:rPr>
        <w:t xml:space="preserve">Kondisi hipertensi yang timbul setelah usia kehamilan 20 minggu disertai proteinuria dan/atau disfungsi organ target, merupakan salah satu penyulit kehamilan yang harus disingkirkan pada setiap kunjungan.</w:t>
      </w:r>
    </w:p>
    <w:p>
      <w:pPr>
        <w:spacing w:after="40" w:line="270"/>
      </w:pPr>
      <w:r>
        <w:rPr>
          <w:rFonts w:ascii="IBM Plex Sans" w:cs="IBM Plex Sans" w:eastAsia="IBM Plex Sans" w:hAnsi="IBM Plex Sans"/>
          <w:b/>
          <w:bCs/>
          <w:color w:val="334155"/>
          <w:sz w:val="22"/>
          <w:szCs w:val="22"/>
        </w:rPr>
        <w:t xml:space="preserve">Proteinuria</w:t>
      </w:r>
    </w:p>
    <w:p>
      <w:pPr>
        <w:spacing w:after="160" w:line="276"/>
      </w:pPr>
      <w:r>
        <w:rPr>
          <w:rFonts w:ascii="IBM Plex Sans" w:cs="IBM Plex Sans" w:eastAsia="IBM Plex Sans" w:hAnsi="IBM Plex Sans"/>
          <w:color w:val="334155"/>
          <w:sz w:val="22"/>
          <w:szCs w:val="22"/>
        </w:rPr>
        <w:t xml:space="preserve">Adanya protein dalam urine melebihi ambang normal, menjadi salah satu penanda skrining preeklamsia.</w:t>
      </w:r>
    </w:p>
    <w:p>
      <w:pPr>
        <w:spacing w:after="40" w:line="270"/>
      </w:pPr>
      <w:r>
        <w:rPr>
          <w:rFonts w:ascii="IBM Plex Sans" w:cs="IBM Plex Sans" w:eastAsia="IBM Plex Sans" w:hAnsi="IBM Plex Sans"/>
          <w:b/>
          <w:bCs/>
          <w:color w:val="334155"/>
          <w:sz w:val="22"/>
          <w:szCs w:val="22"/>
        </w:rPr>
        <w:t xml:space="preserve">Kontak Antenatal</w:t>
      </w:r>
    </w:p>
    <w:p>
      <w:pPr>
        <w:spacing w:after="160" w:line="276"/>
      </w:pPr>
      <w:r>
        <w:rPr>
          <w:rFonts w:ascii="IBM Plex Sans" w:cs="IBM Plex Sans" w:eastAsia="IBM Plex Sans" w:hAnsi="IBM Plex Sans"/>
          <w:color w:val="334155"/>
          <w:sz w:val="22"/>
          <w:szCs w:val="22"/>
        </w:rPr>
        <w:t xml:space="preserve">Istilah WHO untuk setiap pertemuan terjadwal antara ibu hamil dan tenaga kesehatan yang memberikan pelayanan antenatal, baik berupa kunjungan langsung maupun bentuk lain sesuai kebijakan fasilitas.</w:t>
      </w:r>
    </w:p>
    <w:p>
      <w:pPr>
        <w:spacing w:after="40" w:line="270"/>
      </w:pPr>
      <w:r>
        <w:rPr>
          <w:rFonts w:ascii="IBM Plex Sans" w:cs="IBM Plex Sans" w:eastAsia="IBM Plex Sans" w:hAnsi="IBM Plex Sans"/>
          <w:b/>
          <w:bCs/>
          <w:color w:val="334155"/>
          <w:sz w:val="22"/>
          <w:szCs w:val="22"/>
        </w:rPr>
        <w:t xml:space="preserve">K1, K4, K6</w:t>
      </w:r>
    </w:p>
    <w:p>
      <w:pPr>
        <w:spacing w:after="160" w:line="276"/>
      </w:pPr>
      <w:r>
        <w:rPr>
          <w:rFonts w:ascii="IBM Plex Sans" w:cs="IBM Plex Sans" w:eastAsia="IBM Plex Sans" w:hAnsi="IBM Plex Sans"/>
          <w:color w:val="334155"/>
          <w:sz w:val="22"/>
          <w:szCs w:val="22"/>
        </w:rPr>
        <w:t xml:space="preserve">Indikator cakupan pelayanan antenatal nasional Indonesia: K1 (kunjungan pertama), K4 (kunjungan keempat, sebelumnya menjadi tolok ukur utama), dan K6 (kunjungan keenam, tolok ukur cakupan sesuai standar terkini minimal enam kali kontak).</w:t>
      </w:r>
    </w:p>
    <w:p>
      <w:pPr>
        <w:spacing w:after="40" w:line="270"/>
      </w:pPr>
      <w:r>
        <w:rPr>
          <w:rFonts w:ascii="IBM Plex Sans" w:cs="IBM Plex Sans" w:eastAsia="IBM Plex Sans" w:hAnsi="IBM Plex Sans"/>
          <w:b/>
          <w:bCs/>
          <w:color w:val="334155"/>
          <w:sz w:val="22"/>
          <w:szCs w:val="22"/>
        </w:rPr>
        <w:t xml:space="preserve">Presentasi Janin</w:t>
      </w:r>
    </w:p>
    <w:p>
      <w:pPr>
        <w:spacing w:after="160" w:line="276"/>
      </w:pPr>
      <w:r>
        <w:rPr>
          <w:rFonts w:ascii="IBM Plex Sans" w:cs="IBM Plex Sans" w:eastAsia="IBM Plex Sans" w:hAnsi="IBM Plex Sans"/>
          <w:color w:val="334155"/>
          <w:sz w:val="22"/>
          <w:szCs w:val="22"/>
        </w:rPr>
        <w:t xml:space="preserve">Bagian terbawah janin yang berada paling dekat dengan pintu atas panggul, dinilai untuk perencanaan cara persalinan.</w:t>
      </w:r>
    </w:p>
    <w:p>
      <w:pPr>
        <w:spacing w:after="40" w:line="270"/>
      </w:pPr>
      <w:r>
        <w:rPr>
          <w:rFonts w:ascii="IBM Plex Sans" w:cs="IBM Plex Sans" w:eastAsia="IBM Plex Sans" w:hAnsi="IBM Plex Sans"/>
          <w:b/>
          <w:bCs/>
          <w:color w:val="334155"/>
          <w:sz w:val="22"/>
          <w:szCs w:val="22"/>
        </w:rPr>
        <w:t xml:space="preserve">Oligohidramnion / Polihidramnion</w:t>
      </w:r>
    </w:p>
    <w:p>
      <w:pPr>
        <w:spacing w:after="160" w:line="276"/>
      </w:pPr>
      <w:r>
        <w:rPr>
          <w:rFonts w:ascii="IBM Plex Sans" w:cs="IBM Plex Sans" w:eastAsia="IBM Plex Sans" w:hAnsi="IBM Plex Sans"/>
          <w:color w:val="334155"/>
          <w:sz w:val="22"/>
          <w:szCs w:val="22"/>
        </w:rPr>
        <w:t xml:space="preserve">Kondisi jumlah cairan ketuban yang kurang (oligohidramnion) atau berlebih (polihidramnion) dari batas normal, dideteksi melalui pemeriksaan ultrasonografi.</w:t>
      </w:r>
    </w:p>
    <w:p>
      <w:pPr>
        <w:spacing w:after="40" w:line="270"/>
      </w:pPr>
      <w:r>
        <w:rPr>
          <w:rFonts w:ascii="IBM Plex Sans" w:cs="IBM Plex Sans" w:eastAsia="IBM Plex Sans" w:hAnsi="IBM Plex Sans"/>
          <w:b/>
          <w:bCs/>
          <w:color w:val="334155"/>
          <w:sz w:val="22"/>
          <w:szCs w:val="22"/>
        </w:rPr>
        <w:t xml:space="preserve">Skrining</w:t>
      </w:r>
    </w:p>
    <w:p>
      <w:pPr>
        <w:spacing w:after="160" w:line="276"/>
      </w:pPr>
      <w:r>
        <w:rPr>
          <w:rFonts w:ascii="IBM Plex Sans" w:cs="IBM Plex Sans" w:eastAsia="IBM Plex Sans" w:hAnsi="IBM Plex Sans"/>
          <w:color w:val="334155"/>
          <w:sz w:val="22"/>
          <w:szCs w:val="22"/>
        </w:rPr>
        <w:t xml:space="preserve">Proses pemeriksaan sistematis pada populasi tanpa gejala untuk mengidentifikasi kemungkinan adanya kondisi atau faktor risiko tertentu.</w:t>
      </w:r>
    </w:p>
    <w:p>
      <w:pPr>
        <w:spacing w:after="40" w:line="270"/>
      </w:pPr>
      <w:r>
        <w:rPr>
          <w:rFonts w:ascii="IBM Plex Sans" w:cs="IBM Plex Sans" w:eastAsia="IBM Plex Sans" w:hAnsi="IBM Plex Sans"/>
          <w:b/>
          <w:bCs/>
          <w:color w:val="334155"/>
          <w:sz w:val="22"/>
          <w:szCs w:val="22"/>
        </w:rPr>
        <w:t xml:space="preserve">GRADE (Grading of Recommendations Assessment, Development and Evaluation)</w:t>
      </w:r>
    </w:p>
    <w:p>
      <w:pPr>
        <w:spacing w:after="160" w:line="276"/>
      </w:pPr>
      <w:r>
        <w:rPr>
          <w:rFonts w:ascii="IBM Plex Sans" w:cs="IBM Plex Sans" w:eastAsia="IBM Plex Sans" w:hAnsi="IBM Plex Sans"/>
          <w:color w:val="334155"/>
          <w:sz w:val="22"/>
          <w:szCs w:val="22"/>
        </w:rPr>
        <w:t xml:space="preserve">Kerangka kerja internasional untuk menilai kualitas bukti ilmiah dan menentukan kekuatan rekomendasi klinis.</w:t>
      </w:r>
    </w:p>
    <w:p>
      <w:pPr>
        <w:spacing w:after="40" w:line="270"/>
      </w:pPr>
      <w:r>
        <w:rPr>
          <w:rFonts w:ascii="IBM Plex Sans" w:cs="IBM Plex Sans" w:eastAsia="IBM Plex Sans" w:hAnsi="IBM Plex Sans"/>
          <w:b/>
          <w:bCs/>
          <w:color w:val="334155"/>
          <w:sz w:val="22"/>
          <w:szCs w:val="22"/>
        </w:rPr>
        <w:t xml:space="preserve">Rujukan Berjenjang</w:t>
      </w:r>
    </w:p>
    <w:p>
      <w:pPr>
        <w:spacing w:after="160" w:line="276"/>
      </w:pPr>
      <w:r>
        <w:rPr>
          <w:rFonts w:ascii="IBM Plex Sans" w:cs="IBM Plex Sans" w:eastAsia="IBM Plex Sans" w:hAnsi="IBM Plex Sans"/>
          <w:color w:val="334155"/>
          <w:sz w:val="22"/>
          <w:szCs w:val="22"/>
        </w:rPr>
        <w:t xml:space="preserve">Mekanisme rujukan pasien dari fasilitas pelayanan kesehatan dasar ke fasilitas dengan kapasitas lebih tinggi (termasuk ke subspesialis) sesuai kebutuhan klinis dan tingkat kewenangan.</w:t>
      </w:r>
    </w:p>
    <w:p>
      <w:pPr>
        <w:spacing w:after="40" w:line="270"/>
      </w:pPr>
      <w:r>
        <w:rPr>
          <w:rFonts w:ascii="IBM Plex Sans" w:cs="IBM Plex Sans" w:eastAsia="IBM Plex Sans" w:hAnsi="IBM Plex Sans"/>
          <w:b/>
          <w:bCs/>
          <w:color w:val="334155"/>
          <w:sz w:val="22"/>
          <w:szCs w:val="22"/>
        </w:rPr>
        <w:t xml:space="preserve">Fetomaternal</w:t>
      </w:r>
    </w:p>
    <w:p>
      <w:pPr>
        <w:spacing w:after="160" w:line="276"/>
      </w:pPr>
      <w:r>
        <w:rPr>
          <w:rFonts w:ascii="IBM Plex Sans" w:cs="IBM Plex Sans" w:eastAsia="IBM Plex Sans" w:hAnsi="IBM Plex Sans"/>
          <w:color w:val="334155"/>
          <w:sz w:val="22"/>
          <w:szCs w:val="22"/>
        </w:rPr>
        <w:t xml:space="preserve">Subspesialisasi Obstetri dan Ginekologi yang berfokus pada kehamilan risiko tinggi, kondisi medis maternal yang menyertai kehamilan, dan kelainan janin.</w:t>
      </w:r>
    </w:p>
    <w:sectPr>
      <w:headerReference w:type="default" r:id="rId7"/>
      <w:footerReference w:type="default" r:id="rId8"/>
      <w:pgSz w:w="11906" w:h="16838"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5"/>
        <w:szCs w:val="15"/>
      </w:rPr>
      <w:t xml:space="preserve">PPK No. 1 dari 73 — Kehamilan Tanpa Penyulit | Sebelumnya: (Buku Tematik B2) | Berikutnya: PPK-002 — Masalah Ringan pada Kehamilan (Mild Problems in Pregnancy)</w:t>
    </w:r>
  </w:p>
  <w:p>
    <w:pPr>
      <w:spacing w:before="20"/>
      <w:jc w:val="center"/>
    </w:pPr>
    <w:r>
      <w:rPr>
        <w:rFonts w:ascii="IBM Plex Mono" w:cs="IBM Plex Mono" w:eastAsia="IBM Plex Mono" w:hAnsi="IBM Plex Mono"/>
        <w:color w:val="64748B"/>
        <w:sz w:val="13"/>
        <w:szCs w:val="13"/>
      </w:rPr>
      <w:t xml:space="preserve">Perpustakaan Digital ABBA — Jl. Kerinci Raya No. 9, Malang 65138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64748B"/>
        <w:sz w:val="16"/>
        <w:szCs w:val="16"/>
      </w:rPr>
      <w:t xml:space="preserve">Kehamilan Tanpa Penyulit — PPK-001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2026-08-16T17:15:32.284Z</dcterms:created>
  <dcterms:modified xsi:type="dcterms:W3CDTF">2026-08-16T17:15:32.296Z</dcterms:modified>
</cp:coreProperties>
</file>

<file path=docProps/custom.xml><?xml version="1.0" encoding="utf-8"?>
<Properties xmlns="http://schemas.openxmlformats.org/officeDocument/2006/custom-properties" xmlns:vt="http://schemas.openxmlformats.org/officeDocument/2006/docPropsVTypes"/>
</file>