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rPr>
          <w:rFonts w:ascii="IBM Plex Sans" w:cs="IBM Plex Sans" w:eastAsia="IBM Plex Sans" w:hAnsi="IBM Plex Sans"/>
          <w:color w:val="64748B"/>
          <w:sz w:val="20"/>
          <w:szCs w:val="20"/>
        </w:rPr>
        <w:t xml:space="preserve">Perpustakaan Digital ABBA</w:t>
      </w:r>
    </w:p>
    <w:p>
      <w:pPr>
        <w:spacing w:after="800"/>
      </w:pPr>
      <w:r>
        <w:rPr>
          <w:rFonts w:ascii="IBM Plex Sans" w:cs="IBM Plex Sans" w:eastAsia="IBM Plex Sans" w:hAnsi="IBM Plex Sans"/>
          <w:color w:val="64748B"/>
          <w:sz w:val="18"/>
          <w:szCs w:val="18"/>
        </w:rPr>
        <w:t xml:space="preserve">Jl. Kerinci Raya No. 9, Malang 65138</w:t>
      </w:r>
    </w:p>
    <w:p>
      <w:pPr>
        <w:spacing w:after="200" w:before="400"/>
      </w:pPr>
      <w:r>
        <w:rPr>
          <w:rFonts w:ascii="IBM Plex Sans" w:cs="IBM Plex Sans" w:eastAsia="IBM Plex Sans" w:hAnsi="IBM Plex Sans"/>
          <w:b/>
          <w:bCs/>
          <w:color w:val="B45309"/>
          <w:sz w:val="22"/>
          <w:szCs w:val="22"/>
        </w:rPr>
        <w:t xml:space="preserve">PANDUAN PRAKTIK KLINIS (PPK) No. 11 dari 73</w:t>
      </w:r>
    </w:p>
    <w:p>
      <w:pPr>
        <w:pStyle w:val="Title"/>
        <w:spacing w:after="200"/>
      </w:pPr>
      <w:r>
        <w:rPr>
          <w:rFonts w:ascii="Source Serif 4" w:cs="Source Serif 4" w:eastAsia="Source Serif 4" w:hAnsi="Source Serif 4"/>
          <w:b/>
          <w:bCs/>
          <w:color w:val="4F46E5"/>
          <w:sz w:val="48"/>
          <w:szCs w:val="48"/>
        </w:rPr>
        <w:t xml:space="preserve">Kehamilan dengan Riwayat Seksio Sesarea</w:t>
      </w:r>
    </w:p>
    <w:p>
      <w:pPr>
        <w:spacing w:after="600"/>
      </w:pPr>
      <w:r>
        <w:rPr>
          <w:rFonts w:ascii="Source Serif 4" w:cs="Source Serif 4" w:eastAsia="Source Serif 4" w:hAnsi="Source Serif 4"/>
          <w:i/>
          <w:iCs/>
          <w:color w:val="64748B"/>
          <w:sz w:val="30"/>
          <w:szCs w:val="30"/>
        </w:rPr>
        <w:t xml:space="preserve">Pregnancy with Previous CS Scar</w:t>
      </w:r>
    </w:p>
    <w:tbl>
      <w:tblPr>
        <w:tblW w:type="dxa" w:w="9000"/>
        <w:tblBorders>
          <w:top w:val="single" w:color="E2E8F0" w:sz="2"/>
          <w:left w:val="single" w:color="E2E8F0" w:sz="2"/>
          <w:bottom w:val="single" w:color="E2E8F0" w:sz="2"/>
          <w:right w:val="single" w:color="E2E8F0" w:sz="2"/>
          <w:insideH w:val="single" w:color="E2E8F0" w:sz="2"/>
          <w:insideV w:val="single" w:color="E2E8F0" w:sz="2"/>
        </w:tblBorders>
      </w:tblPr>
      <w:tblGrid>
        <w:gridCol w:w="3000"/>
        <w:gridCol w:w="6000"/>
      </w:tblGrid>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ICD-10</w:t>
            </w:r>
          </w:p>
        </w:tc>
        <w:tc>
          <w:tcPr>
            <w:tcW w:type="dxa" w:w="6000"/>
            <w:tcMar>
              <w:top w:type="dxa" w:w="100"/>
              <w:left w:type="dxa" w:w="160"/>
              <w:bottom w:type="dxa" w:w="100"/>
              <w:right w:type="dxa" w:w="160"/>
            </w:tcMar>
          </w:tcPr>
          <w:p>
            <w:r>
              <w:rPr>
                <w:rFonts w:ascii="IBM Plex Mono" w:cs="IBM Plex Mono" w:eastAsia="IBM Plex Mono" w:hAnsi="IBM Plex Mono"/>
                <w:color w:val="334155"/>
                <w:sz w:val="19"/>
                <w:szCs w:val="19"/>
              </w:rPr>
              <w:t xml:space="preserve">O34.2</w:t>
            </w:r>
          </w:p>
        </w:tc>
      </w:tr>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ICD-11</w:t>
            </w:r>
          </w:p>
        </w:tc>
        <w:tc>
          <w:tcPr>
            <w:tcW w:type="dxa" w:w="6000"/>
            <w:tcMar>
              <w:top w:type="dxa" w:w="100"/>
              <w:left w:type="dxa" w:w="160"/>
              <w:bottom w:type="dxa" w:w="100"/>
              <w:right w:type="dxa" w:w="160"/>
            </w:tcMar>
          </w:tcPr>
          <w:p>
            <w:r>
              <w:rPr>
                <w:rFonts w:ascii="IBM Plex Mono" w:cs="IBM Plex Mono" w:eastAsia="IBM Plex Mono" w:hAnsi="IBM Plex Mono"/>
                <w:color w:val="334155"/>
                <w:sz w:val="19"/>
                <w:szCs w:val="19"/>
              </w:rPr>
              <w:t xml:space="preserve">JA84.2 ; JB0D.6</w:t>
            </w:r>
          </w:p>
        </w:tc>
      </w:tr>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Dasar Regulasi</w:t>
            </w:r>
          </w:p>
        </w:tc>
        <w:tc>
          <w:tcPr>
            <w:tcW w:type="dxa" w:w="6000"/>
            <w:tcMar>
              <w:top w:type="dxa" w:w="100"/>
              <w:left w:type="dxa" w:w="160"/>
              <w:bottom w:type="dxa" w:w="100"/>
              <w:right w:type="dxa" w:w="160"/>
            </w:tcMar>
          </w:tcPr>
          <w:p>
            <w:r>
              <w:rPr>
                <w:rFonts w:ascii="IBM Plex Sans" w:cs="IBM Plex Sans" w:eastAsia="IBM Plex Sans" w:hAnsi="IBM Plex Sans"/>
                <w:color w:val="334155"/>
                <w:sz w:val="19"/>
                <w:szCs w:val="19"/>
              </w:rPr>
              <w:t xml:space="preserve">Kepkonsil No. HK.01.02/KKI/1318/2026, Tabel 7 No. 11</w:t>
            </w:r>
          </w:p>
        </w:tc>
      </w:tr>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Divisi Pengampu</w:t>
            </w:r>
          </w:p>
        </w:tc>
        <w:tc>
          <w:tcPr>
            <w:tcW w:type="dxa" w:w="6000"/>
            <w:tcMar>
              <w:top w:type="dxa" w:w="100"/>
              <w:left w:type="dxa" w:w="160"/>
              <w:bottom w:type="dxa" w:w="100"/>
              <w:right w:type="dxa" w:w="160"/>
            </w:tcMar>
          </w:tcPr>
          <w:p>
            <w:r>
              <w:rPr>
                <w:rFonts w:ascii="IBM Plex Sans" w:cs="IBM Plex Sans" w:eastAsia="IBM Plex Sans" w:hAnsi="IBM Plex Sans"/>
                <w:color w:val="334155"/>
                <w:sz w:val="19"/>
                <w:szCs w:val="19"/>
              </w:rPr>
              <w:t xml:space="preserve">Fetomaternal</w:t>
            </w:r>
          </w:p>
        </w:tc>
      </w:tr>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Rujukan Buku Tematik</w:t>
            </w:r>
          </w:p>
        </w:tc>
        <w:tc>
          <w:tcPr>
            <w:tcW w:type="dxa" w:w="6000"/>
            <w:tcMar>
              <w:top w:type="dxa" w:w="100"/>
              <w:left w:type="dxa" w:w="160"/>
              <w:bottom w:type="dxa" w:w="100"/>
              <w:right w:type="dxa" w:w="160"/>
            </w:tcMar>
          </w:tcPr>
          <w:p>
            <w:r>
              <w:rPr>
                <w:rFonts w:ascii="IBM Plex Sans" w:cs="IBM Plex Sans" w:eastAsia="IBM Plex Sans" w:hAnsi="IBM Plex Sans"/>
                <w:color w:val="334155"/>
                <w:sz w:val="19"/>
                <w:szCs w:val="19"/>
              </w:rPr>
              <w:t xml:space="preserve">B3 — Obstetri Patologis dan Kegawatdaruratan Maternal</w:t>
            </w:r>
          </w:p>
        </w:tc>
      </w:tr>
      <w:tr>
        <w:tc>
          <w:tcPr>
            <w:tcW w:type="dxa" w:w="3000"/>
            <w:shd w:fill="F8FAFC" w:val="clear"/>
            <w:tcMar>
              <w:top w:type="dxa" w:w="100"/>
              <w:left w:type="dxa" w:w="160"/>
              <w:bottom w:type="dxa" w:w="100"/>
              <w:right w:type="dxa" w:w="160"/>
            </w:tcMar>
          </w:tcPr>
          <w:p>
            <w:r>
              <w:rPr>
                <w:rFonts w:ascii="IBM Plex Sans" w:cs="IBM Plex Sans" w:eastAsia="IBM Plex Sans" w:hAnsi="IBM Plex Sans"/>
                <w:b/>
                <w:bCs/>
                <w:color w:val="334155"/>
                <w:sz w:val="19"/>
                <w:szCs w:val="19"/>
              </w:rPr>
              <w:t xml:space="preserve">Populasi/Keterangan</w:t>
            </w:r>
          </w:p>
        </w:tc>
        <w:tc>
          <w:tcPr>
            <w:tcW w:type="dxa" w:w="6000"/>
            <w:tcMar>
              <w:top w:type="dxa" w:w="100"/>
              <w:left w:type="dxa" w:w="160"/>
              <w:bottom w:type="dxa" w:w="100"/>
              <w:right w:type="dxa" w:w="160"/>
            </w:tcMar>
          </w:tcPr>
          <w:p>
            <w:r>
              <w:rPr>
                <w:rFonts w:ascii="IBM Plex Sans" w:cs="IBM Plex Sans" w:eastAsia="IBM Plex Sans" w:hAnsi="IBM Plex Sans"/>
                <w:color w:val="334155"/>
                <w:sz w:val="19"/>
                <w:szCs w:val="19"/>
              </w:rPr>
              <w:t xml:space="preserve">Risiko ruptur uteri; pemantauan ketat persalinan</w:t>
            </w:r>
          </w:p>
        </w:tc>
      </w:tr>
    </w:tbl>
    <w:p>
      <w:pPr>
        <w:spacing w:before="500"/>
      </w:pPr>
      <w:r>
        <w:rPr>
          <w:rFonts w:ascii="IBM Plex Sans" w:cs="IBM Plex Sans" w:eastAsia="IBM Plex Sans" w:hAnsi="IBM Plex Sans"/>
          <w:b/>
          <w:bCs/>
          <w:color w:val="334155"/>
          <w:sz w:val="18"/>
          <w:szCs w:val="18"/>
        </w:rPr>
        <w:t xml:space="preserve">Penulis</w:t>
      </w:r>
    </w:p>
    <w:p>
      <w:pPr>
        <w:spacing w:after="160"/>
      </w:pPr>
      <w:r>
        <w:rPr>
          <w:rFonts w:ascii="IBM Plex Sans" w:cs="IBM Plex Sans" w:eastAsia="IBM Plex Sans" w:hAnsi="IBM Plex Sans"/>
          <w:color w:val="334155"/>
          <w:sz w:val="20"/>
          <w:szCs w:val="20"/>
        </w:rPr>
        <w:t xml:space="preserve">Dr.dr. Budi Siswanto, Sp.OG., Subsp.Obginsos., SH., S.Kom.</w:t>
      </w:r>
    </w:p>
    <w:p>
      <w:r>
        <w:rPr>
          <w:rFonts w:ascii="IBM Plex Sans" w:cs="IBM Plex Sans" w:eastAsia="IBM Plex Sans" w:hAnsi="IBM Plex Sans"/>
          <w:b/>
          <w:bCs/>
          <w:color w:val="334155"/>
          <w:sz w:val="18"/>
          <w:szCs w:val="18"/>
        </w:rPr>
        <w:t xml:space="preserve">Penerbit</w:t>
      </w:r>
    </w:p>
    <w:p>
      <w:r>
        <w:rPr>
          <w:rFonts w:ascii="IBM Plex Sans" w:cs="IBM Plex Sans" w:eastAsia="IBM Plex Sans" w:hAnsi="IBM Plex Sans"/>
          <w:color w:val="334155"/>
          <w:sz w:val="20"/>
          <w:szCs w:val="20"/>
        </w:rPr>
        <w:t xml:space="preserve">Perpustakaan Digital ABBA, Jl. Kerinci Raya No. 9, Malang 65138</w:t>
      </w:r>
    </w:p>
    <w:p>
      <w:pPr>
        <w:spacing w:after="200"/>
      </w:pPr>
      <w:r>
        <w:rPr>
          <w:rFonts w:ascii="IBM Plex Sans" w:cs="IBM Plex Sans" w:eastAsia="IBM Plex Sans" w:hAnsi="IBM Plex Sans"/>
          <w:i/>
          <w:iCs/>
          <w:color w:val="64748B"/>
          <w:sz w:val="18"/>
          <w:szCs w:val="18"/>
        </w:rPr>
        <w:t xml:space="preserve">Cetakan pertama, 2026</w:t>
      </w:r>
    </w:p>
    <w:p>
      <w:r>
        <w:br w:type="page"/>
      </w: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1"/>
          <w:szCs w:val="21"/>
        </w:rPr>
        <w:t xml:space="preserve">Bab ini merupakan turunan operasional dari Bab Kehamilan dengan Parut Uterus dan Risiko Ruptur Uteri, Buku Tematik B3 — Obstetri Patologis dan Kegawatdaruratan Maternal, yang membahas prinsip skrining, pemantauan, dan tata laksana risiko tinggi obstetri terkait riwayat pembedahan uterus sebelumnya.</w:t>
      </w:r>
    </w:p>
    <w:p>
      <w:pPr>
        <w:spacing w:after="160" w:line="276"/>
      </w:pPr>
      <w:r>
        <w:rPr>
          <w:rFonts w:ascii="IBM Plex Sans" w:cs="IBM Plex Sans" w:eastAsia="IBM Plex Sans" w:hAnsi="IBM Plex Sans"/>
          <w:color w:val="334155"/>
          <w:sz w:val="21"/>
          <w:szCs w:val="21"/>
        </w:rPr>
        <w:t xml:space="preserve">Kehamilan dengan riwayat seksio sesarea (Pregnancy with previous CS scar) adalah kehamilan pada perempuan yang pernah menjalani pembedahan seksio sesarea (SC) sebelumnya, dengan implikasi risiko pada parut uterus dan persalinan berikutnya.</w:t>
      </w:r>
    </w:p>
    <w:p>
      <w:pPr>
        <w:spacing w:after="160" w:line="276"/>
      </w:pPr>
      <w:r>
        <w:rPr>
          <w:rFonts w:ascii="IBM Plex Sans" w:cs="IBM Plex Sans" w:eastAsia="IBM Plex Sans" w:hAnsi="IBM Plex Sans"/>
          <w:color w:val="334155"/>
          <w:sz w:val="21"/>
          <w:szCs w:val="21"/>
        </w:rPr>
        <w:t xml:space="preserve">Fokus klinis bab ini adalah pemantauan antenatal dan intrapartum pada kehamilan lanjut dengan parut uterus akibat SC sebelumnya — bukan cesarean scar pregnancy (CSP), yaitu implantasi hasil konsepsi di dalam niche/defek parut SC pada trimester pertama, yang merupakan bentuk kehamilan ektopik dan dibahas terpisah pada Panduan Praktik Klinis Kehamilan Ektopik (PPK No. 5). Pembeda utama: bab ini menangani risiko ruptur uteri saat persalinan pada kehamilan yang berkembang normal di dalam kavum uteri, sedangkan CSP adalah kegawatan trimester awal akibat lokasi implantasi yang salah.</w:t>
      </w:r>
    </w:p>
    <w:p>
      <w:pPr>
        <w:spacing w:after="160" w:line="276"/>
      </w:pPr>
      <w:r>
        <w:rPr>
          <w:rFonts w:ascii="IBM Plex Sans" w:cs="IBM Plex Sans" w:eastAsia="IBM Plex Sans" w:hAnsi="IBM Plex Sans"/>
          <w:color w:val="334155"/>
          <w:sz w:val="21"/>
          <w:szCs w:val="21"/>
        </w:rPr>
        <w:t xml:space="preserve">Dua jalur persalinan dipertimbangkan pada kondisi ini: trial of labor after cesarean (TOLAC) — persalinan percobaan pervaginam pasca-SC yang, bila berhasil, disebut vaginal birth after cesarean (VBAC) — atau elective repeat cesarean section (ERCS), yaitu seksio sesarea ulangan yang dijadwalkan. Pemilihan di antara keduanya dilakukan melalui konseling individual berbasis bukti.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Kepkonsil No. HK.01.02/KKI/1318/2026, Lampiran Bab II, Tabel 7 (Spektrum Penyakit dan Kondisi Klinis yang Ditangani Spesialis Obstetri dan Ginekologi), entri No. 11: “Kehamilan dengan riwayat seksio sesarea / Pregnancy with previous CS scar” — Keterangan/Populasi: risiko ruptur uteri; pemantauan ketat persalinan.</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1"/>
          <w:szCs w:val="21"/>
        </w:rPr>
        <w:t xml:space="preserve">Anamnesis terstruktur wajib menggali riwayat obstetri terperinci untuk menentukan kelayakan TOLAC atau kebutuhan ERCS:</w:t>
      </w:r>
    </w:p>
    <w:p>
      <w:pPr>
        <w:pStyle w:val="ListParagraph"/>
        <w:numPr>
          <w:ilvl w:val="0"/>
          <w:numId w:val="2"/>
        </w:numPr>
        <w:spacing w:after="100" w:line="276"/>
      </w:pPr>
      <w:r>
        <w:rPr>
          <w:rFonts w:ascii="IBM Plex Sans" w:cs="IBM Plex Sans" w:eastAsia="IBM Plex Sans" w:hAnsi="IBM Plex Sans"/>
          <w:color w:val="334155"/>
          <w:sz w:val="21"/>
          <w:szCs w:val="21"/>
        </w:rPr>
        <w:t xml:space="preserve">Jumlah seksio sesarea sebelumnya dan urutan kehamilan yang bersangkutan; riwayat dua kali SC segmen bawah rahim tetap dapat dipertimbangkan untuk TOLAC setelah konseling oleh obstetri senior yang membahas risiko ruptur uteri, morbiditas maternal, dan estimasi individual peluang keberhasilan.</w:t>
      </w:r>
    </w:p>
    <w:p>
      <w:pPr>
        <w:pStyle w:val="ListParagraph"/>
        <w:numPr>
          <w:ilvl w:val="0"/>
          <w:numId w:val="2"/>
        </w:numPr>
        <w:spacing w:after="100" w:line="276"/>
      </w:pPr>
      <w:r>
        <w:rPr>
          <w:rFonts w:ascii="IBM Plex Sans" w:cs="IBM Plex Sans" w:eastAsia="IBM Plex Sans" w:hAnsi="IBM Plex Sans"/>
          <w:color w:val="334155"/>
          <w:sz w:val="21"/>
          <w:szCs w:val="21"/>
        </w:rPr>
        <w:t xml:space="preserve">Indikasi SC terdahulu (letak lintang, gawat janin, disproporsi sefalopelvik, presentasi bokong, dan lain-lain) — indikasi non-berulang (non-recurring), seperti letak lintang atau gawat janin, lebih mendukung kelayakan TOLAC dibandingkan indikasi yang berpotensi berulang seperti kegagalan kemajuan persalinan (arrest of dilation/descent).</w:t>
      </w:r>
    </w:p>
    <w:p>
      <w:pPr>
        <w:pStyle w:val="ListParagraph"/>
        <w:numPr>
          <w:ilvl w:val="0"/>
          <w:numId w:val="2"/>
        </w:numPr>
        <w:spacing w:after="100" w:line="276"/>
      </w:pPr>
      <w:r>
        <w:rPr>
          <w:rFonts w:ascii="IBM Plex Sans" w:cs="IBM Plex Sans" w:eastAsia="IBM Plex Sans" w:hAnsi="IBM Plex Sans"/>
          <w:color w:val="334155"/>
          <w:sz w:val="21"/>
          <w:szCs w:val="21"/>
        </w:rPr>
        <w:t xml:space="preserve">Jenis insisi uterus bila diketahui: segmen bawah rahim transversal (low-transverse), transversal rendah vertikal (low-vertical), atau klasik/korporal (classical) — insisi klasik atau insisi-T merupakan kontraindikasi mutlak TOLAC.</w:t>
      </w:r>
    </w:p>
    <w:p>
      <w:pPr>
        <w:pStyle w:val="ListParagraph"/>
        <w:numPr>
          <w:ilvl w:val="0"/>
          <w:numId w:val="2"/>
        </w:numPr>
        <w:spacing w:after="100" w:line="276"/>
      </w:pPr>
      <w:r>
        <w:rPr>
          <w:rFonts w:ascii="IBM Plex Sans" w:cs="IBM Plex Sans" w:eastAsia="IBM Plex Sans" w:hAnsi="IBM Plex Sans"/>
          <w:color w:val="334155"/>
          <w:sz w:val="21"/>
          <w:szCs w:val="21"/>
        </w:rPr>
        <w:t xml:space="preserve">Interval antar-kehamilan (interpregnancy interval). Beberapa studi kohort besar menunjukkan risiko ruptur uteri meningkat bermakna pada interval kurang dari 18 bulan dibandingkan interval 24–35 bulan; sejumlah pedoman internasional merekomendasikan jarak minimal sekitar 18–19 bulan sebelum TOLAC dipertimbangkan.</w:t>
      </w:r>
    </w:p>
    <w:p>
      <w:pPr>
        <w:pStyle w:val="ListParagraph"/>
        <w:numPr>
          <w:ilvl w:val="0"/>
          <w:numId w:val="2"/>
        </w:numPr>
        <w:spacing w:after="100" w:line="276"/>
      </w:pPr>
      <w:r>
        <w:rPr>
          <w:rFonts w:ascii="IBM Plex Sans" w:cs="IBM Plex Sans" w:eastAsia="IBM Plex Sans" w:hAnsi="IBM Plex Sans"/>
          <w:color w:val="334155"/>
          <w:sz w:val="21"/>
          <w:szCs w:val="21"/>
        </w:rPr>
        <w:t xml:space="preserve">Komplikasi pascaoperasi SC sebelumnya: infeksi luka operasi, dehisensi, demam nifas, kebutuhan transfusi.</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persalinan pervaginam sebelum dan/atau sesudah SC — riwayat VBAC sukses merupakan salah satu prediktor terkuat keberhasilan TOLAC berikutnya.</w:t>
      </w:r>
    </w:p>
    <w:p>
      <w:pPr>
        <w:pStyle w:val="ListParagraph"/>
        <w:numPr>
          <w:ilvl w:val="0"/>
          <w:numId w:val="2"/>
        </w:numPr>
        <w:spacing w:after="100" w:line="276"/>
      </w:pPr>
      <w:r>
        <w:rPr>
          <w:rFonts w:ascii="IBM Plex Sans" w:cs="IBM Plex Sans" w:eastAsia="IBM Plex Sans" w:hAnsi="IBM Plex Sans"/>
          <w:color w:val="334155"/>
          <w:sz w:val="21"/>
          <w:szCs w:val="21"/>
        </w:rPr>
        <w:t xml:space="preserve">Preferensi dan pemahaman pasien terhadap pilihan modus persalinan, termasuk nilai dan kekhawatiran pribadi, untuk mendukung pengambilan keputusan bersama (shared decision making).</w:t>
      </w:r>
    </w:p>
    <w:p>
      <w:pPr>
        <w:pStyle w:val="ListParagraph"/>
        <w:numPr>
          <w:ilvl w:val="0"/>
          <w:numId w:val="2"/>
        </w:numPr>
        <w:spacing w:after="100" w:line="276"/>
      </w:pPr>
      <w:r>
        <w:rPr>
          <w:rFonts w:ascii="IBM Plex Sans" w:cs="IBM Plex Sans" w:eastAsia="IBM Plex Sans" w:hAnsi="IBM Plex Sans"/>
          <w:color w:val="334155"/>
          <w:sz w:val="21"/>
          <w:szCs w:val="21"/>
        </w:rPr>
        <w:t xml:space="preserve">Keluhan kehamilan berjalan: nyeri perut menetap atau tiba-tiba tajam pada lokasi bekas luka, perdarahan pervaginam, perubahan pola gerak janin, kontraksi yang tidak seperti biasanya — merupakan tanda bahaya (red flag) yang mengarah pada kecurigaan ruptur/dehisensi uteri dan memerlukan evaluasi segera.</w:t>
      </w:r>
    </w:p>
    <w:p>
      <w:pPr>
        <w:pStyle w:val="ListParagraph"/>
        <w:numPr>
          <w:ilvl w:val="0"/>
          <w:numId w:val="2"/>
        </w:numPr>
        <w:spacing w:after="100" w:line="276"/>
      </w:pPr>
      <w:r>
        <w:rPr>
          <w:rFonts w:ascii="IBM Plex Sans" w:cs="IBM Plex Sans" w:eastAsia="IBM Plex Sans" w:hAnsi="IBM Plex Sans"/>
          <w:color w:val="334155"/>
          <w:sz w:val="21"/>
          <w:szCs w:val="21"/>
        </w:rPr>
        <w:t xml:space="preserve">Riwayat komorbid yang memengaruhi pilihan modus persalinan: obesitas, diabetes gestasional, hipertensi dalam kehamilan, taksiran makrosomia janin pada kehamilan berjalan — ketiganya memengaruhi estimasi peluang keberhasilan VBAC.</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pStyle w:val="ListParagraph"/>
        <w:numPr>
          <w:ilvl w:val="0"/>
          <w:numId w:val="3"/>
        </w:numPr>
        <w:spacing w:after="100" w:line="276"/>
      </w:pPr>
      <w:r>
        <w:rPr>
          <w:rFonts w:ascii="IBM Plex Sans" w:cs="IBM Plex Sans" w:eastAsia="IBM Plex Sans" w:hAnsi="IBM Plex Sans"/>
          <w:color w:val="334155"/>
          <w:sz w:val="21"/>
          <w:szCs w:val="21"/>
        </w:rPr>
        <w:t xml:space="preserve">Tanda vital lengkap; tanda syok (takikardia, hipotensi, akral dingin) mengarahkan kecurigaan ruptur uteri dengan perdarahan intra-abdomen.</w:t>
      </w:r>
    </w:p>
    <w:p>
      <w:pPr>
        <w:pStyle w:val="ListParagraph"/>
        <w:numPr>
          <w:ilvl w:val="0"/>
          <w:numId w:val="3"/>
        </w:numPr>
        <w:spacing w:after="100" w:line="276"/>
      </w:pPr>
      <w:r>
        <w:rPr>
          <w:rFonts w:ascii="IBM Plex Sans" w:cs="IBM Plex Sans" w:eastAsia="IBM Plex Sans" w:hAnsi="IBM Plex Sans"/>
          <w:color w:val="334155"/>
          <w:sz w:val="21"/>
          <w:szCs w:val="21"/>
        </w:rPr>
        <w:t xml:space="preserve">Inspeksi dan palpasi dinding abdomen: nyeri tekan fokal pada garis parut bekas SC, defans muskular, atau teraba bagian janin secara superfisial/abnormal (tanda klasik ruptur uteri komplit).</w:t>
      </w:r>
    </w:p>
    <w:p>
      <w:pPr>
        <w:pStyle w:val="ListParagraph"/>
        <w:numPr>
          <w:ilvl w:val="0"/>
          <w:numId w:val="3"/>
        </w:numPr>
        <w:spacing w:after="100" w:line="276"/>
      </w:pPr>
      <w:r>
        <w:rPr>
          <w:rFonts w:ascii="IBM Plex Sans" w:cs="IBM Plex Sans" w:eastAsia="IBM Plex Sans" w:hAnsi="IBM Plex Sans"/>
          <w:color w:val="334155"/>
          <w:sz w:val="21"/>
          <w:szCs w:val="21"/>
        </w:rPr>
        <w:t xml:space="preserve">Palpasi Leopold untuk menentukan letak, presentasi, dan taksiran berat janin — relevan untuk penilaian kelayakan TOLAC.</w:t>
      </w:r>
    </w:p>
    <w:p>
      <w:pPr>
        <w:pStyle w:val="ListParagraph"/>
        <w:numPr>
          <w:ilvl w:val="0"/>
          <w:numId w:val="3"/>
        </w:numPr>
        <w:spacing w:after="100" w:line="276"/>
      </w:pPr>
      <w:r>
        <w:rPr>
          <w:rFonts w:ascii="IBM Plex Sans" w:cs="IBM Plex Sans" w:eastAsia="IBM Plex Sans" w:hAnsi="IBM Plex Sans"/>
          <w:color w:val="334155"/>
          <w:sz w:val="21"/>
          <w:szCs w:val="21"/>
        </w:rPr>
        <w:t xml:space="preserve">Auskultasi denyut jantung janin (DJJ); perubahan mendadak pola DJJ (bradikardia, deselerasi variabel atau lambat berulang) selama persalinan merupakan tanda tersering dan paling sensitif dari ruptur uteri yang sedang berlangsung.</w:t>
      </w:r>
    </w:p>
    <w:p>
      <w:pPr>
        <w:pStyle w:val="ListParagraph"/>
        <w:numPr>
          <w:ilvl w:val="0"/>
          <w:numId w:val="3"/>
        </w:numPr>
        <w:spacing w:after="100" w:line="276"/>
      </w:pPr>
      <w:r>
        <w:rPr>
          <w:rFonts w:ascii="IBM Plex Sans" w:cs="IBM Plex Sans" w:eastAsia="IBM Plex Sans" w:hAnsi="IBM Plex Sans"/>
          <w:color w:val="334155"/>
          <w:sz w:val="21"/>
          <w:szCs w:val="21"/>
        </w:rPr>
        <w:t xml:space="preserve">Pemeriksaan dalam (bila terindikasi dan tanpa kontraindikasi) untuk menilai kemajuan persalinan pada kandidat TOLAC; hentikan pemeriksaan bila dicurigai plasenta previa yang belum tersingkirkan.</w:t>
      </w:r>
    </w:p>
    <w:p>
      <w:pPr>
        <w:pStyle w:val="ListParagraph"/>
        <w:numPr>
          <w:ilvl w:val="0"/>
          <w:numId w:val="3"/>
        </w:numPr>
        <w:spacing w:after="100" w:line="276"/>
      </w:pPr>
      <w:r>
        <w:rPr>
          <w:rFonts w:ascii="IBM Plex Sans" w:cs="IBM Plex Sans" w:eastAsia="IBM Plex Sans" w:hAnsi="IBM Plex Sans"/>
          <w:color w:val="334155"/>
          <w:sz w:val="21"/>
          <w:szCs w:val="21"/>
        </w:rPr>
        <w:t xml:space="preserve">Evaluasi luka parut abdomen bila terdapat riwayat komplikasi penyembuhan luka sebelumnya (hernia insisional, keloid luas).</w:t>
      </w:r>
    </w:p>
    <w:p>
      <w:pPr>
        <w:pStyle w:val="Heading1"/>
        <w:spacing w:after="160" w:before="320"/>
      </w:pPr>
      <w:r>
        <w:rPr>
          <w:rFonts w:ascii="Source Serif 4" w:cs="Source Serif 4" w:eastAsia="Source Serif 4" w:hAnsi="Source Serif 4"/>
          <w:b/>
          <w:bCs/>
          <w:color w:val="4F46E5"/>
          <w:sz w:val="30"/>
          <w:szCs w:val="30"/>
        </w:rPr>
        <w:t xml:space="preserve">4. Kriteria Diagnosis</w:t>
      </w:r>
    </w:p>
    <w:p>
      <w:pPr>
        <w:spacing w:after="160" w:line="276"/>
      </w:pPr>
      <w:r>
        <w:rPr>
          <w:rFonts w:ascii="IBM Plex Sans" w:cs="IBM Plex Sans" w:eastAsia="IBM Plex Sans" w:hAnsi="IBM Plex Sans"/>
          <w:color w:val="334155"/>
          <w:sz w:val="21"/>
          <w:szCs w:val="21"/>
        </w:rPr>
        <w:t xml:space="preserve">Diagnosis ditegakkan berdasarkan kombinasi: (a) riwayat SC terdokumentasi — dari rekam medis operasi sebelumnya, laporan operasi, atau anamnesis yang konsisten bila dokumen tidak tersedia — dan (b) konfirmasi kehamilan intrauterin berjalan melalui pemeriksaan klinis dan ultrasonografi (USG).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1300"/>
        <w:gridCol w:w="3100"/>
        <w:gridCol w:w="3100"/>
      </w:tblGrid>
      <w:tr>
        <w:trPr>
          <w:cantSplit/>
          <w:tblHeader/>
        </w:trPr>
        <w:tc>
          <w:tcPr>
            <w:tcW w:type="dxa" w:w="15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Sistem Klasifikasi</w:t>
            </w:r>
          </w:p>
        </w:tc>
        <w:tc>
          <w:tcPr>
            <w:tcW w:type="dxa" w:w="13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Kode</w:t>
            </w:r>
          </w:p>
        </w:tc>
        <w:tc>
          <w:tcPr>
            <w:tcW w:type="dxa" w:w="31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Deskriptor Resmi</w:t>
            </w:r>
          </w:p>
        </w:tc>
        <w:tc>
          <w:tcPr>
            <w:tcW w:type="dxa" w:w="31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Konteks Penggunaan</w:t>
            </w:r>
          </w:p>
        </w:tc>
      </w:tr>
      <w:tr>
        <w:trPr>
          <w:cantSplit/>
        </w:trPr>
        <w:tc>
          <w:tcPr>
            <w:tcW w:type="dxa" w:w="15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ICD-10</w:t>
            </w:r>
          </w:p>
        </w:tc>
        <w:tc>
          <w:tcPr>
            <w:tcW w:type="dxa" w:w="1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O34.2</w:t>
            </w:r>
          </w:p>
        </w:tc>
        <w:tc>
          <w:tcPr>
            <w:tcW w:type="dxa" w:w="31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Maternal care due to uterine scar from previous surgery</w:t>
            </w:r>
          </w:p>
        </w:tc>
        <w:tc>
          <w:tcPr>
            <w:tcW w:type="dxa" w:w="31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Digunakan pada seluruh episode antenatal dan intrapartum kehamilan ini yang berkaitan dengan parut uterus akibat pembedahan sebelumnya.</w:t>
            </w:r>
          </w:p>
        </w:tc>
      </w:tr>
      <w:tr>
        <w:trPr>
          <w:cantSplit/>
        </w:trPr>
        <w:tc>
          <w:tcPr>
            <w:tcW w:type="dxa" w:w="15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ICD-11</w:t>
            </w:r>
          </w:p>
        </w:tc>
        <w:tc>
          <w:tcPr>
            <w:tcW w:type="dxa" w:w="13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JA84.2</w:t>
            </w:r>
          </w:p>
        </w:tc>
        <w:tc>
          <w:tcPr>
            <w:tcW w:type="dxa" w:w="31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Maternal care due to uterine scar from previous surgery</w:t>
            </w:r>
          </w:p>
        </w:tc>
        <w:tc>
          <w:tcPr>
            <w:tcW w:type="dxa" w:w="31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Digunakan pada konteks pemantauan/perawatan antenatal kehamilan dengan riwayat SC sebelumnya.</w:t>
            </w:r>
          </w:p>
        </w:tc>
      </w:tr>
      <w:tr>
        <w:trPr>
          <w:cantSplit/>
        </w:trPr>
        <w:tc>
          <w:tcPr>
            <w:tcW w:type="dxa" w:w="15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ICD-11</w:t>
            </w:r>
          </w:p>
        </w:tc>
        <w:tc>
          <w:tcPr>
            <w:tcW w:type="dxa" w:w="1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JB0D.6</w:t>
            </w:r>
          </w:p>
        </w:tc>
        <w:tc>
          <w:tcPr>
            <w:tcW w:type="dxa" w:w="31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Vaginal delivery following previous caesarean section</w:t>
            </w:r>
          </w:p>
        </w:tc>
        <w:tc>
          <w:tcPr>
            <w:tcW w:type="dxa" w:w="31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Digunakan pada konteks intrapartum, yaitu saat persalinan pervaginam berhasil dicapai pada kehamilan dengan riwayat SC (VBAC).</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Kode ICD-10 O34.2 dan ICD-11 JA84.2 ; JB0D.6 dirujuk dari kolom Icd-10 dan Icd-11 baris No. 11, Tabel 7, Lampiran Kepkonsil No. HK.01.02/KKI/1318/2026, dengan deskriptor resmi sesuai tabel WHO ICD-10 dan ICD-11 Maternity Chapter.</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dirumuskan sebagai: “Kehamilan [usia gestasi] minggu dengan riwayat seksio sesarea [jumlah]×, [indikasi SC terdahulu bila diketahui]”, disertai penetapan kandidat TOLAC atau kandidat ERCS berdasarkan kriteria seleksi.</w:t>
      </w:r>
    </w:p>
    <w:p>
      <w:pPr>
        <w:pStyle w:val="ListParagraph"/>
        <w:numPr>
          <w:ilvl w:val="0"/>
          <w:numId w:val="4"/>
        </w:numPr>
        <w:spacing w:after="100" w:line="276"/>
      </w:pPr>
      <w:r>
        <w:rPr>
          <w:rFonts w:ascii="IBM Plex Sans" w:cs="IBM Plex Sans" w:eastAsia="IBM Plex Sans" w:hAnsi="IBM Plex Sans"/>
          <w:color w:val="334155"/>
          <w:sz w:val="21"/>
          <w:szCs w:val="21"/>
        </w:rPr>
        <w:t xml:space="preserve">Nyeri abdomen akibat penyebab non-obstetri (apendisitis, kolesistitis, infeksi saluran kemih) — disingkirkan melalui anamnesis, pemeriksaan fisik terarah, dan penunjang laboratorium bila perlu.</w:t>
      </w:r>
    </w:p>
    <w:p>
      <w:pPr>
        <w:pStyle w:val="ListParagraph"/>
        <w:numPr>
          <w:ilvl w:val="0"/>
          <w:numId w:val="4"/>
        </w:numPr>
        <w:spacing w:after="100" w:line="276"/>
      </w:pPr>
      <w:r>
        <w:rPr>
          <w:rFonts w:ascii="IBM Plex Sans" w:cs="IBM Plex Sans" w:eastAsia="IBM Plex Sans" w:hAnsi="IBM Plex Sans"/>
          <w:color w:val="334155"/>
          <w:sz w:val="21"/>
          <w:szCs w:val="21"/>
        </w:rPr>
        <w:t xml:space="preserve">Dehisensi uterus asimtomatik (defek parsial tanpa gejala, tanpa perdarahan aktif atau gawat janin) versus ruptur uteri komplit (gejala akut, gawat janin, tanda syok) — dibedakan melalui evaluasi klinis mendesak dan bila perlu eksplorasi bedah.</w:t>
      </w:r>
    </w:p>
    <w:p>
      <w:pPr>
        <w:pStyle w:val="ListParagraph"/>
        <w:numPr>
          <w:ilvl w:val="0"/>
          <w:numId w:val="4"/>
        </w:numPr>
        <w:spacing w:after="100" w:line="276"/>
      </w:pPr>
      <w:r>
        <w:rPr>
          <w:rFonts w:ascii="IBM Plex Sans" w:cs="IBM Plex Sans" w:eastAsia="IBM Plex Sans" w:hAnsi="IBM Plex Sans"/>
          <w:color w:val="334155"/>
          <w:sz w:val="21"/>
          <w:szCs w:val="21"/>
        </w:rPr>
        <w:t xml:space="preserve">Plasenta akreta spektrum — kecurigaan meningkat bermakna bila terdapat kombinasi plasenta previa dan riwayat SC; dibedakan melalui USG dengan penilaian invasi miometrium/serosa.</w:t>
      </w:r>
    </w:p>
    <w:p>
      <w:pPr>
        <w:pStyle w:val="ListParagraph"/>
        <w:numPr>
          <w:ilvl w:val="0"/>
          <w:numId w:val="4"/>
        </w:numPr>
        <w:spacing w:after="100" w:line="276"/>
      </w:pPr>
      <w:r>
        <w:rPr>
          <w:rFonts w:ascii="IBM Plex Sans" w:cs="IBM Plex Sans" w:eastAsia="IBM Plex Sans" w:hAnsi="IBM Plex Sans"/>
          <w:color w:val="334155"/>
          <w:sz w:val="21"/>
          <w:szCs w:val="21"/>
        </w:rPr>
        <w:t xml:space="preserve">Kehamilan dengan parut uterus akibat prosedur bedah uterus lain (miomektomi transmural, metroplasti, perforasi uterus sebelumnya) — anamnesis riwayat bedah non-SC penting karena risiko ruptur pada parut tersebut dianggap setara dengan parut SC klasik.</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pStyle w:val="ListParagraph"/>
        <w:numPr>
          <w:ilvl w:val="0"/>
          <w:numId w:val="5"/>
        </w:numPr>
        <w:spacing w:after="100" w:line="276"/>
      </w:pPr>
      <w:r>
        <w:rPr>
          <w:rFonts w:ascii="IBM Plex Sans" w:cs="IBM Plex Sans" w:eastAsia="IBM Plex Sans" w:hAnsi="IBM Plex Sans"/>
          <w:color w:val="334155"/>
          <w:sz w:val="21"/>
          <w:szCs w:val="21"/>
        </w:rPr>
        <w:t xml:space="preserve">Ultrasonografi (USG) obstetri rutin sesuai jadwal antenatal standar, dengan perhatian khusus pada lokasi implantasi plasenta (skrining plasenta previa) dan, pada trimester ketiga, penilaian ketebalan segmen bawah rahim pada fasilitas dengan kapasitas dan protokol yang memadai sebagai bagian dari stratifikasi risiko sebelum konseling modus persalinan.</w:t>
      </w:r>
    </w:p>
    <w:p>
      <w:pPr>
        <w:pStyle w:val="ListParagraph"/>
        <w:numPr>
          <w:ilvl w:val="0"/>
          <w:numId w:val="5"/>
        </w:numPr>
        <w:spacing w:after="100" w:line="276"/>
      </w:pPr>
      <w:r>
        <w:rPr>
          <w:rFonts w:ascii="IBM Plex Sans" w:cs="IBM Plex Sans" w:eastAsia="IBM Plex Sans" w:hAnsi="IBM Plex Sans"/>
          <w:color w:val="334155"/>
          <w:sz w:val="21"/>
          <w:szCs w:val="21"/>
        </w:rPr>
        <w:t xml:space="preserve">USG dengan Doppler warna pada kecurigaan plasenta akreta spektrum (plasenta previa disertai riwayat SC): evaluasi lakuna vaskular intraplasenta, hilangnya zona hipoekoik retroplasenta, dan penipisan miometrium.</w:t>
      </w:r>
    </w:p>
    <w:p>
      <w:pPr>
        <w:pStyle w:val="ListParagraph"/>
        <w:numPr>
          <w:ilvl w:val="0"/>
          <w:numId w:val="5"/>
        </w:numPr>
        <w:spacing w:after="100" w:line="276"/>
      </w:pPr>
      <w:r>
        <w:rPr>
          <w:rFonts w:ascii="IBM Plex Sans" w:cs="IBM Plex Sans" w:eastAsia="IBM Plex Sans" w:hAnsi="IBM Plex Sans"/>
          <w:color w:val="334155"/>
          <w:sz w:val="21"/>
          <w:szCs w:val="21"/>
        </w:rPr>
        <w:t xml:space="preserve">Magnetic resonance imaging (MRI) panggul selektif sebagai penunjang tambahan pada kasus kecurigaan akreta kompleks yang memerlukan perencanaan bedah multidisiplin, terutama bila plasenta terletak posterior atau perluasan invasi tidak dapat dinilai optimal dengan USG.</w:t>
      </w:r>
    </w:p>
    <w:p>
      <w:pPr>
        <w:pStyle w:val="ListParagraph"/>
        <w:numPr>
          <w:ilvl w:val="0"/>
          <w:numId w:val="5"/>
        </w:numPr>
        <w:spacing w:after="100" w:line="276"/>
      </w:pPr>
      <w:r>
        <w:rPr>
          <w:rFonts w:ascii="IBM Plex Sans" w:cs="IBM Plex Sans" w:eastAsia="IBM Plex Sans" w:hAnsi="IBM Plex Sans"/>
          <w:color w:val="334155"/>
          <w:sz w:val="21"/>
          <w:szCs w:val="21"/>
        </w:rPr>
        <w:t xml:space="preserve">Kardiotokografi (CTG)/non-stress test (NST) intrapartum kontinu pada kandidat TOLAC — merupakan modalitas pemantauan utama untuk deteksi dini tanda gawat janin sebagai penanda tersering ruptur uteri.</w:t>
      </w:r>
    </w:p>
    <w:p>
      <w:pPr>
        <w:pStyle w:val="ListParagraph"/>
        <w:numPr>
          <w:ilvl w:val="0"/>
          <w:numId w:val="5"/>
        </w:numPr>
        <w:spacing w:after="100" w:line="276"/>
      </w:pPr>
      <w:r>
        <w:rPr>
          <w:rFonts w:ascii="IBM Plex Sans" w:cs="IBM Plex Sans" w:eastAsia="IBM Plex Sans" w:hAnsi="IBM Plex Sans"/>
          <w:color w:val="334155"/>
          <w:sz w:val="21"/>
          <w:szCs w:val="21"/>
        </w:rPr>
        <w:t xml:space="preserve">Pemeriksaan laboratorium antenatal standar (darah lengkap, golongan darah dan rhesus, gula darah, urinalisis) sesuai protokol antenatal umum; pemeriksaan tambahan sesuai komorbid yang menyertai.</w:t>
      </w:r>
    </w:p>
    <w:p>
      <w:pPr>
        <w:pStyle w:val="Heading1"/>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6"/>
        </w:numPr>
        <w:spacing w:after="100" w:line="276"/>
      </w:pPr>
      <w:r>
        <w:rPr>
          <w:rFonts w:ascii="IBM Plex Sans" w:cs="IBM Plex Sans" w:eastAsia="IBM Plex Sans" w:hAnsi="IBM Plex Sans"/>
          <w:color w:val="334155"/>
          <w:sz w:val="21"/>
          <w:szCs w:val="21"/>
        </w:rPr>
        <w:t xml:space="preserve">Konseling modus persalinan berbasis shared decision making, difinalisasi paling lambat pada usia kehamilan 36 minggu: pembahasan seimbang manfaat dan risiko TOLAC/VBAC dibandingkan ERCS, didokumentasikan dalam rekam medis beserta persetujuan tindakan (informed consent) dan disertai lembar edukasi pasien.</w:t>
      </w:r>
    </w:p>
    <w:p>
      <w:pPr>
        <w:pStyle w:val="ListParagraph"/>
        <w:numPr>
          <w:ilvl w:val="0"/>
          <w:numId w:val="6"/>
        </w:numPr>
        <w:spacing w:after="100" w:line="276"/>
      </w:pPr>
      <w:r>
        <w:rPr>
          <w:rFonts w:ascii="IBM Plex Sans" w:cs="IBM Plex Sans" w:eastAsia="IBM Plex Sans" w:hAnsi="IBM Plex Sans"/>
          <w:color w:val="334155"/>
          <w:sz w:val="21"/>
          <w:szCs w:val="21"/>
        </w:rPr>
        <w:t xml:space="preserve">Estimasi peluang keberhasilan VBAC dapat dibantu dengan kalkulator prediksi berbasis model regresi logistik yang dikembangkan oleh jaringan Maternal-Fetal Medicine Units (MFMU) — mempertimbangkan usia maternal, indeks massa tubuh, indikasi SC terdahulu, riwayat persalinan pervaginam atau VBAC sebelumnya, dan parameter saat masuk persalinan (dilatasi serviks, station janin) — sebagai alat bantu konseling, bukan penentu tunggal keputusan klinis.</w:t>
      </w:r>
    </w:p>
    <w:p>
      <w:pPr>
        <w:pStyle w:val="ListParagraph"/>
        <w:numPr>
          <w:ilvl w:val="0"/>
          <w:numId w:val="6"/>
        </w:numPr>
        <w:spacing w:after="100" w:line="276"/>
      </w:pPr>
      <w:r>
        <w:rPr>
          <w:rFonts w:ascii="IBM Plex Sans" w:cs="IBM Plex Sans" w:eastAsia="IBM Plex Sans" w:hAnsi="IBM Plex Sans"/>
          <w:color w:val="334155"/>
          <w:sz w:val="21"/>
          <w:szCs w:val="21"/>
        </w:rPr>
        <w:t xml:space="preserve">Penilaian kelayakan kandidat TOLAC menggunakan kriteria standar: riwayat SC segmen bawah rahim transversal (umumnya 1×, dapat dipertimbangkan pada beberapa kasus 2× dengan konseling obstetri senior), tidak ada riwayat ruptur uteri sebelumnya, tidak ada kontraindikasi persalinan pervaginam lain, dan tersedianya fasilitas dengan kemampuan seksio sesarea emergensi segera.</w:t>
      </w:r>
    </w:p>
    <w:p>
      <w:pPr>
        <w:pStyle w:val="ListParagraph"/>
        <w:numPr>
          <w:ilvl w:val="0"/>
          <w:numId w:val="6"/>
        </w:numPr>
        <w:spacing w:after="100" w:line="276"/>
      </w:pPr>
      <w:r>
        <w:rPr>
          <w:rFonts w:ascii="IBM Plex Sans" w:cs="IBM Plex Sans" w:eastAsia="IBM Plex Sans" w:hAnsi="IBM Plex Sans"/>
          <w:color w:val="334155"/>
          <w:sz w:val="21"/>
          <w:szCs w:val="21"/>
        </w:rPr>
        <w:t xml:space="preserve">Persalinan bagi kandidat TOLAC wajib dilaksanakan di fasilitas dengan kapasitas kamar operasi, tim anestesi, dan tim bedah yang siap melakukan SC emergensi tanpa penundaan berarti — persalinan di fasilitas tanpa kemampuan tersebut merupakan kontraindikasi.</w:t>
      </w:r>
    </w:p>
    <w:p>
      <w:pPr>
        <w:pStyle w:val="ListParagraph"/>
        <w:numPr>
          <w:ilvl w:val="0"/>
          <w:numId w:val="6"/>
        </w:numPr>
        <w:spacing w:after="100" w:line="276"/>
      </w:pPr>
      <w:r>
        <w:rPr>
          <w:rFonts w:ascii="IBM Plex Sans" w:cs="IBM Plex Sans" w:eastAsia="IBM Plex Sans" w:hAnsi="IBM Plex Sans"/>
          <w:color w:val="334155"/>
          <w:sz w:val="21"/>
          <w:szCs w:val="21"/>
        </w:rPr>
        <w:t xml:space="preserve">Pemantauan intrapartum kontinu (CTG kontinu, evaluasi kemajuan persalinan berkala, kewaspadaan terhadap tanda bahaya) pada seluruh kandidat TOLAC yang menjalani persalinan aktif.</w:t>
      </w:r>
    </w:p>
    <w:p>
      <w:pPr>
        <w:pStyle w:val="ListParagraph"/>
        <w:numPr>
          <w:ilvl w:val="0"/>
          <w:numId w:val="6"/>
        </w:numPr>
        <w:spacing w:after="100" w:line="276"/>
      </w:pPr>
      <w:r>
        <w:rPr>
          <w:rFonts w:ascii="IBM Plex Sans" w:cs="IBM Plex Sans" w:eastAsia="IBM Plex Sans" w:hAnsi="IBM Plex Sans"/>
          <w:color w:val="334155"/>
          <w:sz w:val="21"/>
          <w:szCs w:val="21"/>
        </w:rPr>
        <w:t xml:space="preserve">Penjadwalan ERCS pada usia kehamilan 39 minggu atau lebih untuk kasus yang memilih atau diindikasikan repeat cesarean, guna menghindari morbiditas neonatal terkait kelahiran prematur elektif.</w:t>
      </w:r>
    </w:p>
    <w:p>
      <w:pPr>
        <w:pStyle w:val="Heading2"/>
        <w:spacing w:after="120" w:before="22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7"/>
        </w:numPr>
        <w:spacing w:after="100" w:line="276"/>
      </w:pPr>
      <w:r>
        <w:rPr>
          <w:rFonts w:ascii="IBM Plex Sans" w:cs="IBM Plex Sans" w:eastAsia="IBM Plex Sans" w:hAnsi="IBM Plex Sans"/>
          <w:color w:val="334155"/>
          <w:sz w:val="21"/>
          <w:szCs w:val="21"/>
        </w:rPr>
        <w:t xml:space="preserve">Induksi persalinan menggunakan prostaglandin (misoprostol maupun dinoprostone) tidak direkomendasikan pada kandidat TOLAC karena berasosiasi dengan peningkatan risiko ruptur uteri yang bermakna.</w:t>
      </w:r>
    </w:p>
    <w:p>
      <w:pPr>
        <w:pStyle w:val="ListParagraph"/>
        <w:numPr>
          <w:ilvl w:val="0"/>
          <w:numId w:val="7"/>
        </w:numPr>
        <w:spacing w:after="100" w:line="276"/>
      </w:pPr>
      <w:r>
        <w:rPr>
          <w:rFonts w:ascii="IBM Plex Sans" w:cs="IBM Plex Sans" w:eastAsia="IBM Plex Sans" w:hAnsi="IBM Plex Sans"/>
          <w:color w:val="334155"/>
          <w:sz w:val="21"/>
          <w:szCs w:val="21"/>
        </w:rPr>
        <w:t xml:space="preserve">Augmentasi persalinan dengan oksitosin dapat dipertimbangkan pada kandidat TOLAC dengan kemajuan persalinan lambat, namun wajib dilakukan dengan dosis titrasi hati-hati dan pemantauan kontraksi serta DJJ kontinu, mengingat augmentasi juga berasosiasi dengan peningkatan risiko ruptur dibandingkan persalinan spontan tanpa augmentasi.</w:t>
      </w:r>
    </w:p>
    <w:p>
      <w:pPr>
        <w:pStyle w:val="ListParagraph"/>
        <w:numPr>
          <w:ilvl w:val="0"/>
          <w:numId w:val="7"/>
        </w:numPr>
        <w:spacing w:after="100" w:line="276"/>
      </w:pPr>
      <w:r>
        <w:rPr>
          <w:rFonts w:ascii="IBM Plex Sans" w:cs="IBM Plex Sans" w:eastAsia="IBM Plex Sans" w:hAnsi="IBM Plex Sans"/>
          <w:color w:val="334155"/>
          <w:sz w:val="21"/>
          <w:szCs w:val="21"/>
        </w:rPr>
        <w:t xml:space="preserve">Profilaksis antibiotik perioperatif standar diberikan sebelum insisi kulit pada setiap tindakan ERCS maupun SC emergensi, sesuai protokol pencegahan infeksi luka operasi rumah sakit.</w:t>
      </w:r>
    </w:p>
    <w:p>
      <w:pPr>
        <w:pStyle w:val="ListParagraph"/>
        <w:numPr>
          <w:ilvl w:val="0"/>
          <w:numId w:val="7"/>
        </w:numPr>
        <w:spacing w:after="100" w:line="276"/>
      </w:pPr>
      <w:r>
        <w:rPr>
          <w:rFonts w:ascii="IBM Plex Sans" w:cs="IBM Plex Sans" w:eastAsia="IBM Plex Sans" w:hAnsi="IBM Plex Sans"/>
          <w:color w:val="334155"/>
          <w:sz w:val="21"/>
          <w:szCs w:val="21"/>
        </w:rPr>
        <w:t xml:space="preserve">Analgesia epidural tidak dikontraindikasikan pada TOLAC dan dapat digunakan sesuai kebutuhan; nyeri baru yang tidak berkurang dengan analgesia epidural yang adekuat merupakan salah satu tanda kewaspadaan ruptur uteri dan wajib dievaluasi segera.</w:t>
      </w:r>
    </w:p>
    <w:p>
      <w:pPr>
        <w:pStyle w:val="Heading2"/>
        <w:spacing w:after="120" w:before="22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8"/>
        </w:numPr>
        <w:spacing w:after="100" w:line="276"/>
      </w:pPr>
      <w:r>
        <w:rPr>
          <w:rFonts w:ascii="IBM Plex Sans" w:cs="IBM Plex Sans" w:eastAsia="IBM Plex Sans" w:hAnsi="IBM Plex Sans"/>
          <w:color w:val="334155"/>
          <w:sz w:val="21"/>
          <w:szCs w:val="21"/>
        </w:rPr>
        <w:t xml:space="preserve">Elective repeat cesarean section (ERCS) terjadwal pada kandidat yang memilih atau diindikasikan repeat cesarean, dengan evaluasi intraoperatif kondisi parut uterus sebelumnya dan dokumentasi lengkap untuk kepentingan kehamilan berikutnya.</w:t>
      </w:r>
    </w:p>
    <w:p>
      <w:pPr>
        <w:pStyle w:val="ListParagraph"/>
        <w:numPr>
          <w:ilvl w:val="0"/>
          <w:numId w:val="8"/>
        </w:numPr>
        <w:spacing w:after="100" w:line="276"/>
      </w:pPr>
      <w:r>
        <w:rPr>
          <w:rFonts w:ascii="IBM Plex Sans" w:cs="IBM Plex Sans" w:eastAsia="IBM Plex Sans" w:hAnsi="IBM Plex Sans"/>
          <w:color w:val="334155"/>
          <w:sz w:val="21"/>
          <w:szCs w:val="21"/>
        </w:rPr>
        <w:t xml:space="preserve">Laparotomi/seksio sesarea emergensi segera pada kecurigaan klinis ruptur uteri (perubahan mendadak pola DJJ, nyeri hebat menetap, perdarahan pervaginam baru, hilangnya kontraksi/kemajuan persalinan, tanda syok) — waktu keputusan-hingga-insisi (decision-to-incision) diusahakan sesingkat mungkin sesuai kapasitas fasilitas.</w:t>
      </w:r>
    </w:p>
    <w:p>
      <w:pPr>
        <w:pStyle w:val="ListParagraph"/>
        <w:numPr>
          <w:ilvl w:val="0"/>
          <w:numId w:val="8"/>
        </w:numPr>
        <w:spacing w:after="100" w:line="276"/>
      </w:pPr>
      <w:r>
        <w:rPr>
          <w:rFonts w:ascii="IBM Plex Sans" w:cs="IBM Plex Sans" w:eastAsia="IBM Plex Sans" w:hAnsi="IBM Plex Sans"/>
          <w:color w:val="334155"/>
          <w:sz w:val="21"/>
          <w:szCs w:val="21"/>
        </w:rPr>
        <w:t xml:space="preserve">Manajemen operatif ruptur uteri disesuaikan luas robekan: reparasi primer bila memungkinkan, atau histerektomi pada robekan luas/tidak dapat direparasi dengan perdarahan tidak terkendali, mengikuti prinsip damage control obstetri.</w:t>
      </w:r>
    </w:p>
    <w:p>
      <w:pPr>
        <w:pStyle w:val="ListParagraph"/>
        <w:numPr>
          <w:ilvl w:val="0"/>
          <w:numId w:val="8"/>
        </w:numPr>
        <w:spacing w:after="100" w:line="276"/>
      </w:pPr>
      <w:r>
        <w:rPr>
          <w:rFonts w:ascii="IBM Plex Sans" w:cs="IBM Plex Sans" w:eastAsia="IBM Plex Sans" w:hAnsi="IBM Plex Sans"/>
          <w:color w:val="334155"/>
          <w:sz w:val="21"/>
          <w:szCs w:val="21"/>
        </w:rPr>
        <w:t xml:space="preserve">Pada kecurigaan plasenta akreta spektrum yang terkonfirmasi penunjang, perencanaan bedah multidisiplin (obstetri, anestesi, bank darah, kadang urologi) dilakukan sebelum persalinan sesuai kaidah tata laksana plasenta akreta spektrum.</w:t>
      </w:r>
    </w:p>
    <w:p>
      <w:pPr>
        <w:pStyle w:val="Heading2"/>
        <w:spacing w:after="120" w:before="22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9"/>
        </w:numPr>
        <w:spacing w:after="100" w:line="276"/>
      </w:pPr>
      <w:r>
        <w:rPr>
          <w:rFonts w:ascii="IBM Plex Sans" w:cs="IBM Plex Sans" w:eastAsia="IBM Plex Sans" w:hAnsi="IBM Plex Sans"/>
          <w:color w:val="334155"/>
          <w:sz w:val="21"/>
          <w:szCs w:val="21"/>
        </w:rPr>
        <w:t xml:space="preserve">Riwayat SC ≥2× dengan rencana atau permintaan TOLAC.</w:t>
      </w:r>
    </w:p>
    <w:p>
      <w:pPr>
        <w:pStyle w:val="ListParagraph"/>
        <w:numPr>
          <w:ilvl w:val="0"/>
          <w:numId w:val="9"/>
        </w:numPr>
        <w:spacing w:after="100" w:line="276"/>
      </w:pPr>
      <w:r>
        <w:rPr>
          <w:rFonts w:ascii="IBM Plex Sans" w:cs="IBM Plex Sans" w:eastAsia="IBM Plex Sans" w:hAnsi="IBM Plex Sans"/>
          <w:color w:val="334155"/>
          <w:sz w:val="21"/>
          <w:szCs w:val="21"/>
        </w:rPr>
        <w:t xml:space="preserve">Kecurigaan plasenta akreta spektrum berdasarkan penunjang (plasenta previa disertai riwayat SC).</w:t>
      </w:r>
    </w:p>
    <w:p>
      <w:pPr>
        <w:pStyle w:val="ListParagraph"/>
        <w:numPr>
          <w:ilvl w:val="0"/>
          <w:numId w:val="9"/>
        </w:numPr>
        <w:spacing w:after="100" w:line="276"/>
      </w:pPr>
      <w:r>
        <w:rPr>
          <w:rFonts w:ascii="IBM Plex Sans" w:cs="IBM Plex Sans" w:eastAsia="IBM Plex Sans" w:hAnsi="IBM Plex Sans"/>
          <w:color w:val="334155"/>
          <w:sz w:val="21"/>
          <w:szCs w:val="21"/>
        </w:rPr>
        <w:t xml:space="preserve">Riwayat insisi uterus klasik, insisi-T, atau riwayat pembedahan uterus transmural lain (misalnya miomektomi luas).</w:t>
      </w:r>
    </w:p>
    <w:p>
      <w:pPr>
        <w:pStyle w:val="ListParagraph"/>
        <w:numPr>
          <w:ilvl w:val="0"/>
          <w:numId w:val="9"/>
        </w:numPr>
        <w:spacing w:after="100" w:line="276"/>
      </w:pPr>
      <w:r>
        <w:rPr>
          <w:rFonts w:ascii="IBM Plex Sans" w:cs="IBM Plex Sans" w:eastAsia="IBM Plex Sans" w:hAnsi="IBM Plex Sans"/>
          <w:color w:val="334155"/>
          <w:sz w:val="21"/>
          <w:szCs w:val="21"/>
        </w:rPr>
        <w:t xml:space="preserve">Interval antar-kehamilan pendek (&lt;18 bulan) yang berasosiasi dengan peningkatan risiko ruptur uteri.</w:t>
      </w:r>
    </w:p>
    <w:p>
      <w:pPr>
        <w:pStyle w:val="ListParagraph"/>
        <w:numPr>
          <w:ilvl w:val="0"/>
          <w:numId w:val="9"/>
        </w:numPr>
        <w:spacing w:after="100" w:line="276"/>
      </w:pPr>
      <w:r>
        <w:rPr>
          <w:rFonts w:ascii="IBM Plex Sans" w:cs="IBM Plex Sans" w:eastAsia="IBM Plex Sans" w:hAnsi="IBM Plex Sans"/>
          <w:color w:val="334155"/>
          <w:sz w:val="21"/>
          <w:szCs w:val="21"/>
        </w:rPr>
        <w:t xml:space="preserve">Kehamilan dengan komorbid maternal signifikan yang menyertai (obesitas berat, hipertensi, diabetes) yang memengaruhi pemilihan dan keamanan modus persalinan.</w:t>
      </w:r>
    </w:p>
    <w:p>
      <w:pPr>
        <w:pStyle w:val="ListParagraph"/>
        <w:numPr>
          <w:ilvl w:val="0"/>
          <w:numId w:val="9"/>
        </w:numPr>
        <w:spacing w:after="100" w:line="276"/>
      </w:pPr>
      <w:r>
        <w:rPr>
          <w:rFonts w:ascii="IBM Plex Sans" w:cs="IBM Plex Sans" w:eastAsia="IBM Plex Sans" w:hAnsi="IBM Plex Sans"/>
          <w:color w:val="334155"/>
          <w:sz w:val="21"/>
          <w:szCs w:val="21"/>
        </w:rPr>
        <w:t xml:space="preserve">Kecurigaan klinis dehisensi/ruptur uteri yang memerlukan evaluasi dan tata laksana bedah tingkat lanjut.</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KONTRIBUSI PERSPEKTIF DIVISI FETOMATERNAL</w:t>
            </w:r>
          </w:p>
          <w:p>
            <w:r>
              <w:rPr>
                <w:rFonts w:ascii="IBM Plex Sans" w:cs="IBM Plex Sans" w:eastAsia="IBM Plex Sans" w:hAnsi="IBM Plex Sans"/>
                <w:color w:val="334155"/>
                <w:sz w:val="20"/>
                <w:szCs w:val="20"/>
              </w:rPr>
              <w:t xml:space="preserve">Subspesialis Fetomaternal berperan dalam stratifikasi risiko pra-persalinan (skrining ultrasonografi segmen bawah rahim dan plasenta akreta spektrum), penyusunan rencana persalinan individual untuk kasus SC berulang atau berisiko tinggi, serta pengambilan keputusan bedah kompleks pada kecurigaan ruptur uteri atau invasi plasenta abnormal.</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60"/>
              <w:left w:type="dxa" w:w="220"/>
              <w:bottom w:type="dxa" w:w="160"/>
              <w:right w:type="dxa" w:w="22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Kepkonsil No. HK.01.02/KKI/1318/2026, Lampiran Bab II Area Kompetensi Medis: kompetensi “Persalinan pervaginam pada bekas seksio sesarea (vaginal birth after cesarean – VBAC)” meliputi seleksi pasien sesuai kriteria VBAC, monitoring ketat DJJ dan kontraksi, penanganan kala persalinan, serta dokumentasi dan informed consent; indikator capaian meliputi tingkat keberhasilan VBAC dan komplikasi ruptur uteri, dengan syarat minimal ≥3 kasus VBAC terdokumentasi. Kompetensi kognitif setara mencakup evaluasi kriteria kandidat VBAC, perbandingan keberhasilan versus risiko ruptur, dan penyusunan protokol monitoring, dengan ambang kelulusan MCQ ≥70% dan OSCE ≥70%.</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0"/>
        </w:numPr>
        <w:spacing w:after="100" w:line="276"/>
      </w:pPr>
      <w:r>
        <w:rPr>
          <w:rFonts w:ascii="IBM Plex Sans" w:cs="IBM Plex Sans" w:eastAsia="IBM Plex Sans" w:hAnsi="IBM Plex Sans"/>
          <w:color w:val="334155"/>
          <w:sz w:val="21"/>
          <w:szCs w:val="21"/>
        </w:rPr>
        <w:t xml:space="preserve">Penjelasan seimbang mengenai manfaat dan risiko TOLAC/VBAC dibandingkan ERCS, disesuaikan dengan faktor risiko individual pasien, tanpa memaksakan satu pilihan.</w:t>
      </w:r>
    </w:p>
    <w:p>
      <w:pPr>
        <w:pStyle w:val="ListParagraph"/>
        <w:numPr>
          <w:ilvl w:val="0"/>
          <w:numId w:val="10"/>
        </w:numPr>
        <w:spacing w:after="100" w:line="276"/>
      </w:pPr>
      <w:r>
        <w:rPr>
          <w:rFonts w:ascii="IBM Plex Sans" w:cs="IBM Plex Sans" w:eastAsia="IBM Plex Sans" w:hAnsi="IBM Plex Sans"/>
          <w:color w:val="334155"/>
          <w:sz w:val="21"/>
          <w:szCs w:val="21"/>
        </w:rPr>
        <w:t xml:space="preserve">Edukasi tanda bahaya yang wajib segera dilaporkan: nyeri perut hebat menetap terutama di lokasi bekas luka, perdarahan pervaginam, perubahan pola gerak janin, demam.</w:t>
      </w:r>
    </w:p>
    <w:p>
      <w:pPr>
        <w:pStyle w:val="ListParagraph"/>
        <w:numPr>
          <w:ilvl w:val="0"/>
          <w:numId w:val="10"/>
        </w:numPr>
        <w:spacing w:after="100" w:line="276"/>
      </w:pPr>
      <w:r>
        <w:rPr>
          <w:rFonts w:ascii="IBM Plex Sans" w:cs="IBM Plex Sans" w:eastAsia="IBM Plex Sans" w:hAnsi="IBM Plex Sans"/>
          <w:color w:val="334155"/>
          <w:sz w:val="21"/>
          <w:szCs w:val="21"/>
        </w:rPr>
        <w:t xml:space="preserve">Penjelasan pentingnya bersalin di fasilitas kesehatan dengan kapasitas seksio sesarea emergensi, dan risiko persalinan di luar fasilitas tersebut bagi kandidat TOLAC.</w:t>
      </w:r>
    </w:p>
    <w:p>
      <w:pPr>
        <w:pStyle w:val="ListParagraph"/>
        <w:numPr>
          <w:ilvl w:val="0"/>
          <w:numId w:val="10"/>
        </w:numPr>
        <w:spacing w:after="100" w:line="276"/>
      </w:pPr>
      <w:r>
        <w:rPr>
          <w:rFonts w:ascii="IBM Plex Sans" w:cs="IBM Plex Sans" w:eastAsia="IBM Plex Sans" w:hAnsi="IBM Plex Sans"/>
          <w:color w:val="334155"/>
          <w:sz w:val="21"/>
          <w:szCs w:val="21"/>
        </w:rPr>
        <w:t xml:space="preserve">Diskusi rencana persalinan tertulis (birth plan) yang disepakati bersama, termasuk rencana cadangan bila TOLAC tidak berhasil atau timbul komplikasi.</w:t>
      </w:r>
    </w:p>
    <w:p>
      <w:pPr>
        <w:pStyle w:val="ListParagraph"/>
        <w:numPr>
          <w:ilvl w:val="0"/>
          <w:numId w:val="10"/>
        </w:numPr>
        <w:spacing w:after="100" w:line="276"/>
      </w:pPr>
      <w:r>
        <w:rPr>
          <w:rFonts w:ascii="IBM Plex Sans" w:cs="IBM Plex Sans" w:eastAsia="IBM Plex Sans" w:hAnsi="IBM Plex Sans"/>
          <w:color w:val="334155"/>
          <w:sz w:val="21"/>
          <w:szCs w:val="21"/>
        </w:rPr>
        <w:t xml:space="preserve">Edukasi kontrasepsi dan perencanaan jarak kehamilan berikutnya, mengingat interval antar-kehamilan yang lebih panjang berasosiasi dengan risiko ruptur uteri yang lebih rendah pada kehamilan mendatang.</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1"/>
          <w:szCs w:val="21"/>
        </w:rPr>
        <w:t xml:space="preserve">Prognosis pada kandidat TOLAC dengan seleksi yang tepat umumnya baik. Tinjauan RCOG melaporkan angka keberhasilan VBAC sekitar 72–75% pada persalinan spontan, meningkat hingga 85–90% pada perempuan dengan riwayat persalinan pervaginam sebelumnya; tinjauan pustaka lain melaporkan rentang keberhasilan TOLAC secara umum sekitar 60–80% tergantung karakteristik populasi dan kriteria seleksi. Risiko ruptur uteri simtomatik pada TOLAC dilaporkan ACOG berada pada kisaran 0,5–0,9%.</w:t>
      </w:r>
    </w:p>
    <w:p>
      <w:pPr>
        <w:spacing w:after="160" w:line="276"/>
      </w:pPr>
      <w:r>
        <w:rPr>
          <w:rFonts w:ascii="IBM Plex Sans" w:cs="IBM Plex Sans" w:eastAsia="IBM Plex Sans" w:hAnsi="IBM Plex Sans"/>
          <w:color w:val="334155"/>
          <w:sz w:val="21"/>
          <w:szCs w:val="21"/>
        </w:rPr>
        <w:t xml:space="preserve">Prognosis memburuk secara bermakna pada riwayat SC berulang (≥2×), interval antar-kehamilan pendek (&lt;18 bulan), riwayat insisi klasik/vertikal tinggi, induksi atau augmentasi persalinan, dan pada kejadian ruptur uteri yang terlambat dikenali — kondisi terakhir ini berasosiasi dengan morbiditas dan mortalitas maternal-perinatal yang tinggi. Data insidens ruptur uteri dan tingkat keberhasilan VBAC pada populasi Indonesia secara nasional belum tercantum dalam Kepkonsil; klinisi dianjurkan merujuk pada registri dan laporan terkini dari Kementerian Kesehatan RI, BKKBN, atau POGI untuk data epidemiologi lokal terbaru.</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300"/>
        <w:gridCol w:w="1250"/>
        <w:gridCol w:w="1650"/>
        <w:gridCol w:w="2800"/>
      </w:tblGrid>
      <w:tr>
        <w:trPr>
          <w:cantSplit/>
          <w:tblHeader/>
        </w:trPr>
        <w:tc>
          <w:tcPr>
            <w:tcW w:type="dxa" w:w="33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Pernyataan Klinis</w:t>
            </w:r>
          </w:p>
        </w:tc>
        <w:tc>
          <w:tcPr>
            <w:tcW w:type="dxa" w:w="125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Tingkat Evidens</w:t>
            </w:r>
          </w:p>
        </w:tc>
        <w:tc>
          <w:tcPr>
            <w:tcW w:type="dxa" w:w="165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Grade Rekomendasi</w:t>
            </w:r>
          </w:p>
        </w:tc>
        <w:tc>
          <w:tcPr>
            <w:tcW w:type="dxa" w:w="2800"/>
            <w:shd w:fill="4F46E5" w:val="clear"/>
            <w:tcMar>
              <w:top w:type="dxa" w:w="100"/>
              <w:left w:type="dxa" w:w="120"/>
              <w:bottom w:type="dxa" w:w="100"/>
              <w:right w:type="dxa" w:w="120"/>
            </w:tcMar>
          </w:tcPr>
          <w:p>
            <w:r>
              <w:rPr>
                <w:rFonts w:ascii="IBM Plex Sans" w:cs="IBM Plex Sans" w:eastAsia="IBM Plex Sans" w:hAnsi="IBM Plex Sans"/>
                <w:b/>
                <w:bCs/>
                <w:color w:val="FFFFFF"/>
                <w:sz w:val="18"/>
                <w:szCs w:val="18"/>
              </w:rPr>
              <w:t xml:space="preserve">Sumber</w:t>
            </w:r>
          </w:p>
        </w:tc>
      </w:tr>
      <w:tr>
        <w:trPr>
          <w:cantSplit/>
        </w:trPr>
        <w:tc>
          <w:tcPr>
            <w:tcW w:type="dxa" w:w="3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TOLAC merupakan pilihan aman pada kandidat dengan seleksi tepat (1× SC segmen bawah rahim transversal, tanpa kontraindikasi lain).</w:t>
            </w:r>
          </w:p>
        </w:tc>
        <w:tc>
          <w:tcPr>
            <w:tcW w:type="dxa" w:w="12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II-2</w:t>
            </w:r>
          </w:p>
        </w:tc>
        <w:tc>
          <w:tcPr>
            <w:tcW w:type="dxa" w:w="16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w:t>
            </w:r>
          </w:p>
        </w:tc>
        <w:tc>
          <w:tcPr>
            <w:tcW w:type="dxa" w:w="28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ACOG PB No. 205 (2019, reaffirmed 2024); RCOG GTG No. 45 (2015)</w:t>
            </w:r>
          </w:p>
        </w:tc>
      </w:tr>
      <w:tr>
        <w:trPr>
          <w:cantSplit/>
        </w:trPr>
        <w:tc>
          <w:tcPr>
            <w:tcW w:type="dxa" w:w="33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Induksi persalinan dengan prostaglandin tidak direkomendasikan pada TOLAC karena meningkatkan risiko ruptur uteri.</w:t>
            </w:r>
          </w:p>
        </w:tc>
        <w:tc>
          <w:tcPr>
            <w:tcW w:type="dxa" w:w="12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II-2</w:t>
            </w:r>
          </w:p>
        </w:tc>
        <w:tc>
          <w:tcPr>
            <w:tcW w:type="dxa" w:w="16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w:t>
            </w:r>
          </w:p>
        </w:tc>
        <w:tc>
          <w:tcPr>
            <w:tcW w:type="dxa" w:w="28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ACOG PB No. 205 (2019); RCOG GTG No. 45 (2015)</w:t>
            </w:r>
          </w:p>
        </w:tc>
      </w:tr>
      <w:tr>
        <w:trPr>
          <w:cantSplit/>
        </w:trPr>
        <w:tc>
          <w:tcPr>
            <w:tcW w:type="dxa" w:w="3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Pemantauan CTG kontinu diperlukan selama persalinan aktif pada kandidat TOLAC.</w:t>
            </w:r>
          </w:p>
        </w:tc>
        <w:tc>
          <w:tcPr>
            <w:tcW w:type="dxa" w:w="12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III</w:t>
            </w:r>
          </w:p>
        </w:tc>
        <w:tc>
          <w:tcPr>
            <w:tcW w:type="dxa" w:w="16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w:t>
            </w:r>
          </w:p>
        </w:tc>
        <w:tc>
          <w:tcPr>
            <w:tcW w:type="dxa" w:w="28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RCOG GTG No. 45 (2015)</w:t>
            </w:r>
          </w:p>
        </w:tc>
      </w:tr>
      <w:tr>
        <w:trPr>
          <w:cantSplit/>
        </w:trPr>
        <w:tc>
          <w:tcPr>
            <w:tcW w:type="dxa" w:w="33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Interval antar-kehamilan pendek (&lt;18 bulan) berasosiasi dengan peningkatan risiko ruptur uteri pada TOLAC.</w:t>
            </w:r>
          </w:p>
        </w:tc>
        <w:tc>
          <w:tcPr>
            <w:tcW w:type="dxa" w:w="12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II-2</w:t>
            </w:r>
          </w:p>
        </w:tc>
        <w:tc>
          <w:tcPr>
            <w:tcW w:type="dxa" w:w="16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w:t>
            </w:r>
          </w:p>
        </w:tc>
        <w:tc>
          <w:tcPr>
            <w:tcW w:type="dxa" w:w="28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Shipp dkk., Obstet Gynecol 2001; kajian kohort populasi lanjutan</w:t>
            </w:r>
          </w:p>
        </w:tc>
      </w:tr>
      <w:tr>
        <w:trPr>
          <w:cantSplit/>
        </w:trPr>
        <w:tc>
          <w:tcPr>
            <w:tcW w:type="dxa" w:w="3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Kalkulator prediksi berbasis model MFMU dapat digunakan sebagai alat bantu konseling estimasi peluang keberhasilan VBAC.</w:t>
            </w:r>
          </w:p>
        </w:tc>
        <w:tc>
          <w:tcPr>
            <w:tcW w:type="dxa" w:w="12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II-2</w:t>
            </w:r>
          </w:p>
        </w:tc>
        <w:tc>
          <w:tcPr>
            <w:tcW w:type="dxa" w:w="16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w:t>
            </w:r>
          </w:p>
        </w:tc>
        <w:tc>
          <w:tcPr>
            <w:tcW w:type="dxa" w:w="28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Grobman dkk., Obstet Gynecol 2007; ACOG Practice Advisory 2021 (reaffirmed 2025)</w:t>
            </w:r>
          </w:p>
        </w:tc>
      </w:tr>
      <w:tr>
        <w:trPr>
          <w:cantSplit/>
        </w:trPr>
        <w:tc>
          <w:tcPr>
            <w:tcW w:type="dxa" w:w="33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Bukti acak (randomised) terbatas untuk membandingkan luaran ERCS terjadwal versus TOLAC secara langsung; keputusan berbasis shared decision making dengan bukti observasional terbaik yang tersedia.</w:t>
            </w:r>
          </w:p>
        </w:tc>
        <w:tc>
          <w:tcPr>
            <w:tcW w:type="dxa" w:w="12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 (bukti terbatas)</w:t>
            </w:r>
          </w:p>
        </w:tc>
        <w:tc>
          <w:tcPr>
            <w:tcW w:type="dxa" w:w="165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w:t>
            </w:r>
          </w:p>
        </w:tc>
        <w:tc>
          <w:tcPr>
            <w:tcW w:type="dxa" w:w="2800"/>
            <w:shd w:fill="FFFFFF"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Cochrane Database Syst Rev 2013;(12):CD004224 (Dodd dkk.)</w:t>
            </w:r>
          </w:p>
        </w:tc>
      </w:tr>
      <w:tr>
        <w:trPr>
          <w:cantSplit/>
        </w:trPr>
        <w:tc>
          <w:tcPr>
            <w:tcW w:type="dxa" w:w="33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Persalinan pada kandidat TOLAC wajib dilaksanakan di fasilitas dengan kapasitas SC emergensi segera.</w:t>
            </w:r>
          </w:p>
        </w:tc>
        <w:tc>
          <w:tcPr>
            <w:tcW w:type="dxa" w:w="12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III</w:t>
            </w:r>
          </w:p>
        </w:tc>
        <w:tc>
          <w:tcPr>
            <w:tcW w:type="dxa" w:w="165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C</w:t>
            </w:r>
          </w:p>
        </w:tc>
        <w:tc>
          <w:tcPr>
            <w:tcW w:type="dxa" w:w="2800"/>
            <w:shd w:fill="F8FAFC" w:val="clear"/>
            <w:tcMar>
              <w:top w:type="dxa" w:w="100"/>
              <w:left w:type="dxa" w:w="120"/>
              <w:bottom w:type="dxa" w:w="100"/>
              <w:right w:type="dxa" w:w="120"/>
            </w:tcMar>
          </w:tcPr>
          <w:p>
            <w:r>
              <w:rPr>
                <w:rFonts w:ascii="IBM Plex Sans" w:cs="IBM Plex Sans" w:eastAsia="IBM Plex Sans" w:hAnsi="IBM Plex Sans"/>
                <w:color w:val="334155"/>
                <w:sz w:val="18"/>
                <w:szCs w:val="18"/>
              </w:rPr>
              <w:t xml:space="preserve">Kepkonsil No. HK.01.02/KKI/1318/2026; ACOG PB No. 205 (2019)</w:t>
            </w:r>
          </w:p>
        </w:tc>
      </w:tr>
    </w:tbl>
    <w:p>
      <w:pPr>
        <w:spacing w:after="160"/>
      </w:pPr>
    </w:p>
    <w:p>
      <w:pPr>
        <w:spacing w:after="160" w:line="276"/>
      </w:pPr>
      <w:r>
        <w:rPr>
          <w:rFonts w:ascii="IBM Plex Sans" w:cs="IBM Plex Sans" w:eastAsia="IBM Plex Sans" w:hAnsi="IBM Plex Sans"/>
          <w:color w:val="334155"/>
          <w:sz w:val="21"/>
          <w:szCs w:val="21"/>
        </w:rPr>
        <w:t xml:space="preserve">Skala tingkat evidens mengikuti konvensi standar PNPK (I, II-1, II-2, II-3, III) dengan grade rekomendasi A/B/C, konsisten dengan format yang digunakan pada dokumen PNPK Kementerian Kesehatan.</w:t>
      </w:r>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1"/>
        </w:numPr>
        <w:spacing w:after="100" w:line="276"/>
      </w:pPr>
      <w:r>
        <w:rPr>
          <w:rFonts w:ascii="IBM Plex Sans" w:cs="IBM Plex Sans" w:eastAsia="IBM Plex Sans" w:hAnsi="IBM Plex Sans"/>
          <w:color w:val="334155"/>
          <w:sz w:val="21"/>
          <w:szCs w:val="21"/>
        </w:rPr>
        <w:t xml:space="preserve">≥ 90% kandidat TOLAC memperoleh konseling shared decision making yang terdokumentasi lengkap dalam rekam medis sebelum usia kehamilan 37 minggu.</w:t>
      </w:r>
    </w:p>
    <w:p>
      <w:pPr>
        <w:pStyle w:val="ListParagraph"/>
        <w:numPr>
          <w:ilvl w:val="0"/>
          <w:numId w:val="11"/>
        </w:numPr>
        <w:spacing w:after="100" w:line="276"/>
      </w:pPr>
      <w:r>
        <w:rPr>
          <w:rFonts w:ascii="IBM Plex Sans" w:cs="IBM Plex Sans" w:eastAsia="IBM Plex Sans" w:hAnsi="IBM Plex Sans"/>
          <w:color w:val="334155"/>
          <w:sz w:val="21"/>
          <w:szCs w:val="21"/>
        </w:rPr>
        <w:t xml:space="preserve">Tingkat keberhasilan persalinan pervaginam (VBAC) pada seluruh kasus yang menjalani TOLAC, dipantau dan dievaluasi berkala sesuai indikator kompetensi Kepkonsil (syarat capaian minimal ≥3 kasus VBAC per peserta didik/kompetensi individu).</w:t>
      </w:r>
    </w:p>
    <w:p>
      <w:pPr>
        <w:pStyle w:val="ListParagraph"/>
        <w:numPr>
          <w:ilvl w:val="0"/>
          <w:numId w:val="11"/>
        </w:numPr>
        <w:spacing w:after="100" w:line="276"/>
      </w:pPr>
      <w:r>
        <w:rPr>
          <w:rFonts w:ascii="IBM Plex Sans" w:cs="IBM Plex Sans" w:eastAsia="IBM Plex Sans" w:hAnsi="IBM Plex Sans"/>
          <w:color w:val="334155"/>
          <w:sz w:val="21"/>
          <w:szCs w:val="21"/>
        </w:rPr>
        <w:t xml:space="preserve">Angka komplikasi ruptur uteri pada kandidat TOLAC dipantau sebagai indikator keselamatan utama.</w:t>
      </w:r>
    </w:p>
    <w:p>
      <w:pPr>
        <w:pStyle w:val="ListParagraph"/>
        <w:numPr>
          <w:ilvl w:val="0"/>
          <w:numId w:val="11"/>
        </w:numPr>
        <w:spacing w:after="100" w:line="276"/>
      </w:pPr>
      <w:r>
        <w:rPr>
          <w:rFonts w:ascii="IBM Plex Sans" w:cs="IBM Plex Sans" w:eastAsia="IBM Plex Sans" w:hAnsi="IBM Plex Sans"/>
          <w:color w:val="334155"/>
          <w:sz w:val="21"/>
          <w:szCs w:val="21"/>
        </w:rPr>
        <w:t xml:space="preserve">Waktu keputusan-hingga-insisi (decision-to-incision time) pada SC emergensi akibat kecurigaan ruptur uteri tercatat dan dievaluasi terhadap target institusi.</w:t>
      </w:r>
    </w:p>
    <w:p>
      <w:pPr>
        <w:pStyle w:val="ListParagraph"/>
        <w:numPr>
          <w:ilvl w:val="0"/>
          <w:numId w:val="11"/>
        </w:numPr>
        <w:spacing w:after="100" w:line="276"/>
      </w:pPr>
      <w:r>
        <w:rPr>
          <w:rFonts w:ascii="IBM Plex Sans" w:cs="IBM Plex Sans" w:eastAsia="IBM Plex Sans" w:hAnsi="IBM Plex Sans"/>
          <w:color w:val="334155"/>
          <w:sz w:val="21"/>
          <w:szCs w:val="21"/>
        </w:rPr>
        <w:t xml:space="preserve">Kelengkapan dokumentasi informed consent modus persalinan pada seluruh kasus dengan riwayat SC.</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kompetensi seleksi pasien, monitoring ketat, dan penanganan kala persalinan pada VBAC sebagai kompetensi wajib spesialis (≥3 kasus VBAC terdokumentasi), namun tidak merinci algoritme skoring prediksi keberhasilan VBAC maupun protokol induksi/augmentasi secara rinci. Standar internasional berikut memperkaya — bukan menggantikan — acuan nasional tersebut.</w:t>
      </w:r>
    </w:p>
    <w:p>
      <w:pPr>
        <w:pStyle w:val="ListParagraph"/>
        <w:numPr>
          <w:ilvl w:val="0"/>
          <w:numId w:val="12"/>
        </w:numPr>
        <w:spacing w:after="100" w:line="276"/>
      </w:pPr>
      <w:r>
        <w:rPr>
          <w:rFonts w:ascii="IBM Plex Sans" w:cs="IBM Plex Sans" w:eastAsia="IBM Plex Sans" w:hAnsi="IBM Plex Sans"/>
          <w:color w:val="334155"/>
          <w:sz w:val="21"/>
          <w:szCs w:val="21"/>
        </w:rPr>
        <w:t xml:space="preserve">ACOG Practice Bulletin No. 205, Vaginal Birth After Cesarean Delivery (2019, ditegaskan ulang/reaffirmed 2024): merekomendasikan konseling TOLAC pada perempuan dengan satu riwayat SC segmen bawah rahim transversal, melaporkan angka ruptur uteri simtomatik sekitar 0,5–0,9%, dan secara eksplisit menyatakan bahwa TOLAC hanya boleh dilakukan di fasilitas dengan kemampuan SC emergensi segera — sejalan dengan ketentuan Kepkonsil.</w:t>
      </w:r>
    </w:p>
    <w:p>
      <w:pPr>
        <w:pStyle w:val="ListParagraph"/>
        <w:numPr>
          <w:ilvl w:val="0"/>
          <w:numId w:val="12"/>
        </w:numPr>
        <w:spacing w:after="100" w:line="276"/>
      </w:pPr>
      <w:r>
        <w:rPr>
          <w:rFonts w:ascii="IBM Plex Sans" w:cs="IBM Plex Sans" w:eastAsia="IBM Plex Sans" w:hAnsi="IBM Plex Sans"/>
          <w:color w:val="334155"/>
          <w:sz w:val="21"/>
          <w:szCs w:val="21"/>
        </w:rPr>
        <w:t xml:space="preserve">ACOG Practice Advisory, Counseling Regarding Approach to Delivery After Cesarean and the Use of a Vaginal Birth After Cesarean Calculator (2021, ditegaskan ulang/reaffirmed 2025): merekomendasikan penggunaan kalkulator prediksi berbasis model jaringan MFMU (dikembangkan Grobman dkk.) sebagai alat bantu konseling individual — standar nasional belum mengadopsi kalkulator serupa secara eksplisit; praktik di Indonesia tetap mengikuti kriteria seleksi kualitatif sesuai Kepkonsil, dengan kalkulator prediksi dapat dimanfaatkan sebagai alat bantu klinis tambahan bila tersedia.</w:t>
      </w:r>
    </w:p>
    <w:p>
      <w:pPr>
        <w:pStyle w:val="ListParagraph"/>
        <w:numPr>
          <w:ilvl w:val="0"/>
          <w:numId w:val="12"/>
        </w:numPr>
        <w:spacing w:after="100" w:line="276"/>
      </w:pPr>
      <w:r>
        <w:rPr>
          <w:rFonts w:ascii="IBM Plex Sans" w:cs="IBM Plex Sans" w:eastAsia="IBM Plex Sans" w:hAnsi="IBM Plex Sans"/>
          <w:color w:val="334155"/>
          <w:sz w:val="21"/>
          <w:szCs w:val="21"/>
        </w:rPr>
        <w:t xml:space="preserve">RCOG Green-top Guideline No. 45, Birth After Previous Caesarean Birth (edisi kedua, 2015): merekomendasikan penyelesaian keputusan modus persalinan paling lambat pada usia kehamilan 36 minggu, dan menyatakan perempuan dengan dua kali atau lebih riwayat SC segmen bawah rahim tetap dapat ditawarkan VBAC setelah konseling oleh obstetri senior — sejalan dengan pendekatan individual yang ditekankan Kepkonsil.</w:t>
      </w:r>
    </w:p>
    <w:p>
      <w:pPr>
        <w:pStyle w:val="ListParagraph"/>
        <w:numPr>
          <w:ilvl w:val="0"/>
          <w:numId w:val="12"/>
        </w:numPr>
        <w:spacing w:after="100" w:line="276"/>
      </w:pPr>
      <w:r>
        <w:rPr>
          <w:rFonts w:ascii="IBM Plex Sans" w:cs="IBM Plex Sans" w:eastAsia="IBM Plex Sans" w:hAnsi="IBM Plex Sans"/>
          <w:color w:val="334155"/>
          <w:sz w:val="21"/>
          <w:szCs w:val="21"/>
        </w:rPr>
        <w:t xml:space="preserve">Cochrane Database of Systematic Reviews 2013;(12):CD004224 (Dodd JM, Crowther CA, Huertas E, Guise JM, Horey D): menyimpulkan bahwa bukti uji acak terkontrol yang membandingkan ERCS terjadwal dengan TOLAC masih sangat terbatas, sehingga keputusan modus persalinan tetap bergantung pada penilaian risiko individual dan preferensi pasien — memperkuat pendekatan shared decision making yang juga ditekankan Kepkonsil.</w:t>
      </w:r>
    </w:p>
    <w:p>
      <w:pPr>
        <w:pStyle w:val="ListParagraph"/>
        <w:numPr>
          <w:ilvl w:val="0"/>
          <w:numId w:val="12"/>
        </w:numPr>
        <w:spacing w:after="100" w:line="276"/>
      </w:pPr>
      <w:r>
        <w:rPr>
          <w:rFonts w:ascii="IBM Plex Sans" w:cs="IBM Plex Sans" w:eastAsia="IBM Plex Sans" w:hAnsi="IBM Plex Sans"/>
          <w:color w:val="334155"/>
          <w:sz w:val="21"/>
          <w:szCs w:val="21"/>
        </w:rPr>
        <w:t xml:space="preserve">WHO Recommendations Non-Clinical Interventions to Reduce Unnecessary Caesarean Sections (Geneva: WHO, 2018): merekomendasikan intervensi edukasi dan konseling terstruktur bagi ibu hamil untuk mendukung pengambilan keputusan modus persalinan yang bermakna — relevan sebagai landasan pendekatan edukasi pasien pada Bagian 8 bab ini.</w:t>
      </w:r>
    </w:p>
    <w:p>
      <w:pPr>
        <w:pStyle w:val="Heading1"/>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13"/>
        </w:numPr>
        <w:spacing w:after="100" w:line="276"/>
      </w:pPr>
      <w:r>
        <w:rPr>
          <w:rFonts w:ascii="IBM Plex Sans" w:cs="IBM Plex Sans" w:eastAsia="IBM Plex Sans" w:hAnsi="IBM Plex Sans"/>
          <w:color w:val="334155"/>
          <w:sz w:val="20"/>
          <w:szCs w:val="20"/>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13"/>
        </w:numPr>
        <w:spacing w:after="100" w:line="276"/>
      </w:pPr>
      <w:r>
        <w:rPr>
          <w:rFonts w:ascii="IBM Plex Sans" w:cs="IBM Plex Sans" w:eastAsia="IBM Plex Sans" w:hAnsi="IBM Plex Sans"/>
          <w:color w:val="334155"/>
          <w:sz w:val="20"/>
          <w:szCs w:val="20"/>
        </w:rPr>
        <w:t xml:space="preserve">American College of Obstetricians and Gynecologists. ACOG Practice Bulletin No. 205: Vaginal Birth After Cesarean Delivery. Obstetrics &amp; Gynecology. 2019;133(2):e110–e127. (Reaffirmed 2024.)</w:t>
      </w:r>
    </w:p>
    <w:p>
      <w:pPr>
        <w:pStyle w:val="ListParagraph"/>
        <w:numPr>
          <w:ilvl w:val="0"/>
          <w:numId w:val="13"/>
        </w:numPr>
        <w:spacing w:after="100" w:line="276"/>
      </w:pPr>
      <w:r>
        <w:rPr>
          <w:rFonts w:ascii="IBM Plex Sans" w:cs="IBM Plex Sans" w:eastAsia="IBM Plex Sans" w:hAnsi="IBM Plex Sans"/>
          <w:color w:val="334155"/>
          <w:sz w:val="20"/>
          <w:szCs w:val="20"/>
        </w:rPr>
        <w:t xml:space="preserve">American College of Obstetricians and Gynecologists. Counseling Regarding Approach to Delivery After Cesarean and the Use of a Vaginal Birth After Cesarean Calculator. ACOG Practice Advisory. 2021. (Reaffirmed 2025.)</w:t>
      </w:r>
    </w:p>
    <w:p>
      <w:pPr>
        <w:pStyle w:val="ListParagraph"/>
        <w:numPr>
          <w:ilvl w:val="0"/>
          <w:numId w:val="13"/>
        </w:numPr>
        <w:spacing w:after="100" w:line="276"/>
      </w:pPr>
      <w:r>
        <w:rPr>
          <w:rFonts w:ascii="IBM Plex Sans" w:cs="IBM Plex Sans" w:eastAsia="IBM Plex Sans" w:hAnsi="IBM Plex Sans"/>
          <w:color w:val="334155"/>
          <w:sz w:val="20"/>
          <w:szCs w:val="20"/>
        </w:rPr>
        <w:t xml:space="preserve">Royal College of Obstetricians and Gynaecologists. Birth After Previous Caesarean Birth. Green-top Guideline No. 45. 2nd ed. London: RCOG; 2015.</w:t>
      </w:r>
    </w:p>
    <w:p>
      <w:pPr>
        <w:pStyle w:val="ListParagraph"/>
        <w:numPr>
          <w:ilvl w:val="0"/>
          <w:numId w:val="13"/>
        </w:numPr>
        <w:spacing w:after="100" w:line="276"/>
      </w:pPr>
      <w:r>
        <w:rPr>
          <w:rFonts w:ascii="IBM Plex Sans" w:cs="IBM Plex Sans" w:eastAsia="IBM Plex Sans" w:hAnsi="IBM Plex Sans"/>
          <w:color w:val="334155"/>
          <w:sz w:val="20"/>
          <w:szCs w:val="20"/>
        </w:rPr>
        <w:t xml:space="preserve">Dodd JM, Crowther CA, Huertas E, Guise JM, Horey D. Planned elective repeat caesarean section versus planned vaginal birth for women with a previous caesarean birth. Cochrane Database of Systematic Reviews. 2013;(12):CD004224.</w:t>
      </w:r>
    </w:p>
    <w:p>
      <w:pPr>
        <w:pStyle w:val="ListParagraph"/>
        <w:numPr>
          <w:ilvl w:val="0"/>
          <w:numId w:val="13"/>
        </w:numPr>
        <w:spacing w:after="100" w:line="276"/>
      </w:pPr>
      <w:r>
        <w:rPr>
          <w:rFonts w:ascii="IBM Plex Sans" w:cs="IBM Plex Sans" w:eastAsia="IBM Plex Sans" w:hAnsi="IBM Plex Sans"/>
          <w:color w:val="334155"/>
          <w:sz w:val="20"/>
          <w:szCs w:val="20"/>
        </w:rPr>
        <w:t xml:space="preserve">World Health Organization. WHO Recommendations Non-Clinical Interventions to Reduce Unnecessary Caesarean Sections. Geneva: World Health Organization; 2018.</w:t>
      </w:r>
    </w:p>
    <w:p>
      <w:pPr>
        <w:pStyle w:val="ListParagraph"/>
        <w:numPr>
          <w:ilvl w:val="0"/>
          <w:numId w:val="13"/>
        </w:numPr>
        <w:spacing w:after="100" w:line="276"/>
      </w:pPr>
      <w:r>
        <w:rPr>
          <w:rFonts w:ascii="IBM Plex Sans" w:cs="IBM Plex Sans" w:eastAsia="IBM Plex Sans" w:hAnsi="IBM Plex Sans"/>
          <w:color w:val="334155"/>
          <w:sz w:val="20"/>
          <w:szCs w:val="20"/>
        </w:rPr>
        <w:t xml:space="preserve">Grobman WA, Lai Y, Landon MB, Spong CY, Leveno KJ, Rouse DJ, dkk. Development of a nomogram for prediction of vaginal birth after cesarean delivery. Obstetrics &amp; Gynecology. 2007;109(4):806–812.</w:t>
      </w:r>
    </w:p>
    <w:p>
      <w:pPr>
        <w:pStyle w:val="ListParagraph"/>
        <w:numPr>
          <w:ilvl w:val="0"/>
          <w:numId w:val="13"/>
        </w:numPr>
        <w:spacing w:after="100" w:line="276"/>
      </w:pPr>
      <w:r>
        <w:rPr>
          <w:rFonts w:ascii="IBM Plex Sans" w:cs="IBM Plex Sans" w:eastAsia="IBM Plex Sans" w:hAnsi="IBM Plex Sans"/>
          <w:color w:val="334155"/>
          <w:sz w:val="20"/>
          <w:szCs w:val="20"/>
        </w:rPr>
        <w:t xml:space="preserve">Shipp TD, Zelop CM, Repke JT, Cohen A, Lieberman E. Interdelivery interval and risk of symptomatic uterine rupture. Obstetrics &amp; Gynecology. 2001;97(2):175–177.</w:t>
      </w:r>
    </w:p>
    <w:p>
      <w:pPr>
        <w:pStyle w:val="Heading1"/>
        <w:spacing w:after="160" w:before="320"/>
      </w:pPr>
      <w:r>
        <w:rPr>
          <w:rFonts w:ascii="Source Serif 4" w:cs="Source Serif 4" w:eastAsia="Source Serif 4" w:hAnsi="Source Serif 4"/>
          <w:b/>
          <w:bCs/>
          <w:color w:val="4F46E5"/>
          <w:sz w:val="30"/>
          <w:szCs w:val="30"/>
        </w:rPr>
        <w:t xml:space="preserve">Glosarium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Definisi</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Kehamilan dengan riwayat seksio sesarea</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Kehamilan pada perempuan yang pernah menjalani pembedahan seksio sesarea sebelumnya, dengan implikasi risiko pada parut uterus dan persalinan berikutnya.</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TOLAC (Trial of Labor After Cesarean)</w:t>
            </w:r>
          </w:p>
        </w:tc>
        <w:tc>
          <w:tcPr>
            <w:tcW w:type="dxa" w:w="64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Upaya persalinan percobaan pervaginam yang direncanakan pada perempuan dengan riwayat seksio sesarea, terlepas dari hasil akhirnya.</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VBAC (Vaginal Birth After Cesarean)</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Persalinan normal melalui vagina setelah sebelumnya mengalami operasi seksio sesarea.</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ERCS (Elective Repeat Cesarean Section)</w:t>
            </w:r>
          </w:p>
        </w:tc>
        <w:tc>
          <w:tcPr>
            <w:tcW w:type="dxa" w:w="64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Seksio sesarea ulangan yang direncanakan dan dijadwalkan sebelum awitan persalinan, sebagai alternatif dari TOLAC.</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Ruptur uteri</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dinding uterus sebagian atau seluruh ketebalan yang terjadi selama kehamilan atau persalinan dan berpotensi mengancam jiwa.</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Dehisensi uterus</w:t>
            </w:r>
          </w:p>
        </w:tc>
        <w:tc>
          <w:tcPr>
            <w:tcW w:type="dxa" w:w="64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Pemisahan sebagian lapisan parut uterus tanpa disertai robekan penuh ketebalan dinding rahim, umumnya tanpa gejala akut dan tanpa perdarahan intra-abdomen yang bermakna.</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Plasenta akreta spektrum</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Kondisi plasenta menempel terlalu dalam pada dinding rahim; alih-alih terlepas mudah setelah bayi lahir seperti pada kehamilan normal, plasenta tumbuh melampaui batas normal dan menempel ke lapisan otot rahim (miometrium), atau bahkan menembusnya.</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Plasenta previa</w:t>
            </w:r>
          </w:p>
        </w:tc>
        <w:tc>
          <w:tcPr>
            <w:tcW w:type="dxa" w:w="64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Implantasi plasenta pada segmen bawah rahim yang menutupi sebagian atau seluruh ostium uteri internum; disebut plasenta letak rendah bila tepinya berada dekat ostium tetapi tidak menutupinya.</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Interpregnancy interval (interval antar-kehamilan)</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Rentang waktu antara persalinan sebelumnya dan konsepsi kehamilan berikutnya; interval yang pendek berasosiasi dengan peningkatan risiko ruptur uteri pada TOLAC.</w:t>
            </w:r>
          </w:p>
        </w:tc>
      </w:tr>
      <w:tr>
        <w:tc>
          <w:tcPr>
            <w:tcW w:type="dxa" w:w="2600"/>
            <w:shd w:fill="FFFFFF"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Kardiotokografi (CTG)/Non-Stress Test (NST)</w:t>
            </w:r>
          </w:p>
        </w:tc>
        <w:tc>
          <w:tcPr>
            <w:tcW w:type="dxa" w:w="6400"/>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pemantauan denyut jantung janin dan aktivitas kontraksi uterus secara elektronik dan kontinu, digunakan sebagai modalitas utama deteksi dini gawat janin selama persalinan pada kandidat TOLAC.</w:t>
            </w:r>
          </w:p>
        </w:tc>
      </w:tr>
      <w:tr>
        <w:tc>
          <w:tcPr>
            <w:tcW w:type="dxa" w:w="2600"/>
            <w:shd w:fill="F8FAFC" w:val="clear"/>
            <w:tcMar>
              <w:top w:type="dxa" w:w="100"/>
              <w:left w:type="dxa" w:w="120"/>
              <w:bottom w:type="dxa" w:w="100"/>
              <w:right w:type="dxa" w:w="120"/>
            </w:tcMar>
          </w:tcPr>
          <w:p>
            <w:r>
              <w:rPr>
                <w:rFonts w:ascii="IBM Plex Sans" w:cs="IBM Plex Sans" w:eastAsia="IBM Plex Sans" w:hAnsi="IBM Plex Sans"/>
                <w:b/>
                <w:bCs/>
                <w:color w:val="334155"/>
                <w:sz w:val="19"/>
                <w:szCs w:val="19"/>
              </w:rPr>
              <w:t xml:space="preserve">Decision-to-incision time</w:t>
            </w:r>
          </w:p>
        </w:tc>
        <w:tc>
          <w:tcPr>
            <w:tcW w:type="dxa" w:w="6400"/>
            <w:shd w:fill="F8FAFC"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Interval waktu sejak keputusan klinis untuk melakukan seksio sesarea emergensi diambil hingga insisi kulit dimulai; digunakan sebagai indikator kecepatan respons kegawatdaruratan obstetri.</w:t>
            </w:r>
          </w:p>
        </w:tc>
      </w:tr>
    </w:tbl>
    <w:p>
      <w:pPr>
        <w:spacing w:after="160"/>
      </w:pP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5"/>
        <w:szCs w:val="15"/>
      </w:rPr>
      <w:t xml:space="preserve">PPK No. 11 dari 73 — ◀ PPK No. 10: Eklampsia  |  PPK No. 12: Plasenta Previa dan Plasenta Letak Rendah ▶</w:t>
    </w:r>
  </w:p>
  <w:p>
    <w:pPr>
      <w:jc w:val="center"/>
    </w:pPr>
    <w:r>
      <w:rPr>
        <w:rFonts w:ascii="IBM Plex Sans" w:cs="IBM Plex Sans" w:eastAsia="IBM Plex Sans" w:hAnsi="IBM Plex Sans"/>
        <w:color w:val="64748B"/>
        <w:sz w:val="15"/>
        <w:szCs w:val="15"/>
      </w:rPr>
      <w:t xml:space="preserve">Hal. </w:t>
    </w:r>
    <w:r>
      <w:rPr>
        <w:rFonts w:ascii="IBM Plex Sans" w:cs="IBM Plex Sans" w:eastAsia="IBM Plex Sans" w:hAnsi="IBM Plex Sans"/>
        <w:color w:val="64748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64748B"/>
        <w:sz w:val="16"/>
        <w:szCs w:val="16"/>
      </w:rPr>
      <w:t xml:space="preserve">Kehamilan dengan Riwayat Seksio Sesarea  ·  PPK No. 11/73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3"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4"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5"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6"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7"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8"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9"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10"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11"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12" w15:restartNumberingAfterBreak="0">
    <w:multiLevelType w:val="hybridMultilevel"/>
    <w:lvl w:ilvl="0" w15:tentative="1">
      <w:start w:val="1"/>
      <w:numFmt w:val="bullet"/>
      <w:lvlText w:val="•"/>
      <w:lvlJc w:val="left"/>
      <w:pPr>
        <w:ind w:left="420" w:hanging="260"/>
      </w:pPr>
      <w:rPr>
        <w:rFonts w:ascii="IBM Plex Sans" w:cs="IBM Plex Sans" w:eastAsia="IBM Plex Sans" w:hAnsi="IBM Plex Sans"/>
        <w:color w:val="334155"/>
      </w:rPr>
    </w:lvl>
  </w:abstractNum>
  <w:abstractNum w:abstractNumId="13" w15:restartNumberingAfterBreak="0">
    <w:multiLevelType w:val="hybridMultilevel"/>
    <w:lvl w:ilvl="0" w15:tentative="1">
      <w:start w:val="1"/>
      <w:numFmt w:val="decimal"/>
      <w:lvlText w:val="%1."/>
      <w:lvlJc w:val="left"/>
      <w:pPr>
        <w:ind w:left="420" w:hanging="260"/>
      </w:pPr>
      <w:rPr>
        <w:rFonts w:ascii="IBM Plex Sans" w:cs="IBM Plex Sans" w:eastAsia="IBM Plex Sans" w:hAnsi="IBM Plex Sans"/>
        <w:color w:val="334155"/>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2026-08-17T03:50:34.248Z</dcterms:created>
  <dcterms:modified xsi:type="dcterms:W3CDTF">2026-08-17T03:50:34.248Z</dcterms:modified>
</cp:coreProperties>
</file>

<file path=docProps/custom.xml><?xml version="1.0" encoding="utf-8"?>
<Properties xmlns="http://schemas.openxmlformats.org/officeDocument/2006/custom-properties" xmlns:vt="http://schemas.openxmlformats.org/officeDocument/2006/docPropsVTypes"/>
</file>