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500"/>
      </w:pPr>
    </w:p>
    <w:p>
      <w:pPr>
        <w:jc w:val="left"/>
      </w:pPr>
      <w:r>
        <w:rPr>
          <w:rFonts w:ascii="IBM Plex Sans" w:cs="IBM Plex Sans" w:eastAsia="IBM Plex Sans" w:hAnsi="IBM Plex Sans"/>
          <w:b/>
          <w:bCs/>
          <w:color w:val="B45309"/>
          <w:sz w:val="20"/>
          <w:szCs w:val="20"/>
        </w:rPr>
        <w:t xml:space="preserve">PANDUAN PRAKTIK KLINIS</w:t>
      </w:r>
    </w:p>
    <w:p>
      <w:pPr>
        <w:spacing w:after="200" w:before="40"/>
      </w:pPr>
      <w:r>
        <w:rPr>
          <w:rFonts w:ascii="IBM Plex Mono" w:cs="IBM Plex Mono" w:eastAsia="IBM Plex Mono" w:hAnsi="IBM Plex Mono"/>
          <w:color w:val="64748B"/>
          <w:sz w:val="18"/>
          <w:szCs w:val="18"/>
        </w:rPr>
        <w:t xml:space="preserve">PPK No. 15 dari 73</w:t>
      </w:r>
    </w:p>
    <w:p>
      <w:pPr>
        <w:spacing w:after="60" w:before="200"/>
      </w:pPr>
      <w:r>
        <w:rPr>
          <w:rFonts w:ascii="Source Serif 4" w:cs="Source Serif 4" w:eastAsia="Source Serif 4" w:hAnsi="Source Serif 4"/>
          <w:b/>
          <w:bCs/>
          <w:color w:val="4F46E5"/>
          <w:sz w:val="56"/>
          <w:szCs w:val="56"/>
        </w:rPr>
        <w:t xml:space="preserve">Solusio Plasenta</w:t>
      </w:r>
    </w:p>
    <w:p>
      <w:pPr>
        <w:spacing w:after="400"/>
      </w:pPr>
      <w:r>
        <w:rPr>
          <w:rFonts w:ascii="Source Serif 4" w:cs="Source Serif 4" w:eastAsia="Source Serif 4" w:hAnsi="Source Serif 4"/>
          <w:i/>
          <w:iCs/>
          <w:color w:val="64748B"/>
          <w:sz w:val="30"/>
          <w:szCs w:val="30"/>
        </w:rPr>
        <w:t xml:space="preserve">Placental Abruption</w:t>
      </w:r>
    </w:p>
    <w:p>
      <w:pPr>
        <w:spacing w:after="100"/>
      </w:pPr>
      <w:r>
        <w:rPr>
          <w:rFonts w:ascii="IBM Plex Mono" w:cs="IBM Plex Mono" w:eastAsia="IBM Plex Mono" w:hAnsi="IBM Plex Mono"/>
          <w:color w:val="334155"/>
          <w:sz w:val="20"/>
          <w:szCs w:val="20"/>
        </w:rPr>
        <w:t xml:space="preserve">ICD-10: O45.9   |   ICD-11: JA8C.Z</w:t>
      </w:r>
    </w:p>
    <w:p>
      <w:pPr>
        <w:spacing w:after="100"/>
      </w:pPr>
      <w:r>
        <w:rPr>
          <w:rFonts w:ascii="IBM Plex Sans" w:cs="IBM Plex Sans" w:eastAsia="IBM Plex Sans" w:hAnsi="IBM Plex Sans"/>
          <w:color w:val="334155"/>
          <w:sz w:val="20"/>
          <w:szCs w:val="20"/>
        </w:rPr>
        <w:t xml:space="preserve">Divisi Pengampu: Fetomaternal</w:t>
      </w:r>
    </w:p>
    <w:p>
      <w:pPr>
        <w:spacing w:after="500"/>
      </w:pPr>
      <w:r>
        <w:rPr>
          <w:rFonts w:ascii="IBM Plex Sans" w:cs="IBM Plex Sans" w:eastAsia="IBM Plex Sans" w:hAnsi="IBM Plex Sans"/>
          <w:color w:val="334155"/>
          <w:sz w:val="20"/>
          <w:szCs w:val="20"/>
        </w:rPr>
        <w:t xml:space="preserve">Dasar Regulasi: Kepkonsil No. HK.01.02/KKI/1318/2026</w:t>
      </w:r>
    </w:p>
    <w:p>
      <w:pPr>
        <w:pBdr>
          <w:top w:val="single" w:color="CBD5E1" w:sz="6"/>
        </w:pBdr>
        <w:spacing w:after="300" w:before="200"/>
      </w:pPr>
      <w:r>
        <w:rPr>
          <w:rFonts w:ascii="IBM Plex Sans" w:cs="IBM Plex Sans" w:eastAsia="IBM Plex Sans" w:hAnsi="IBM Plex Sans"/>
          <w:i/>
          <w:iCs/>
          <w:color w:val="64748B"/>
          <w:sz w:val="19"/>
          <w:szCs w:val="19"/>
        </w:rPr>
        <w:t xml:space="preserve">Turunan operasional dari Buku Tematik B3 — Obstetri Patologis dan Kegawatdaruratan Maternal</w:t>
      </w:r>
    </w:p>
    <w:p>
      <w:pPr>
        <w:spacing w:after="40"/>
      </w:pPr>
      <w:r>
        <w:rPr>
          <w:rFonts w:ascii="IBM Plex Sans" w:cs="IBM Plex Sans" w:eastAsia="IBM Plex Sans" w:hAnsi="IBM Plex Sans"/>
          <w:color w:val="334155"/>
          <w:sz w:val="19"/>
          <w:szCs w:val="19"/>
        </w:rPr>
        <w:t xml:space="preserve">Penulis: Dr.dr. Budi Siswanto, Sp.OG., Subsp.Obginsos., SH., S.Kom.</w:t>
      </w:r>
    </w:p>
    <w:p>
      <w:pPr>
        <w:spacing w:after="40"/>
      </w:pPr>
      <w:r>
        <w:rPr>
          <w:rFonts w:ascii="IBM Plex Sans" w:cs="IBM Plex Sans" w:eastAsia="IBM Plex Sans" w:hAnsi="IBM Plex Sans"/>
          <w:color w:val="334155"/>
          <w:sz w:val="19"/>
          <w:szCs w:val="19"/>
        </w:rPr>
        <w:t xml:space="preserve">Penerbit: Perpustakaan Digital ABBA</w:t>
      </w:r>
    </w:p>
    <w:p>
      <w:pPr>
        <w:spacing w:after="40"/>
      </w:pPr>
      <w:r>
        <w:rPr>
          <w:rFonts w:ascii="IBM Plex Sans" w:cs="IBM Plex Sans" w:eastAsia="IBM Plex Sans" w:hAnsi="IBM Plex Sans"/>
          <w:color w:val="334155"/>
          <w:sz w:val="19"/>
          <w:szCs w:val="19"/>
        </w:rPr>
        <w:t xml:space="preserve">Jl. Kerinci Raya No. 9, Malang 65138</w:t>
      </w:r>
    </w:p>
    <w:p>
      <w:r>
        <w:rPr>
          <w:rFonts w:ascii="IBM Plex Mono" w:cs="IBM Plex Mono" w:eastAsia="IBM Plex Mono" w:hAnsi="IBM Plex Mono"/>
          <w:color w:val="64748B"/>
          <w:sz w:val="18"/>
          <w:szCs w:val="18"/>
        </w:rPr>
        <w:t xml:space="preserve">2026</w:t>
      </w:r>
    </w:p>
    <w:p>
      <w:r>
        <w:br w:type="page"/>
      </w:r>
    </w:p>
    <w:p>
      <w:pPr>
        <w:pStyle w:val="Heading1"/>
        <w:spacing w:after="140" w:before="320"/>
      </w:pPr>
      <w:r>
        <w:rPr>
          <w:rFonts w:ascii="Source Serif 4" w:cs="Source Serif 4" w:eastAsia="Source Serif 4" w:hAnsi="Source Serif 4"/>
          <w:b/>
          <w:bCs/>
          <w:color w:val="4F46E5"/>
          <w:sz w:val="28"/>
          <w:szCs w:val="28"/>
        </w:rPr>
        <w:t xml:space="preserve">1. Pengertian/Definisi</w:t>
      </w:r>
    </w:p>
    <w:p>
      <w:pPr>
        <w:spacing w:after="160" w:line="276"/>
      </w:pPr>
      <w:r>
        <w:rPr>
          <w:rFonts w:ascii="IBM Plex Sans" w:cs="IBM Plex Sans" w:eastAsia="IBM Plex Sans" w:hAnsi="IBM Plex Sans"/>
          <w:color w:val="334155"/>
          <w:sz w:val="21"/>
          <w:szCs w:val="21"/>
        </w:rPr>
        <w:t xml:space="preserve">PPK ini merupakan turunan operasional dari Bab Perdarahan Antepartum dan Kegawatdaruratan Plasenta, Buku Tematik B3 — Obstetri Patologis dan Kegawatdaruratan Maternal.</w:t>
      </w:r>
    </w:p>
    <w:p>
      <w:pPr>
        <w:spacing w:after="160" w:line="276"/>
      </w:pPr>
      <w:r>
        <w:rPr>
          <w:rFonts w:ascii="IBM Plex Sans" w:cs="IBM Plex Sans" w:eastAsia="IBM Plex Sans" w:hAnsi="IBM Plex Sans"/>
          <w:color w:val="334155"/>
          <w:sz w:val="21"/>
          <w:szCs w:val="21"/>
        </w:rPr>
        <w:t xml:space="preserve">Solusio plasenta (Placental abruption) adalah pelepasan plasenta yang sebelumnya berimplantasi normal dari desidua basalis, sebagian atau seluruhnya, sebelum janin lahir — definisi ini merujuk langsung pada rumusan resmi Kepkonsil No. HK.01.02/KKI/1318/2026, Bab III.A.2.a.1. Pelepasan plasenta menimbulkan perdarahan pada bidang antara desidua dan plasenta yang dapat tampak keluar melalui vagina (revealed hemorrhage) atau tertahan di belakang plasenta tanpa perdarahan pervaginam yang tampak (concealed hemorrhage), sehingga derajat keparahan klinis sering tidak sebanding dengan jumlah darah yang terlihat.</w:t>
      </w:r>
    </w:p>
    <w:p>
      <w:pPr>
        <w:spacing w:after="60" w:before="120"/>
      </w:pPr>
      <w:r>
        <w:rPr>
          <w:rFonts w:ascii="IBM Plex Sans" w:cs="IBM Plex Sans" w:eastAsia="IBM Plex Sans" w:hAnsi="IBM Plex Sans"/>
          <w:b/>
          <w:bCs/>
          <w:i/>
          <w:iCs/>
          <w:color w:val="334155"/>
          <w:sz w:val="21"/>
          <w:szCs w:val="21"/>
        </w:rPr>
        <w:t xml:space="preserve">Patofisiologi singkat</w:t>
      </w:r>
    </w:p>
    <w:p>
      <w:pPr>
        <w:spacing w:after="160" w:line="276"/>
      </w:pPr>
      <w:r>
        <w:rPr>
          <w:rFonts w:ascii="IBM Plex Sans" w:cs="IBM Plex Sans" w:eastAsia="IBM Plex Sans" w:hAnsi="IBM Plex Sans"/>
          <w:color w:val="334155"/>
          <w:sz w:val="21"/>
          <w:szCs w:val="21"/>
        </w:rPr>
        <w:t xml:space="preserve">Proses ini umumnya diawali oleh perdarahan pada arteri spiralis desidua yang membentuk hematoma retroplasenta, memisahkan plasenta dari dinding uterus. Darah yang berkumpul memicu pelepasan tromboplastin desidua dan faktor pertumbuhan endotel vaskular sehingga trombin terbentuk dalam jumlah besar; trombin inilah yang memicu hipertonus/hiperaktivitas uterus sekaligus menjadi pemicu koagulasi intravaskular diseminata (KID/DIC) pada kasus berat. Dua pola klinis dikenal: solusio akut, yang timbul mendadak dengan gejala nyeri dan perdarahan jelas, serta solusio kronik, yang dapat asimtomatik atau bermanifestasi sebagai perdarahan bercak berulang, oligohidramnion, dan hambatan pertumbuhan janin akibat insufisiensi uteroplasenta yang berlangsung lama.</w:t>
      </w:r>
    </w:p>
    <w:p>
      <w:pPr>
        <w:spacing w:after="60" w:before="120"/>
      </w:pPr>
      <w:r>
        <w:rPr>
          <w:rFonts w:ascii="IBM Plex Sans" w:cs="IBM Plex Sans" w:eastAsia="IBM Plex Sans" w:hAnsi="IBM Plex Sans"/>
          <w:b/>
          <w:bCs/>
          <w:i/>
          <w:iCs/>
          <w:color w:val="334155"/>
          <w:sz w:val="21"/>
          <w:szCs w:val="21"/>
        </w:rPr>
        <w:t xml:space="preserve">Besaran masalah</w:t>
      </w:r>
    </w:p>
    <w:p>
      <w:pPr>
        <w:spacing w:after="160" w:line="276"/>
      </w:pPr>
      <w:r>
        <w:rPr>
          <w:rFonts w:ascii="IBM Plex Sans" w:cs="IBM Plex Sans" w:eastAsia="IBM Plex Sans" w:hAnsi="IBM Plex Sans"/>
          <w:color w:val="334155"/>
          <w:sz w:val="21"/>
          <w:szCs w:val="21"/>
        </w:rPr>
        <w:t xml:space="preserve">Kejadian solusio plasenta dilaporkan pada sekitar 0,4–1% kehamilan di berbagai registri internasional, dengan angka kematian janin meningkat dari sekitar 0,6% pada kehamilan tanpa solusio menjadi berkisar 3–12% pada kehamilan dengan solusio, bergantung derajat keparahan dan luas pelepasan plasenta. Kondisi ini turut berkontribusi terhadap 1–5% kematian ibu di berbagai laporan berbasis rumah sakit. Data insidensi, angka kematian ibu, dan angka kematian perinatal yang spesifik untuk populasi Indonesia [DATA: rujuk laporan/registri resmi terbaru — mis. Kemenkes, POGI, WHO] belum tercantum eksplisit dalam Kepkonsil sehingga tidak dikutip sebagai angka pasti dalam PPK ini.</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none"/>
              <w:left w:val="single" w:color="4F46E5" w:sz="24"/>
              <w:bottom w:val="none"/>
              <w:right w:val="none"/>
            </w:tcBorders>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DASAR REGULASI</w:t>
            </w:r>
          </w:p>
          <w:p>
            <w:r>
              <w:rPr>
                <w:rFonts w:ascii="IBM Plex Sans" w:cs="IBM Plex Sans" w:eastAsia="IBM Plex Sans" w:hAnsi="IBM Plex Sans"/>
                <w:color w:val="334155"/>
                <w:sz w:val="20"/>
                <w:szCs w:val="20"/>
              </w:rPr>
              <w:t xml:space="preserve">Kepkonsil No. HK.01.02/KKI/1318/2026 tentang Standar Kompetensi Dokter Spesialis dan Subspesialis Bidang Obstetri dan Ginekologi, Tabel 7 (Spektrum Penyakit dan Kondisi Klinis yang Ditangani Spesialis Obstetri dan Ginekologi), Bab III.A.2.a.1, entri No. 15. Kode ICD-10 O45.9 dan ICD-11 JA8C.Z diverifikasi langsung dari tabel sumber tersebut.</w:t>
            </w:r>
          </w:p>
        </w:tc>
      </w:tr>
    </w:tbl>
    <w:p>
      <w:pPr>
        <w:spacing w:after="160"/>
      </w:pPr>
    </w:p>
    <w:p>
      <w:pPr>
        <w:pStyle w:val="Heading1"/>
        <w:spacing w:after="140" w:before="320"/>
      </w:pPr>
      <w:r>
        <w:rPr>
          <w:rFonts w:ascii="Source Serif 4" w:cs="Source Serif 4" w:eastAsia="Source Serif 4" w:hAnsi="Source Serif 4"/>
          <w:b/>
          <w:bCs/>
          <w:color w:val="4F46E5"/>
          <w:sz w:val="28"/>
          <w:szCs w:val="28"/>
        </w:rPr>
        <w:t xml:space="preserve">2. Anamnesis</w:t>
      </w:r>
    </w:p>
    <w:p>
      <w:pPr>
        <w:spacing w:after="160" w:line="276"/>
      </w:pPr>
      <w:r>
        <w:rPr>
          <w:rFonts w:ascii="IBM Plex Sans" w:cs="IBM Plex Sans" w:eastAsia="IBM Plex Sans" w:hAnsi="IBM Plex Sans"/>
          <w:color w:val="334155"/>
          <w:sz w:val="21"/>
          <w:szCs w:val="21"/>
        </w:rPr>
        <w:t xml:space="preserve">Keluhan utama yang paling sering dilaporkan adalah perdarahan pervaginam berwarna merah kehitaman (dark red), disertai nyeri perut atau pinggang yang timbul mendadak dan bersifat menetap (unremitting), berbeda dari nyeri his intermiten pada persalinan biasa. Perlu ditelusuri secara eksplisit apakah jumlah darah yang tampak sesuai dengan derajat nyeri dan tanda vital, mengingat kemungkinan perdarahan tersembunyi (concealed hemorrhage) yang dapat menutupi beratnya kondisi sesungguhnya.</w:t>
      </w:r>
    </w:p>
    <w:p>
      <w:pPr>
        <w:spacing w:after="160" w:line="276"/>
      </w:pPr>
      <w:r>
        <w:rPr>
          <w:rFonts w:ascii="IBM Plex Sans" w:cs="IBM Plex Sans" w:eastAsia="IBM Plex Sans" w:hAnsi="IBM Plex Sans"/>
          <w:color w:val="334155"/>
          <w:sz w:val="21"/>
          <w:szCs w:val="21"/>
        </w:rPr>
        <w:t xml:space="preserve">Keluhan penyerta yang harus digali meliputi rahim yang terasa tegang atau keras terus-menerus, kontraksi yang sangat sering dengan tonus dasar tinggi, serta perubahan gerakan janin (berkurang atau menghilang). Pada solusio kronik, keluhan dapat lebih samar berupa bercak darah berulang tanpa nyeri hebat, sehingga anamnesis riwayat perdarahan pada kunjungan antenatal sebelumnya menjadi penting.</w:t>
      </w:r>
    </w:p>
    <w:p>
      <w:pPr>
        <w:spacing w:after="60" w:before="120"/>
      </w:pPr>
      <w:r>
        <w:rPr>
          <w:rFonts w:ascii="IBM Plex Sans" w:cs="IBM Plex Sans" w:eastAsia="IBM Plex Sans" w:hAnsi="IBM Plex Sans"/>
          <w:b/>
          <w:bCs/>
          <w:color w:val="334155"/>
          <w:sz w:val="21"/>
          <w:szCs w:val="21"/>
        </w:rPr>
        <w:t xml:space="preserve">Faktor risiko yang wajib ditanyakan secara terarah</w:t>
      </w:r>
    </w:p>
    <w:p>
      <w:pPr>
        <w:pStyle w:val="ListParagraph"/>
        <w:numPr>
          <w:ilvl w:val="0"/>
          <w:numId w:val="2"/>
        </w:numPr>
        <w:spacing w:after="90"/>
      </w:pPr>
      <w:r>
        <w:rPr>
          <w:rFonts w:ascii="IBM Plex Sans" w:cs="IBM Plex Sans" w:eastAsia="IBM Plex Sans" w:hAnsi="IBM Plex Sans"/>
          <w:color w:val="334155"/>
          <w:sz w:val="21"/>
          <w:szCs w:val="21"/>
        </w:rPr>
        <w:t xml:space="preserve">Riwayat solusio plasenta pada kehamilan sebelumnya — faktor risiko individual terkuat, dengan risiko rekurensi yang meningkat bermakna dibandingkan populasi umum</w:t>
      </w:r>
    </w:p>
    <w:p>
      <w:pPr>
        <w:pStyle w:val="ListParagraph"/>
        <w:numPr>
          <w:ilvl w:val="0"/>
          <w:numId w:val="2"/>
        </w:numPr>
        <w:spacing w:after="90"/>
      </w:pPr>
      <w:r>
        <w:rPr>
          <w:rFonts w:ascii="IBM Plex Sans" w:cs="IBM Plex Sans" w:eastAsia="IBM Plex Sans" w:hAnsi="IBM Plex Sans"/>
          <w:color w:val="334155"/>
          <w:sz w:val="21"/>
          <w:szCs w:val="21"/>
        </w:rPr>
        <w:t xml:space="preserve">Hipertensi kronik atau preeklampsia/hipertensi gestasional pada kehamilan berjalan</w:t>
      </w:r>
    </w:p>
    <w:p>
      <w:pPr>
        <w:pStyle w:val="ListParagraph"/>
        <w:numPr>
          <w:ilvl w:val="0"/>
          <w:numId w:val="2"/>
        </w:numPr>
        <w:spacing w:after="90"/>
      </w:pPr>
      <w:r>
        <w:rPr>
          <w:rFonts w:ascii="IBM Plex Sans" w:cs="IBM Plex Sans" w:eastAsia="IBM Plex Sans" w:hAnsi="IBM Plex Sans"/>
          <w:color w:val="334155"/>
          <w:sz w:val="21"/>
          <w:szCs w:val="21"/>
        </w:rPr>
        <w:t xml:space="preserve">Trauma abdomen langsung (kecelakaan lalu lintas, jatuh, kekerasan dalam rumah tangga)</w:t>
      </w:r>
    </w:p>
    <w:p>
      <w:pPr>
        <w:pStyle w:val="ListParagraph"/>
        <w:numPr>
          <w:ilvl w:val="0"/>
          <w:numId w:val="2"/>
        </w:numPr>
        <w:spacing w:after="90"/>
      </w:pPr>
      <w:r>
        <w:rPr>
          <w:rFonts w:ascii="IBM Plex Sans" w:cs="IBM Plex Sans" w:eastAsia="IBM Plex Sans" w:hAnsi="IBM Plex Sans"/>
          <w:color w:val="334155"/>
          <w:sz w:val="21"/>
          <w:szCs w:val="21"/>
        </w:rPr>
        <w:t xml:space="preserve">Merokok aktif serta penggunaan zat psikoaktif, terutama kokain dan metamfetamin</w:t>
      </w:r>
    </w:p>
    <w:p>
      <w:pPr>
        <w:pStyle w:val="ListParagraph"/>
        <w:numPr>
          <w:ilvl w:val="0"/>
          <w:numId w:val="2"/>
        </w:numPr>
        <w:spacing w:after="90"/>
      </w:pPr>
      <w:r>
        <w:rPr>
          <w:rFonts w:ascii="IBM Plex Sans" w:cs="IBM Plex Sans" w:eastAsia="IBM Plex Sans" w:hAnsi="IBM Plex Sans"/>
          <w:color w:val="334155"/>
          <w:sz w:val="21"/>
          <w:szCs w:val="21"/>
        </w:rPr>
        <w:t xml:space="preserve">Ketuban pecah dini, khususnya pada kehamilan preterm</w:t>
      </w:r>
    </w:p>
    <w:p>
      <w:pPr>
        <w:pStyle w:val="ListParagraph"/>
        <w:numPr>
          <w:ilvl w:val="0"/>
          <w:numId w:val="2"/>
        </w:numPr>
        <w:spacing w:after="90"/>
      </w:pPr>
      <w:r>
        <w:rPr>
          <w:rFonts w:ascii="IBM Plex Sans" w:cs="IBM Plex Sans" w:eastAsia="IBM Plex Sans" w:hAnsi="IBM Plex Sans"/>
          <w:color w:val="334155"/>
          <w:sz w:val="21"/>
          <w:szCs w:val="21"/>
        </w:rPr>
        <w:t xml:space="preserve">Polihidramnion dengan dekompresi uterus mendadak (misalnya pascaamnioreduksi atau pecah ketuban spontan mendadak)</w:t>
      </w:r>
    </w:p>
    <w:p>
      <w:pPr>
        <w:pStyle w:val="ListParagraph"/>
        <w:numPr>
          <w:ilvl w:val="0"/>
          <w:numId w:val="2"/>
        </w:numPr>
        <w:spacing w:after="90"/>
      </w:pPr>
      <w:r>
        <w:rPr>
          <w:rFonts w:ascii="IBM Plex Sans" w:cs="IBM Plex Sans" w:eastAsia="IBM Plex Sans" w:hAnsi="IBM Plex Sans"/>
          <w:color w:val="334155"/>
          <w:sz w:val="21"/>
          <w:szCs w:val="21"/>
        </w:rPr>
        <w:t xml:space="preserve">Korioamnionitis</w:t>
      </w:r>
    </w:p>
    <w:p>
      <w:pPr>
        <w:pStyle w:val="ListParagraph"/>
        <w:numPr>
          <w:ilvl w:val="0"/>
          <w:numId w:val="2"/>
        </w:numPr>
        <w:spacing w:after="90"/>
      </w:pPr>
      <w:r>
        <w:rPr>
          <w:rFonts w:ascii="IBM Plex Sans" w:cs="IBM Plex Sans" w:eastAsia="IBM Plex Sans" w:hAnsi="IBM Plex Sans"/>
          <w:color w:val="334155"/>
          <w:sz w:val="21"/>
          <w:szCs w:val="21"/>
        </w:rPr>
        <w:t xml:space="preserve">Usia ibu lanjut, paritas tinggi, kehamilan multipel, dan riwayat trombofilia</w:t>
      </w:r>
    </w:p>
    <w:p>
      <w:pPr>
        <w:pStyle w:val="Heading1"/>
        <w:spacing w:after="140" w:before="320"/>
      </w:pPr>
      <w:r>
        <w:rPr>
          <w:rFonts w:ascii="Source Serif 4" w:cs="Source Serif 4" w:eastAsia="Source Serif 4" w:hAnsi="Source Serif 4"/>
          <w:b/>
          <w:bCs/>
          <w:color w:val="4F46E5"/>
          <w:sz w:val="28"/>
          <w:szCs w:val="28"/>
        </w:rPr>
        <w:t xml:space="preserve">3. Pemeriksaan Fisik</w:t>
      </w:r>
    </w:p>
    <w:p>
      <w:pPr>
        <w:spacing w:after="160" w:line="276"/>
      </w:pPr>
      <w:r>
        <w:rPr>
          <w:rFonts w:ascii="IBM Plex Sans" w:cs="IBM Plex Sans" w:eastAsia="IBM Plex Sans" w:hAnsi="IBM Plex Sans"/>
          <w:color w:val="334155"/>
          <w:sz w:val="21"/>
          <w:szCs w:val="21"/>
        </w:rPr>
        <w:t xml:space="preserve">Penilaian tanda vital harus dilakukan cermat karena takikardia dan hipotensi dapat muncul terlambat pada perdarahan tersembunyi, dan sebaliknya dapat tersamar oleh vasokonstriksi kompensasi pada ibu dengan preeklampsia berat. Tanda syok yang tidak sebanding dengan volume perdarahan tampak (revealed) merupakan sinyal kuat adanya komponen concealed hemorrhage yang signifikan.</w:t>
      </w:r>
    </w:p>
    <w:p>
      <w:pPr>
        <w:spacing w:after="60" w:before="120"/>
      </w:pPr>
      <w:r>
        <w:rPr>
          <w:rFonts w:ascii="IBM Plex Sans" w:cs="IBM Plex Sans" w:eastAsia="IBM Plex Sans" w:hAnsi="IBM Plex Sans"/>
          <w:b/>
          <w:bCs/>
          <w:color w:val="334155"/>
          <w:sz w:val="21"/>
          <w:szCs w:val="21"/>
        </w:rPr>
        <w:t xml:space="preserve">Temuan pada palpasi dan auskultasi abdomen</w:t>
      </w:r>
    </w:p>
    <w:p>
      <w:pPr>
        <w:pStyle w:val="ListParagraph"/>
        <w:numPr>
          <w:ilvl w:val="0"/>
          <w:numId w:val="2"/>
        </w:numPr>
        <w:spacing w:after="90"/>
      </w:pPr>
      <w:r>
        <w:rPr>
          <w:rFonts w:ascii="IBM Plex Sans" w:cs="IBM Plex Sans" w:eastAsia="IBM Plex Sans" w:hAnsi="IBM Plex Sans"/>
          <w:color w:val="334155"/>
          <w:sz w:val="21"/>
          <w:szCs w:val="21"/>
        </w:rPr>
        <w:t xml:space="preserve">Uterus tegang, nyeri tekan difus, dengan konsistensi keras seperti papan (woody/board-like uterus) pada kasus berat</w:t>
      </w:r>
    </w:p>
    <w:p>
      <w:pPr>
        <w:pStyle w:val="ListParagraph"/>
        <w:numPr>
          <w:ilvl w:val="0"/>
          <w:numId w:val="2"/>
        </w:numPr>
        <w:spacing w:after="90"/>
      </w:pPr>
      <w:r>
        <w:rPr>
          <w:rFonts w:ascii="IBM Plex Sans" w:cs="IBM Plex Sans" w:eastAsia="IBM Plex Sans" w:hAnsi="IBM Plex Sans"/>
          <w:color w:val="334155"/>
          <w:sz w:val="21"/>
          <w:szCs w:val="21"/>
        </w:rPr>
        <w:t xml:space="preserve">Tinggi fundus uteri dapat bertambah secara cepat akibat akumulasi darah retroplasenta</w:t>
      </w:r>
    </w:p>
    <w:p>
      <w:pPr>
        <w:pStyle w:val="ListParagraph"/>
        <w:numPr>
          <w:ilvl w:val="0"/>
          <w:numId w:val="2"/>
        </w:numPr>
        <w:spacing w:after="90"/>
      </w:pPr>
      <w:r>
        <w:rPr>
          <w:rFonts w:ascii="IBM Plex Sans" w:cs="IBM Plex Sans" w:eastAsia="IBM Plex Sans" w:hAnsi="IBM Plex Sans"/>
          <w:color w:val="334155"/>
          <w:sz w:val="21"/>
          <w:szCs w:val="21"/>
        </w:rPr>
        <w:t xml:space="preserve">Kontraksi hipertonik dengan frekuensi tinggi dan tonus dasar yang meningkat</w:t>
      </w:r>
    </w:p>
    <w:p>
      <w:pPr>
        <w:pStyle w:val="ListParagraph"/>
        <w:numPr>
          <w:ilvl w:val="0"/>
          <w:numId w:val="2"/>
        </w:numPr>
        <w:spacing w:after="90"/>
      </w:pPr>
      <w:r>
        <w:rPr>
          <w:rFonts w:ascii="IBM Plex Sans" w:cs="IBM Plex Sans" w:eastAsia="IBM Plex Sans" w:hAnsi="IBM Plex Sans"/>
          <w:color w:val="334155"/>
          <w:sz w:val="21"/>
          <w:szCs w:val="21"/>
        </w:rPr>
        <w:t xml:space="preserve">Denyut jantung janin (DJJ) dapat menunjukkan bradikardia, deselerasi lambat/variabel berulang, penurunan variabilitas, atau tidak terdengar sama sekali pada kematian janin intrauterin</w:t>
      </w:r>
    </w:p>
    <w:p>
      <w:pPr>
        <w:spacing w:after="160" w:line="276"/>
      </w:pPr>
      <w:r>
        <w:rPr>
          <w:rFonts w:ascii="IBM Plex Sans" w:cs="IBM Plex Sans" w:eastAsia="IBM Plex Sans" w:hAnsi="IBM Plex Sans"/>
          <w:color w:val="334155"/>
          <w:sz w:val="21"/>
          <w:szCs w:val="21"/>
        </w:rPr>
        <w:t xml:space="preserve">Inspeksi genitalia eksterna dan pemeriksaan inspekulo dilakukan untuk menilai warna serta jumlah darah dan menyingkirkan penyebab perdarahan lokal pada serviks/vagina. Pemeriksaan colok vagina (digital) DITUNDA sampai plasenta previa disingkirkan melalui pencitraan ultrasonografi, karena manipulasi digital pada plasenta previa dapat memicu perdarahan masif.</w:t>
      </w:r>
    </w:p>
    <w:p>
      <w:pPr>
        <w:pStyle w:val="Heading1"/>
        <w:spacing w:after="140" w:before="320"/>
      </w:pPr>
      <w:r>
        <w:rPr>
          <w:rFonts w:ascii="Source Serif 4" w:cs="Source Serif 4" w:eastAsia="Source Serif 4" w:hAnsi="Source Serif 4"/>
          <w:b/>
          <w:bCs/>
          <w:color w:val="4F46E5"/>
          <w:sz w:val="28"/>
          <w:szCs w:val="28"/>
        </w:rPr>
        <w:t xml:space="preserve">4. Kriteria Diagnosis</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none"/>
              <w:left w:val="single" w:color="4F46E5" w:sz="24"/>
              <w:bottom w:val="none"/>
              <w:right w:val="none"/>
            </w:tcBorders>
            <w:shd w:fill="EEF2FF" w:val="clear"/>
            <w:tcMar>
              <w:top w:type="dxa" w:w="160"/>
              <w:left w:type="dxa" w:w="200"/>
              <w:bottom w:type="dxa" w:w="160"/>
              <w:right w:type="dxa" w:w="200"/>
            </w:tcMar>
          </w:tcPr>
          <w:p>
            <w:pPr>
              <w:spacing w:after="60"/>
            </w:pPr>
            <w:r>
              <w:rPr>
                <w:rFonts w:ascii="IBM Plex Sans" w:cs="IBM Plex Sans" w:eastAsia="IBM Plex Sans" w:hAnsi="IBM Plex Sans"/>
                <w:b/>
                <w:bCs/>
                <w:color w:val="4F46E5"/>
                <w:sz w:val="18"/>
                <w:szCs w:val="18"/>
              </w:rPr>
              <w:t xml:space="preserve">KODE DIAGNOSIS (TERVERIFIKASI TERHADAP TABEL 7 KEPKONSIL)</w:t>
            </w:r>
          </w:p>
          <w:p>
            <w:r>
              <w:rPr>
                <w:rFonts w:ascii="IBM Plex Sans" w:cs="IBM Plex Sans" w:eastAsia="IBM Plex Sans" w:hAnsi="IBM Plex Sans"/>
                <w:color w:val="334155"/>
                <w:sz w:val="20"/>
                <w:szCs w:val="20"/>
              </w:rPr>
              <w:t xml:space="preserve">Solusio plasenta / Placental abruption — ICD-10: O45.9 — ICD-11: JA8C.Z.</w:t>
            </w:r>
          </w:p>
        </w:tc>
      </w:tr>
    </w:tbl>
    <w:p>
      <w:pPr>
        <w:spacing w:after="160"/>
      </w:pPr>
    </w:p>
    <w:p>
      <w:pPr>
        <w:spacing w:after="160" w:line="276"/>
      </w:pPr>
      <w:r>
        <w:rPr>
          <w:rFonts w:ascii="IBM Plex Sans" w:cs="IBM Plex Sans" w:eastAsia="IBM Plex Sans" w:hAnsi="IBM Plex Sans"/>
          <w:color w:val="334155"/>
          <w:sz w:val="21"/>
          <w:szCs w:val="21"/>
        </w:rPr>
        <w:t xml:space="preserve">Diagnosis solusio plasenta pada dasarnya bersifat klinis, ditegakkan berdasarkan trias perdarahan pervaginam berwarna gelap, nyeri/ketegangan uterus yang menetap, dan kelainan pola denyut jantung janin, dengan konfirmasi pencitraan ultrasonografi bila memungkinkan. Perlu ditegaskan bahwa sensitivitas USG untuk mendeteksi hematoma retroplasenta terbatas — sekitar 20–50% kasus dapat luput terdeteksi — sehingga USG negatif TIDAK menyingkirkan diagnosis pada kasus dengan gambaran klinis yang kuat; keputusan tata laksana tetap mengutamakan kecurigaan klinis.</w:t>
      </w:r>
    </w:p>
    <w:p>
      <w:pPr>
        <w:spacing w:after="60" w:before="120"/>
      </w:pPr>
      <w:r>
        <w:rPr>
          <w:rFonts w:ascii="IBM Plex Sans" w:cs="IBM Plex Sans" w:eastAsia="IBM Plex Sans" w:hAnsi="IBM Plex Sans"/>
          <w:b/>
          <w:bCs/>
          <w:i/>
          <w:iCs/>
          <w:color w:val="334155"/>
          <w:sz w:val="21"/>
          <w:szCs w:val="21"/>
        </w:rPr>
        <w:t xml:space="preserve">Klasifikasi keparahan (klasifikasi Sher, dipakai sebagai acuan operasional)</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4535"/>
        <w:gridCol w:w="4535"/>
      </w:tblGrid>
      <w:tr>
        <w:trPr>
          <w:tblHeader/>
        </w:trPr>
        <w:tc>
          <w:tcPr>
            <w:tcW w:type="dxa" w:w="453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Derajat</w:t>
            </w:r>
          </w:p>
        </w:tc>
        <w:tc>
          <w:tcPr>
            <w:tcW w:type="dxa" w:w="453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Gambaran Klinis</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Stadium I (ringan)</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pervaginam ringan atau tidak ada; diagnosis kerap baru diketahui secara retrospektif pascapersalinan melalui bekuan retroplasenta kecil pada plasenta yang lahir; tanpa tanda gawat janin maupun koagulopati ibu</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Stadium II (sedang)</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pervaginam nyata, uterus hipertonik dan nyeri tekan, terdapat tanda gawat janin pada pemantauan DJJ, ibu belum mengalami syok</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Stadium IIIa (berat, tanpa koagulopati)</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berat dan/atau tersembunyi masif, uterus tegang berat, kematian janin intrauterin, syok ibu, tanpa gangguan koagulasi yang bermakna</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Stadium IIIb (berat, dengan koagulopati)</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Sama seperti stadium IIIa disertai koagulopati bermakna (penurunan fibrinogen, pemanjangan PT/aPTT, atau gambaran KID/DIC)</w:t>
            </w:r>
          </w:p>
        </w:tc>
      </w:tr>
    </w:tbl>
    <w:p>
      <w:pPr>
        <w:spacing w:after="160"/>
      </w:pPr>
    </w:p>
    <w:p>
      <w:pPr>
        <w:spacing w:after="160" w:line="276"/>
      </w:pPr>
      <w:r>
        <w:rPr>
          <w:rFonts w:ascii="IBM Plex Sans" w:cs="IBM Plex Sans" w:eastAsia="IBM Plex Sans" w:hAnsi="IBM Plex Sans"/>
          <w:color w:val="334155"/>
          <w:sz w:val="21"/>
          <w:szCs w:val="21"/>
        </w:rPr>
        <w:t xml:space="preserve">Kadar fibrinogen plasma merupakan salah satu penanda laboratorium terpenting untuk memprediksi keparahan solusio plasenta, khususnya pada kasus dengan kematian janin: kadar fibrinogen di bawah 2 g/L (200 mg/dL) berkaitan dengan risiko komplikasi maternal berat yang meningkat dan menjadi ambang kewaspadaan untuk aktivasi protokol transfusi masif.</w:t>
      </w:r>
    </w:p>
    <w:p>
      <w:pPr>
        <w:pStyle w:val="Heading1"/>
        <w:spacing w:after="140" w:before="320"/>
      </w:pPr>
      <w:r>
        <w:rPr>
          <w:rFonts w:ascii="Source Serif 4" w:cs="Source Serif 4" w:eastAsia="Source Serif 4" w:hAnsi="Source Serif 4"/>
          <w:b/>
          <w:bCs/>
          <w:color w:val="4F46E5"/>
          <w:sz w:val="28"/>
          <w:szCs w:val="28"/>
        </w:rPr>
        <w:t xml:space="preserve">5. Diagnosis Kerja dan Diagnosis Banding</w:t>
      </w:r>
    </w:p>
    <w:p>
      <w:pPr>
        <w:spacing w:after="160" w:line="276"/>
      </w:pPr>
      <w:r>
        <w:rPr>
          <w:rFonts w:ascii="IBM Plex Sans" w:cs="IBM Plex Sans" w:eastAsia="IBM Plex Sans" w:hAnsi="IBM Plex Sans"/>
          <w:color w:val="334155"/>
          <w:sz w:val="21"/>
          <w:szCs w:val="21"/>
        </w:rPr>
        <w:t xml:space="preserve">Diagnosis kerja ditulis sebagai "Solusio plasenta stadium [sesuai temuan klinis], usia kehamilan [...] minggu", dengan pencantuman kode O45.9 (ICD-10) dan JA8C.Z (ICD-11).</w:t>
      </w:r>
    </w:p>
    <w:p>
      <w:pPr>
        <w:spacing w:after="60" w:before="120"/>
      </w:pPr>
      <w:r>
        <w:rPr>
          <w:rFonts w:ascii="IBM Plex Sans" w:cs="IBM Plex Sans" w:eastAsia="IBM Plex Sans" w:hAnsi="IBM Plex Sans"/>
          <w:b/>
          <w:bCs/>
          <w:color w:val="334155"/>
          <w:sz w:val="21"/>
          <w:szCs w:val="21"/>
        </w:rPr>
        <w:t xml:space="preserve">Diagnosis banding yang wajib disingkirkan</w:t>
      </w:r>
    </w:p>
    <w:p>
      <w:pPr>
        <w:pStyle w:val="ListParagraph"/>
        <w:numPr>
          <w:ilvl w:val="0"/>
          <w:numId w:val="2"/>
        </w:numPr>
        <w:spacing w:after="90"/>
      </w:pPr>
      <w:r>
        <w:rPr>
          <w:rFonts w:ascii="IBM Plex Sans" w:cs="IBM Plex Sans" w:eastAsia="IBM Plex Sans" w:hAnsi="IBM Plex Sans"/>
          <w:color w:val="334155"/>
          <w:sz w:val="21"/>
          <w:szCs w:val="21"/>
        </w:rPr>
        <w:t xml:space="preserve">Plasenta previa — umumnya perdarahan merah segar, berulang, tanpa nyeri, tanpa ketegangan uterus</w:t>
      </w:r>
    </w:p>
    <w:p>
      <w:pPr>
        <w:pStyle w:val="ListParagraph"/>
        <w:numPr>
          <w:ilvl w:val="0"/>
          <w:numId w:val="2"/>
        </w:numPr>
        <w:spacing w:after="90"/>
      </w:pPr>
      <w:r>
        <w:rPr>
          <w:rFonts w:ascii="IBM Plex Sans" w:cs="IBM Plex Sans" w:eastAsia="IBM Plex Sans" w:hAnsi="IBM Plex Sans"/>
          <w:color w:val="334155"/>
          <w:sz w:val="21"/>
          <w:szCs w:val="21"/>
        </w:rPr>
        <w:t xml:space="preserve">Vasa previa — perdarahan timbul setelah ketuban pecah, sering disertai perburukan DJJ akut</w:t>
      </w:r>
    </w:p>
    <w:p>
      <w:pPr>
        <w:pStyle w:val="ListParagraph"/>
        <w:numPr>
          <w:ilvl w:val="0"/>
          <w:numId w:val="2"/>
        </w:numPr>
        <w:spacing w:after="90"/>
      </w:pPr>
      <w:r>
        <w:rPr>
          <w:rFonts w:ascii="IBM Plex Sans" w:cs="IBM Plex Sans" w:eastAsia="IBM Plex Sans" w:hAnsi="IBM Plex Sans"/>
          <w:color w:val="334155"/>
          <w:sz w:val="21"/>
          <w:szCs w:val="21"/>
        </w:rPr>
        <w:t xml:space="preserve">Ruptur uteri — terutama pada riwayat seksio sesarea, ditandai nyeri hebat mendadak, bagian janin teraba lebih mudah, presentasi naik, dan hilangnya DJJ secara tiba-tiba</w:t>
      </w:r>
    </w:p>
    <w:p>
      <w:pPr>
        <w:pStyle w:val="ListParagraph"/>
        <w:numPr>
          <w:ilvl w:val="0"/>
          <w:numId w:val="2"/>
        </w:numPr>
        <w:spacing w:after="90"/>
      </w:pPr>
      <w:r>
        <w:rPr>
          <w:rFonts w:ascii="IBM Plex Sans" w:cs="IBM Plex Sans" w:eastAsia="IBM Plex Sans" w:hAnsi="IBM Plex Sans"/>
          <w:color w:val="334155"/>
          <w:sz w:val="21"/>
          <w:szCs w:val="21"/>
        </w:rPr>
        <w:t xml:space="preserve">Persalinan preterm dengan bloody show — perdarahan minimal bercampur lendir, tanpa ketegangan uterus persisten</w:t>
      </w:r>
    </w:p>
    <w:p>
      <w:pPr>
        <w:pStyle w:val="ListParagraph"/>
        <w:numPr>
          <w:ilvl w:val="0"/>
          <w:numId w:val="2"/>
        </w:numPr>
        <w:spacing w:after="90"/>
      </w:pPr>
      <w:r>
        <w:rPr>
          <w:rFonts w:ascii="IBM Plex Sans" w:cs="IBM Plex Sans" w:eastAsia="IBM Plex Sans" w:hAnsi="IBM Plex Sans"/>
          <w:color w:val="334155"/>
          <w:sz w:val="21"/>
          <w:szCs w:val="21"/>
        </w:rPr>
        <w:t xml:space="preserve">Ruptur sinus marginalis plasenta — klinis lebih ringan, umumnya self-limited</w:t>
      </w:r>
    </w:p>
    <w:p>
      <w:pPr>
        <w:pStyle w:val="ListParagraph"/>
        <w:numPr>
          <w:ilvl w:val="0"/>
          <w:numId w:val="2"/>
        </w:numPr>
        <w:spacing w:after="90"/>
      </w:pPr>
      <w:r>
        <w:rPr>
          <w:rFonts w:ascii="IBM Plex Sans" w:cs="IBM Plex Sans" w:eastAsia="IBM Plex Sans" w:hAnsi="IBM Plex Sans"/>
          <w:color w:val="334155"/>
          <w:sz w:val="21"/>
          <w:szCs w:val="21"/>
        </w:rPr>
        <w:t xml:space="preserve">Penyebab lokal serviks/vagina (polip, erosi serviks, keganasan serviks) — tersingkir melalui inspekulo</w:t>
      </w:r>
    </w:p>
    <w:p>
      <w:pPr>
        <w:pStyle w:val="ListParagraph"/>
        <w:numPr>
          <w:ilvl w:val="0"/>
          <w:numId w:val="2"/>
        </w:numPr>
        <w:spacing w:after="90"/>
      </w:pPr>
      <w:r>
        <w:rPr>
          <w:rFonts w:ascii="IBM Plex Sans" w:cs="IBM Plex Sans" w:eastAsia="IBM Plex Sans" w:hAnsi="IBM Plex Sans"/>
          <w:color w:val="334155"/>
          <w:sz w:val="21"/>
          <w:szCs w:val="21"/>
        </w:rPr>
        <w:t xml:space="preserve">Koagulopati non-obstetri yang mendasari perdarahan</w:t>
      </w:r>
    </w:p>
    <w:p>
      <w:pPr>
        <w:pStyle w:val="Heading1"/>
        <w:spacing w:after="140" w:before="320"/>
      </w:pPr>
      <w:r>
        <w:rPr>
          <w:rFonts w:ascii="Source Serif 4" w:cs="Source Serif 4" w:eastAsia="Source Serif 4" w:hAnsi="Source Serif 4"/>
          <w:b/>
          <w:bCs/>
          <w:color w:val="4F46E5"/>
          <w:sz w:val="28"/>
          <w:szCs w:val="28"/>
        </w:rPr>
        <w:t xml:space="preserve">6. Pemeriksaan Penunjang</w:t>
      </w:r>
    </w:p>
    <w:p>
      <w:pPr>
        <w:pStyle w:val="ListParagraph"/>
        <w:numPr>
          <w:ilvl w:val="0"/>
          <w:numId w:val="2"/>
        </w:numPr>
        <w:spacing w:after="90"/>
      </w:pPr>
      <w:r>
        <w:rPr>
          <w:rFonts w:ascii="IBM Plex Sans" w:cs="IBM Plex Sans" w:eastAsia="IBM Plex Sans" w:hAnsi="IBM Plex Sans"/>
          <w:color w:val="334155"/>
          <w:sz w:val="21"/>
          <w:szCs w:val="21"/>
        </w:rPr>
        <w:t xml:space="preserve">Ultrasonografi obstetri: konfirmasi lokasi plasenta (menyingkirkan previa), identifikasi hematoma retroplasenta bila tervisualisasi, penilaian profil biofisik janin</w:t>
      </w:r>
    </w:p>
    <w:p>
      <w:pPr>
        <w:pStyle w:val="ListParagraph"/>
        <w:numPr>
          <w:ilvl w:val="0"/>
          <w:numId w:val="2"/>
        </w:numPr>
        <w:spacing w:after="90"/>
      </w:pPr>
      <w:r>
        <w:rPr>
          <w:rFonts w:ascii="IBM Plex Sans" w:cs="IBM Plex Sans" w:eastAsia="IBM Plex Sans" w:hAnsi="IBM Plex Sans"/>
          <w:color w:val="334155"/>
          <w:sz w:val="21"/>
          <w:szCs w:val="21"/>
        </w:rPr>
        <w:t xml:space="preserve">Kardiotokografi (CTG) kontinu untuk memantau pola denyut jantung janin dan aktivitas uterus</w:t>
      </w:r>
    </w:p>
    <w:p>
      <w:pPr>
        <w:pStyle w:val="ListParagraph"/>
        <w:numPr>
          <w:ilvl w:val="0"/>
          <w:numId w:val="2"/>
        </w:numPr>
        <w:spacing w:after="90"/>
      </w:pPr>
      <w:r>
        <w:rPr>
          <w:rFonts w:ascii="IBM Plex Sans" w:cs="IBM Plex Sans" w:eastAsia="IBM Plex Sans" w:hAnsi="IBM Plex Sans"/>
          <w:color w:val="334155"/>
          <w:sz w:val="21"/>
          <w:szCs w:val="21"/>
        </w:rPr>
        <w:t xml:space="preserve">Darah perifer lengkap (hemoglobin, hematokrit, trombosit)</w:t>
      </w:r>
    </w:p>
    <w:p>
      <w:pPr>
        <w:pStyle w:val="ListParagraph"/>
        <w:numPr>
          <w:ilvl w:val="0"/>
          <w:numId w:val="2"/>
        </w:numPr>
        <w:spacing w:after="90"/>
      </w:pPr>
      <w:r>
        <w:rPr>
          <w:rFonts w:ascii="IBM Plex Sans" w:cs="IBM Plex Sans" w:eastAsia="IBM Plex Sans" w:hAnsi="IBM Plex Sans"/>
          <w:color w:val="334155"/>
          <w:sz w:val="21"/>
          <w:szCs w:val="21"/>
        </w:rPr>
        <w:t xml:space="preserve">Golongan darah dan crossmatch, dipersiapkan sejak awal mengingat risiko perdarahan masif mendadak</w:t>
      </w:r>
    </w:p>
    <w:p>
      <w:pPr>
        <w:pStyle w:val="ListParagraph"/>
        <w:numPr>
          <w:ilvl w:val="0"/>
          <w:numId w:val="2"/>
        </w:numPr>
        <w:spacing w:after="90"/>
      </w:pPr>
      <w:r>
        <w:rPr>
          <w:rFonts w:ascii="IBM Plex Sans" w:cs="IBM Plex Sans" w:eastAsia="IBM Plex Sans" w:hAnsi="IBM Plex Sans"/>
          <w:color w:val="334155"/>
          <w:sz w:val="21"/>
          <w:szCs w:val="21"/>
        </w:rPr>
        <w:t xml:space="preserve">Profil koagulasi: PT, aPTT, fibrinogen, D-dimer — fibrinogen di bawah 2 g/L merupakan penanda risiko komplikasi berat dan indikasi kewaspadaan transfusi</w:t>
      </w:r>
    </w:p>
    <w:p>
      <w:pPr>
        <w:pStyle w:val="ListParagraph"/>
        <w:numPr>
          <w:ilvl w:val="0"/>
          <w:numId w:val="2"/>
        </w:numPr>
        <w:spacing w:after="90"/>
      </w:pPr>
      <w:r>
        <w:rPr>
          <w:rFonts w:ascii="IBM Plex Sans" w:cs="IBM Plex Sans" w:eastAsia="IBM Plex Sans" w:hAnsi="IBM Plex Sans"/>
          <w:color w:val="334155"/>
          <w:sz w:val="21"/>
          <w:szCs w:val="21"/>
        </w:rPr>
        <w:t xml:space="preserve">Fungsi ginjal dan hati, terutama bila dicurigai preeklampsia yang menyertai</w:t>
      </w:r>
    </w:p>
    <w:p>
      <w:pPr>
        <w:pStyle w:val="ListParagraph"/>
        <w:numPr>
          <w:ilvl w:val="0"/>
          <w:numId w:val="2"/>
        </w:numPr>
        <w:spacing w:after="90"/>
      </w:pPr>
      <w:r>
        <w:rPr>
          <w:rFonts w:ascii="IBM Plex Sans" w:cs="IBM Plex Sans" w:eastAsia="IBM Plex Sans" w:hAnsi="IBM Plex Sans"/>
          <w:color w:val="334155"/>
          <w:sz w:val="21"/>
          <w:szCs w:val="21"/>
        </w:rPr>
        <w:t xml:space="preserve">Kleihauer-Betke test pada ibu Rh-negatif untuk memperkirakan volume perdarahan fetomaternal dan menentukan dosis imunoglobulin anti-D</w:t>
      </w:r>
    </w:p>
    <w:p>
      <w:pPr>
        <w:pStyle w:val="ListParagraph"/>
        <w:numPr>
          <w:ilvl w:val="0"/>
          <w:numId w:val="2"/>
        </w:numPr>
        <w:spacing w:after="90"/>
      </w:pPr>
      <w:r>
        <w:rPr>
          <w:rFonts w:ascii="IBM Plex Sans" w:cs="IBM Plex Sans" w:eastAsia="IBM Plex Sans" w:hAnsi="IBM Plex Sans"/>
          <w:color w:val="334155"/>
          <w:sz w:val="21"/>
          <w:szCs w:val="21"/>
        </w:rPr>
        <w:t xml:space="preserve">Pencitraan tambahan (mis. FAST abdomen ibu) bila etiologi terkait trauma</w:t>
      </w:r>
    </w:p>
    <w:p>
      <w:pPr>
        <w:pStyle w:val="Heading1"/>
        <w:spacing w:after="140" w:before="320"/>
      </w:pPr>
      <w:r>
        <w:rPr>
          <w:rFonts w:ascii="Source Serif 4" w:cs="Source Serif 4" w:eastAsia="Source Serif 4" w:hAnsi="Source Serif 4"/>
          <w:b/>
          <w:bCs/>
          <w:color w:val="4F46E5"/>
          <w:sz w:val="28"/>
          <w:szCs w:val="28"/>
        </w:rPr>
        <w:t xml:space="preserve">7. Tata Laksana</w:t>
      </w:r>
    </w:p>
    <w:p>
      <w:pPr>
        <w:spacing w:after="160" w:line="276"/>
      </w:pPr>
      <w:r>
        <w:rPr>
          <w:rFonts w:ascii="IBM Plex Sans" w:cs="IBM Plex Sans" w:eastAsia="IBM Plex Sans" w:hAnsi="IBM Plex Sans"/>
          <w:color w:val="334155"/>
          <w:sz w:val="21"/>
          <w:szCs w:val="21"/>
        </w:rPr>
        <w:t xml:space="preserve">Tata laksana bersifat individual berdasarkan derajat keparahan, usia kehamilan, status janin (hidup/viable atau meninggal), dan stabilitas hemodinamik ibu. Prinsip umum adalah stabilisasi ibu, pemantauan janin ketat, dan pengambilan keputusan persalinan tepat waktu.</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9070"/>
      </w:tblGrid>
      <w:tr>
        <w:tc>
          <w:tcPr>
            <w:tcW w:type="dxa" w:w="9070"/>
            <w:tcBorders>
              <w:top w:val="none"/>
              <w:left w:val="single" w:color="B45309" w:sz="24"/>
              <w:bottom w:val="none"/>
              <w:right w:val="none"/>
            </w:tcBorders>
            <w:shd w:fill="FEF3E2" w:val="clear"/>
            <w:tcMar>
              <w:top w:type="dxa" w:w="180"/>
              <w:left w:type="dxa" w:w="220"/>
              <w:bottom w:type="dxa" w:w="180"/>
              <w:right w:type="dxa" w:w="220"/>
            </w:tcMar>
          </w:tcPr>
          <w:p>
            <w:pPr>
              <w:spacing w:after="100"/>
            </w:pPr>
            <w:r>
              <w:rPr>
                <w:rFonts w:ascii="IBM Plex Sans" w:cs="IBM Plex Sans" w:eastAsia="IBM Plex Sans" w:hAnsi="IBM Plex Sans"/>
                <w:b/>
                <w:bCs/>
                <w:color w:val="B45309"/>
                <w:sz w:val="20"/>
                <w:szCs w:val="20"/>
              </w:rPr>
              <w:t xml:space="preserve">Kontribusi Divisi Pengampu — Fetomaternal</w:t>
            </w:r>
          </w:p>
          <w:p>
            <w:pPr>
              <w:spacing w:after="100"/>
            </w:pPr>
            <w:r>
              <w:rPr>
                <w:rFonts w:ascii="IBM Plex Sans" w:cs="IBM Plex Sans" w:eastAsia="IBM Plex Sans" w:hAnsi="IBM Plex Sans"/>
                <w:b/>
                <w:bCs/>
                <w:color w:val="334155"/>
                <w:sz w:val="20"/>
                <w:szCs w:val="20"/>
              </w:rPr>
              <w:t xml:space="preserve">A. Deskripsi — </w:t>
            </w:r>
            <w:r>
              <w:rPr>
                <w:rFonts w:ascii="IBM Plex Sans" w:cs="IBM Plex Sans" w:eastAsia="IBM Plex Sans" w:hAnsi="IBM Plex Sans"/>
                <w:color w:val="334155"/>
                <w:sz w:val="20"/>
                <w:szCs w:val="20"/>
              </w:rPr>
              <w:t xml:space="preserve">perspektif fetomaternal relevan pada solusio plasenta karena tata laksana kasus preterm dengan janin masih viable memerlukan keseimbangan cermat antara risiko pemburukan mendadak pada ibu dan potensi manfaat penundaan persalinan untuk pematangan paru janin — keputusan yang idealnya dibuat bersama subspesialis fetomaternal pada kasus borderline.</w:t>
            </w:r>
          </w:p>
          <w:p>
            <w:pPr>
              <w:spacing w:after="100"/>
            </w:pPr>
            <w:r>
              <w:rPr>
                <w:rFonts w:ascii="IBM Plex Sans" w:cs="IBM Plex Sans" w:eastAsia="IBM Plex Sans" w:hAnsi="IBM Plex Sans"/>
                <w:b/>
                <w:bCs/>
                <w:color w:val="334155"/>
                <w:sz w:val="20"/>
                <w:szCs w:val="20"/>
              </w:rPr>
              <w:t xml:space="preserve">B. Prinsip tata laksana ekspektatif terbatas — </w:t>
            </w:r>
            <w:r>
              <w:rPr>
                <w:rFonts w:ascii="IBM Plex Sans" w:cs="IBM Plex Sans" w:eastAsia="IBM Plex Sans" w:hAnsi="IBM Plex Sans"/>
                <w:color w:val="334155"/>
                <w:sz w:val="20"/>
                <w:szCs w:val="20"/>
              </w:rPr>
              <w:t xml:space="preserve">pada solusio plasenta stadium I–II dengan usia kehamilan jauh dari aterm, ibu stabil, dan tidak ada tanda gawat janin, tata laksana ekspektatif di fasilitas dengan kemampuan pemantauan ketat dan unit neonatal dapat dipertimbangkan untuk memperpanjang usia kehamilan, dengan syarat pemantauan harian meliputi CTG, evaluasi pertumbuhan janin berkala, dan kesiapan tim untuk tindakan segera bila terjadi perburukan sewaktu-waktu. Ambang untuk menghentikan pendekatan ekspektatif adalah munculnya tanda gawat janin, perdarahan aktif memberat, atau instabilitas hemodinamik ibu.</w:t>
            </w:r>
          </w:p>
          <w:p>
            <w:pPr>
              <w:spacing w:after="100"/>
            </w:pPr>
            <w:r>
              <w:rPr>
                <w:rFonts w:ascii="IBM Plex Sans" w:cs="IBM Plex Sans" w:eastAsia="IBM Plex Sans" w:hAnsi="IBM Plex Sans"/>
                <w:b/>
                <w:bCs/>
                <w:color w:val="334155"/>
                <w:sz w:val="20"/>
                <w:szCs w:val="20"/>
              </w:rPr>
              <w:t xml:space="preserve">C. Ilustrasi kasus lapangan — </w:t>
            </w:r>
            <w:r>
              <w:rPr>
                <w:rFonts w:ascii="IBM Plex Sans" w:cs="IBM Plex Sans" w:eastAsia="IBM Plex Sans" w:hAnsi="IBM Plex Sans"/>
                <w:color w:val="334155"/>
                <w:sz w:val="20"/>
                <w:szCs w:val="20"/>
              </w:rPr>
              <w:t xml:space="preserve">seorang perempuan G2P1 usia kehamilan 29 minggu datang dengan perdarahan bercak dan nyeri perut ringan; USG tidak menunjukkan hematoma jelas namun gambaran klinis mengarah pada solusio stadium I. Setelah observasi 48 jam dengan CTG harian dan kortikosteroid antenatal, kondisi tetap stabil sehingga kehamilan dilanjutkan dengan pemantauan ketat rawat jalan terjadwal; persalinan akhirnya dilakukan pada usia kehamilan 34 minggu setelah muncul tanda perburukan ringan, dengan luaran neonatal baik. Kasus ini menggambarkan pentingnya reevaluasi berkelanjutan, bukan keputusan tunggal di awal, dalam tata laksana ekspektatif.</w:t>
            </w:r>
          </w:p>
        </w:tc>
      </w:tr>
    </w:tbl>
    <w:p>
      <w:pPr>
        <w:spacing w:after="160"/>
      </w:pPr>
    </w:p>
    <w:p>
      <w:pPr>
        <w:pStyle w:val="Heading2"/>
        <w:spacing w:after="140" w:before="320"/>
      </w:pPr>
      <w:r>
        <w:rPr>
          <w:rFonts w:ascii="Source Serif 4" w:cs="Source Serif 4" w:eastAsia="Source Serif 4" w:hAnsi="Source Serif 4"/>
          <w:b/>
          <w:bCs/>
          <w:color w:val="B45309"/>
          <w:sz w:val="24"/>
          <w:szCs w:val="24"/>
        </w:rPr>
        <w:t xml:space="preserve">7.1. Tata Laksana Non-Farmakologis</w:t>
      </w:r>
    </w:p>
    <w:p>
      <w:pPr>
        <w:pStyle w:val="ListParagraph"/>
        <w:numPr>
          <w:ilvl w:val="0"/>
          <w:numId w:val="2"/>
        </w:numPr>
        <w:spacing w:after="90"/>
      </w:pPr>
      <w:r>
        <w:rPr>
          <w:rFonts w:ascii="IBM Plex Sans" w:cs="IBM Plex Sans" w:eastAsia="IBM Plex Sans" w:hAnsi="IBM Plex Sans"/>
          <w:color w:val="334155"/>
          <w:sz w:val="21"/>
          <w:szCs w:val="21"/>
        </w:rPr>
        <w:t xml:space="preserve">Stabilisasi jalan napas, pernapasan, sirkulasi (ABC); pemberian oksigen sesuai indikasi</w:t>
      </w:r>
    </w:p>
    <w:p>
      <w:pPr>
        <w:pStyle w:val="ListParagraph"/>
        <w:numPr>
          <w:ilvl w:val="0"/>
          <w:numId w:val="2"/>
        </w:numPr>
        <w:spacing w:after="90"/>
      </w:pPr>
      <w:r>
        <w:rPr>
          <w:rFonts w:ascii="IBM Plex Sans" w:cs="IBM Plex Sans" w:eastAsia="IBM Plex Sans" w:hAnsi="IBM Plex Sans"/>
          <w:color w:val="334155"/>
          <w:sz w:val="21"/>
          <w:szCs w:val="21"/>
        </w:rPr>
        <w:t xml:space="preserve">Posisi ibu miring kiri untuk menghindari kompresi aortokaval</w:t>
      </w:r>
    </w:p>
    <w:p>
      <w:pPr>
        <w:pStyle w:val="ListParagraph"/>
        <w:numPr>
          <w:ilvl w:val="0"/>
          <w:numId w:val="2"/>
        </w:numPr>
        <w:spacing w:after="90"/>
      </w:pPr>
      <w:r>
        <w:rPr>
          <w:rFonts w:ascii="IBM Plex Sans" w:cs="IBM Plex Sans" w:eastAsia="IBM Plex Sans" w:hAnsi="IBM Plex Sans"/>
          <w:color w:val="334155"/>
          <w:sz w:val="21"/>
          <w:szCs w:val="21"/>
        </w:rPr>
        <w:t xml:space="preserve">Pemasangan dua jalur intravena berdiameter besar untuk resusitasi cairan cepat</w:t>
      </w:r>
    </w:p>
    <w:p>
      <w:pPr>
        <w:pStyle w:val="ListParagraph"/>
        <w:numPr>
          <w:ilvl w:val="0"/>
          <w:numId w:val="2"/>
        </w:numPr>
        <w:spacing w:after="90"/>
      </w:pPr>
      <w:r>
        <w:rPr>
          <w:rFonts w:ascii="IBM Plex Sans" w:cs="IBM Plex Sans" w:eastAsia="IBM Plex Sans" w:hAnsi="IBM Plex Sans"/>
          <w:color w:val="334155"/>
          <w:sz w:val="21"/>
          <w:szCs w:val="21"/>
        </w:rPr>
        <w:t xml:space="preserve">Pemantauan tanda vital ibu dan balans cairan secara ketat</w:t>
      </w:r>
    </w:p>
    <w:p>
      <w:pPr>
        <w:pStyle w:val="ListParagraph"/>
        <w:numPr>
          <w:ilvl w:val="0"/>
          <w:numId w:val="2"/>
        </w:numPr>
        <w:spacing w:after="90"/>
      </w:pPr>
      <w:r>
        <w:rPr>
          <w:rFonts w:ascii="IBM Plex Sans" w:cs="IBM Plex Sans" w:eastAsia="IBM Plex Sans" w:hAnsi="IBM Plex Sans"/>
          <w:color w:val="334155"/>
          <w:sz w:val="21"/>
          <w:szCs w:val="21"/>
        </w:rPr>
        <w:t xml:space="preserve">Pemantauan DJJ kontinu (CTG) sejak awal evaluasi</w:t>
      </w:r>
    </w:p>
    <w:p>
      <w:pPr>
        <w:pStyle w:val="ListParagraph"/>
        <w:numPr>
          <w:ilvl w:val="0"/>
          <w:numId w:val="2"/>
        </w:numPr>
        <w:spacing w:after="90"/>
      </w:pPr>
      <w:r>
        <w:rPr>
          <w:rFonts w:ascii="IBM Plex Sans" w:cs="IBM Plex Sans" w:eastAsia="IBM Plex Sans" w:hAnsi="IBM Plex Sans"/>
          <w:color w:val="334155"/>
          <w:sz w:val="21"/>
          <w:szCs w:val="21"/>
        </w:rPr>
        <w:t xml:space="preserve">Aktivasi protokol persiapan produk darah (PRC, FFP, kriopresipitat, trombosit) sesuai fasilitas</w:t>
      </w:r>
    </w:p>
    <w:p>
      <w:pPr>
        <w:pStyle w:val="ListParagraph"/>
        <w:numPr>
          <w:ilvl w:val="0"/>
          <w:numId w:val="2"/>
        </w:numPr>
        <w:spacing w:after="90"/>
      </w:pPr>
      <w:r>
        <w:rPr>
          <w:rFonts w:ascii="IBM Plex Sans" w:cs="IBM Plex Sans" w:eastAsia="IBM Plex Sans" w:hAnsi="IBM Plex Sans"/>
          <w:color w:val="334155"/>
          <w:sz w:val="21"/>
          <w:szCs w:val="21"/>
        </w:rPr>
        <w:t xml:space="preserve">Penetapan rencana persalinan (waktu dan cara) berdasarkan derajat keparahan dan usia kehamilan</w:t>
      </w:r>
    </w:p>
    <w:p>
      <w:pPr>
        <w:pStyle w:val="Heading2"/>
        <w:spacing w:after="140" w:before="320"/>
      </w:pPr>
      <w:r>
        <w:rPr>
          <w:rFonts w:ascii="Source Serif 4" w:cs="Source Serif 4" w:eastAsia="Source Serif 4" w:hAnsi="Source Serif 4"/>
          <w:b/>
          <w:bCs/>
          <w:color w:val="B45309"/>
          <w:sz w:val="24"/>
          <w:szCs w:val="24"/>
        </w:rPr>
        <w:t xml:space="preserve">7.2. Tata Laksana Farmakologis</w:t>
      </w:r>
    </w:p>
    <w:p>
      <w:pPr>
        <w:pStyle w:val="ListParagraph"/>
        <w:numPr>
          <w:ilvl w:val="0"/>
          <w:numId w:val="2"/>
        </w:numPr>
        <w:spacing w:after="90"/>
      </w:pPr>
      <w:r>
        <w:rPr>
          <w:rFonts w:ascii="IBM Plex Sans" w:cs="IBM Plex Sans" w:eastAsia="IBM Plex Sans" w:hAnsi="IBM Plex Sans"/>
          <w:color w:val="334155"/>
          <w:sz w:val="21"/>
          <w:szCs w:val="21"/>
        </w:rPr>
        <w:t xml:space="preserve">Resusitasi cairan kristaloid sebagai lini pertama sambil menunggu produk darah</w:t>
      </w:r>
    </w:p>
    <w:p>
      <w:pPr>
        <w:pStyle w:val="ListParagraph"/>
        <w:numPr>
          <w:ilvl w:val="0"/>
          <w:numId w:val="2"/>
        </w:numPr>
        <w:spacing w:after="90"/>
      </w:pPr>
      <w:r>
        <w:rPr>
          <w:rFonts w:ascii="IBM Plex Sans" w:cs="IBM Plex Sans" w:eastAsia="IBM Plex Sans" w:hAnsi="IBM Plex Sans"/>
          <w:color w:val="334155"/>
          <w:sz w:val="21"/>
          <w:szCs w:val="21"/>
        </w:rPr>
        <w:t xml:space="preserve">Transfusi komponen darah (PRC, FFP, kriopresipitat, trombosit) sesuai hasil pemeriksaan koagulasi dan derajat perdarahan; pertahankan kadar fibrinogen di atas 2 g/L selama perdarahan aktif berlangsung</w:t>
      </w:r>
    </w:p>
    <w:p>
      <w:pPr>
        <w:pStyle w:val="ListParagraph"/>
        <w:numPr>
          <w:ilvl w:val="0"/>
          <w:numId w:val="2"/>
        </w:numPr>
        <w:spacing w:after="90"/>
      </w:pPr>
      <w:r>
        <w:rPr>
          <w:rFonts w:ascii="IBM Plex Sans" w:cs="IBM Plex Sans" w:eastAsia="IBM Plex Sans" w:hAnsi="IBM Plex Sans"/>
          <w:color w:val="334155"/>
          <w:sz w:val="21"/>
          <w:szCs w:val="21"/>
        </w:rPr>
        <w:t xml:space="preserve">Kortikosteroid antenatal pada usia kehamilan 24 hingga kurang dari 34 minggu bila persalinan preterm mengancam dan kondisi ibu-janin memungkinkan penundaan singkat — betametason 12 mg intramuskular, dua dosis berjarak 24 jam, atau deksametason 6 mg intramuskular tiap 12 jam sebanyak empat dosis</w:t>
      </w:r>
    </w:p>
    <w:p>
      <w:pPr>
        <w:pStyle w:val="ListParagraph"/>
        <w:numPr>
          <w:ilvl w:val="0"/>
          <w:numId w:val="2"/>
        </w:numPr>
        <w:spacing w:after="90"/>
      </w:pPr>
      <w:r>
        <w:rPr>
          <w:rFonts w:ascii="IBM Plex Sans" w:cs="IBM Plex Sans" w:eastAsia="IBM Plex Sans" w:hAnsi="IBM Plex Sans"/>
          <w:color w:val="334155"/>
          <w:sz w:val="21"/>
          <w:szCs w:val="21"/>
        </w:rPr>
        <w:t xml:space="preserve">Magnesium sulfat untuk neuroproteksi janin pada usia kehamilan di bawah 32 minggu bila persalinan preterm tidak dapat dihindari, mengikuti protokol dosis loading-maintenance yang berlaku di fasilitas rujukan</w:t>
      </w:r>
    </w:p>
    <w:p>
      <w:pPr>
        <w:pStyle w:val="ListParagraph"/>
        <w:numPr>
          <w:ilvl w:val="0"/>
          <w:numId w:val="2"/>
        </w:numPr>
        <w:spacing w:after="90"/>
      </w:pPr>
      <w:r>
        <w:rPr>
          <w:rFonts w:ascii="IBM Plex Sans" w:cs="IBM Plex Sans" w:eastAsia="IBM Plex Sans" w:hAnsi="IBM Plex Sans"/>
          <w:color w:val="334155"/>
          <w:sz w:val="21"/>
          <w:szCs w:val="21"/>
        </w:rPr>
        <w:t xml:space="preserve">Profilaksis imunoglobulin anti-D pada ibu Rh-negatif, dosis disesuaikan hasil Kleihauer-Betke test</w:t>
      </w:r>
    </w:p>
    <w:p>
      <w:pPr>
        <w:pStyle w:val="ListParagraph"/>
        <w:numPr>
          <w:ilvl w:val="0"/>
          <w:numId w:val="2"/>
        </w:numPr>
        <w:spacing w:after="90"/>
      </w:pPr>
      <w:r>
        <w:rPr>
          <w:rFonts w:ascii="IBM Plex Sans" w:cs="IBM Plex Sans" w:eastAsia="IBM Plex Sans" w:hAnsi="IBM Plex Sans"/>
          <w:color w:val="334155"/>
          <w:sz w:val="21"/>
          <w:szCs w:val="21"/>
        </w:rPr>
        <w:t xml:space="preserve">Tokolisis TIDAK direkomendasikan pada solusio plasenta yang bermakna secara klinis, karena berisiko menutupi perburukan dan memperberat perdarahan tersembunyi; hanya dipertimbangkan sangat selektif pada kasus ringan dengan janin sangat prematur di bawah pengawasan ketat di fasilitas rujukan</w:t>
      </w:r>
    </w:p>
    <w:p>
      <w:pPr>
        <w:pStyle w:val="Heading2"/>
        <w:spacing w:after="140" w:before="320"/>
      </w:pPr>
      <w:r>
        <w:rPr>
          <w:rFonts w:ascii="Source Serif 4" w:cs="Source Serif 4" w:eastAsia="Source Serif 4" w:hAnsi="Source Serif 4"/>
          <w:b/>
          <w:bCs/>
          <w:color w:val="B45309"/>
          <w:sz w:val="24"/>
          <w:szCs w:val="24"/>
        </w:rPr>
        <w:t xml:space="preserve">7.3. Tata Laksana Bedah/Prosedural</w:t>
      </w:r>
    </w:p>
    <w:p>
      <w:pPr>
        <w:pStyle w:val="ListParagraph"/>
        <w:numPr>
          <w:ilvl w:val="0"/>
          <w:numId w:val="2"/>
        </w:numPr>
        <w:spacing w:after="90"/>
      </w:pPr>
      <w:r>
        <w:rPr>
          <w:rFonts w:ascii="IBM Plex Sans" w:cs="IBM Plex Sans" w:eastAsia="IBM Plex Sans" w:hAnsi="IBM Plex Sans"/>
          <w:color w:val="334155"/>
          <w:sz w:val="21"/>
          <w:szCs w:val="21"/>
        </w:rPr>
        <w:t xml:space="preserve">Seksio sesarea segera diindikasikan pada gawat janin dengan janin viable, perdarahan berat, atau instabilitas hemodinamik ibu yang tidak segera teratasi</w:t>
      </w:r>
    </w:p>
    <w:p>
      <w:pPr>
        <w:pStyle w:val="ListParagraph"/>
        <w:numPr>
          <w:ilvl w:val="0"/>
          <w:numId w:val="2"/>
        </w:numPr>
        <w:spacing w:after="90"/>
      </w:pPr>
      <w:r>
        <w:rPr>
          <w:rFonts w:ascii="IBM Plex Sans" w:cs="IBM Plex Sans" w:eastAsia="IBM Plex Sans" w:hAnsi="IBM Plex Sans"/>
          <w:color w:val="334155"/>
          <w:sz w:val="21"/>
          <w:szCs w:val="21"/>
        </w:rPr>
        <w:t xml:space="preserve">Persalinan pervaginam dapat dipertimbangkan bila janin telah meninggal atau tidak viable serta kondisi ibu stabil, dilakukan amniotomi untuk mempercepat persalinan dan mengurangi tekanan intrauterin</w:t>
      </w:r>
    </w:p>
    <w:p>
      <w:pPr>
        <w:pStyle w:val="ListParagraph"/>
        <w:numPr>
          <w:ilvl w:val="0"/>
          <w:numId w:val="2"/>
        </w:numPr>
        <w:spacing w:after="90"/>
      </w:pPr>
      <w:r>
        <w:rPr>
          <w:rFonts w:ascii="IBM Plex Sans" w:cs="IBM Plex Sans" w:eastAsia="IBM Plex Sans" w:hAnsi="IBM Plex Sans"/>
          <w:color w:val="334155"/>
          <w:sz w:val="21"/>
          <w:szCs w:val="21"/>
        </w:rPr>
        <w:t xml:space="preserve">Histerektomi menjadi tata laksana definitif pada atonia uteri refrakter atau uterus couvelaire dengan perdarahan yang tidak terkendali setelah upaya konservatif gagal</w:t>
      </w:r>
    </w:p>
    <w:p>
      <w:pPr>
        <w:pStyle w:val="Heading2"/>
        <w:spacing w:after="140" w:before="320"/>
      </w:pPr>
      <w:r>
        <w:rPr>
          <w:rFonts w:ascii="Source Serif 4" w:cs="Source Serif 4" w:eastAsia="Source Serif 4" w:hAnsi="Source Serif 4"/>
          <w:b/>
          <w:bCs/>
          <w:color w:val="B45309"/>
          <w:sz w:val="24"/>
          <w:szCs w:val="24"/>
        </w:rPr>
        <w:t xml:space="preserve">7.4. Kriteria Rujukan ke Subspesialis Fetomaternal</w:t>
      </w:r>
    </w:p>
    <w:p>
      <w:pPr>
        <w:pStyle w:val="ListParagraph"/>
        <w:numPr>
          <w:ilvl w:val="0"/>
          <w:numId w:val="2"/>
        </w:numPr>
        <w:spacing w:after="90"/>
      </w:pPr>
      <w:r>
        <w:rPr>
          <w:rFonts w:ascii="IBM Plex Sans" w:cs="IBM Plex Sans" w:eastAsia="IBM Plex Sans" w:hAnsi="IBM Plex Sans"/>
          <w:color w:val="334155"/>
          <w:sz w:val="21"/>
          <w:szCs w:val="21"/>
        </w:rPr>
        <w:t xml:space="preserve">Solusio plasenta pada kehamilan preterm ekstrem yang memerlukan tata laksana ekspektatif kompleks</w:t>
      </w:r>
    </w:p>
    <w:p>
      <w:pPr>
        <w:pStyle w:val="ListParagraph"/>
        <w:numPr>
          <w:ilvl w:val="0"/>
          <w:numId w:val="2"/>
        </w:numPr>
        <w:spacing w:after="90"/>
      </w:pPr>
      <w:r>
        <w:rPr>
          <w:rFonts w:ascii="IBM Plex Sans" w:cs="IBM Plex Sans" w:eastAsia="IBM Plex Sans" w:hAnsi="IBM Plex Sans"/>
          <w:color w:val="334155"/>
          <w:sz w:val="21"/>
          <w:szCs w:val="21"/>
        </w:rPr>
        <w:t xml:space="preserve">Kasus dengan komplikasi koagulopati berat/KID (DIC)</w:t>
      </w:r>
    </w:p>
    <w:p>
      <w:pPr>
        <w:pStyle w:val="ListParagraph"/>
        <w:numPr>
          <w:ilvl w:val="0"/>
          <w:numId w:val="2"/>
        </w:numPr>
        <w:spacing w:after="90"/>
      </w:pPr>
      <w:r>
        <w:rPr>
          <w:rFonts w:ascii="IBM Plex Sans" w:cs="IBM Plex Sans" w:eastAsia="IBM Plex Sans" w:hAnsi="IBM Plex Sans"/>
          <w:color w:val="334155"/>
          <w:sz w:val="21"/>
          <w:szCs w:val="21"/>
        </w:rPr>
        <w:t xml:space="preserve">Kecurigaan disertai restriksi pertumbuhan janin (FGR) berat</w:t>
      </w:r>
    </w:p>
    <w:p>
      <w:pPr>
        <w:pStyle w:val="ListParagraph"/>
        <w:numPr>
          <w:ilvl w:val="0"/>
          <w:numId w:val="2"/>
        </w:numPr>
        <w:spacing w:after="90"/>
      </w:pPr>
      <w:r>
        <w:rPr>
          <w:rFonts w:ascii="IBM Plex Sans" w:cs="IBM Plex Sans" w:eastAsia="IBM Plex Sans" w:hAnsi="IBM Plex Sans"/>
          <w:color w:val="334155"/>
          <w:sz w:val="21"/>
          <w:szCs w:val="21"/>
        </w:rPr>
        <w:t xml:space="preserve">Kebutuhan konseling dan tata laksana lanjutan pada janin sangat prematur yang berpotensi bertahan</w:t>
      </w:r>
    </w:p>
    <w:p>
      <w:pPr>
        <w:pStyle w:val="ListParagraph"/>
        <w:numPr>
          <w:ilvl w:val="0"/>
          <w:numId w:val="2"/>
        </w:numPr>
        <w:spacing w:after="90"/>
      </w:pPr>
      <w:r>
        <w:rPr>
          <w:rFonts w:ascii="IBM Plex Sans" w:cs="IBM Plex Sans" w:eastAsia="IBM Plex Sans" w:hAnsi="IBM Plex Sans"/>
          <w:color w:val="334155"/>
          <w:sz w:val="21"/>
          <w:szCs w:val="21"/>
        </w:rPr>
        <w:t xml:space="preserve">Fasilitas pelayanan tanpa unit perawatan intensif neonatal dan/atau maternal yang memadai</w:t>
      </w:r>
    </w:p>
    <w:p>
      <w:pPr>
        <w:pStyle w:val="Heading1"/>
        <w:spacing w:after="140" w:before="320"/>
      </w:pPr>
      <w:r>
        <w:rPr>
          <w:rFonts w:ascii="Source Serif 4" w:cs="Source Serif 4" w:eastAsia="Source Serif 4" w:hAnsi="Source Serif 4"/>
          <w:b/>
          <w:bCs/>
          <w:color w:val="4F46E5"/>
          <w:sz w:val="28"/>
          <w:szCs w:val="28"/>
        </w:rPr>
        <w:t xml:space="preserve">8. Edukasi Pasien dan Keluarga</w:t>
      </w:r>
    </w:p>
    <w:p>
      <w:pPr>
        <w:pStyle w:val="ListParagraph"/>
        <w:numPr>
          <w:ilvl w:val="0"/>
          <w:numId w:val="2"/>
        </w:numPr>
        <w:spacing w:after="90"/>
      </w:pPr>
      <w:r>
        <w:rPr>
          <w:rFonts w:ascii="IBM Plex Sans" w:cs="IBM Plex Sans" w:eastAsia="IBM Plex Sans" w:hAnsi="IBM Plex Sans"/>
          <w:color w:val="334155"/>
          <w:sz w:val="21"/>
          <w:szCs w:val="21"/>
        </w:rPr>
        <w:t xml:space="preserve">Penjelasan bahwa kondisi ini merupakan kegawatdaruratan obstetri yang memerlukan pemantauan dan tindakan cepat</w:t>
      </w:r>
    </w:p>
    <w:p>
      <w:pPr>
        <w:pStyle w:val="ListParagraph"/>
        <w:numPr>
          <w:ilvl w:val="0"/>
          <w:numId w:val="2"/>
        </w:numPr>
        <w:spacing w:after="90"/>
      </w:pPr>
      <w:r>
        <w:rPr>
          <w:rFonts w:ascii="IBM Plex Sans" w:cs="IBM Plex Sans" w:eastAsia="IBM Plex Sans" w:hAnsi="IBM Plex Sans"/>
          <w:color w:val="334155"/>
          <w:sz w:val="21"/>
          <w:szCs w:val="21"/>
        </w:rPr>
        <w:t xml:space="preserve">Pentingnya melaporkan segera setiap perdarahan berulang, nyeri perut, atau perubahan gerakan janin</w:t>
      </w:r>
    </w:p>
    <w:p>
      <w:pPr>
        <w:pStyle w:val="ListParagraph"/>
        <w:numPr>
          <w:ilvl w:val="0"/>
          <w:numId w:val="2"/>
        </w:numPr>
        <w:spacing w:after="90"/>
      </w:pPr>
      <w:r>
        <w:rPr>
          <w:rFonts w:ascii="IBM Plex Sans" w:cs="IBM Plex Sans" w:eastAsia="IBM Plex Sans" w:hAnsi="IBM Plex Sans"/>
          <w:color w:val="334155"/>
          <w:sz w:val="21"/>
          <w:szCs w:val="21"/>
        </w:rPr>
        <w:t xml:space="preserve">Penjelasan rencana persalinan yang diambil beserta alasan klinisnya</w:t>
      </w:r>
    </w:p>
    <w:p>
      <w:pPr>
        <w:pStyle w:val="ListParagraph"/>
        <w:numPr>
          <w:ilvl w:val="0"/>
          <w:numId w:val="2"/>
        </w:numPr>
        <w:spacing w:after="90"/>
      </w:pPr>
      <w:r>
        <w:rPr>
          <w:rFonts w:ascii="IBM Plex Sans" w:cs="IBM Plex Sans" w:eastAsia="IBM Plex Sans" w:hAnsi="IBM Plex Sans"/>
          <w:color w:val="334155"/>
          <w:sz w:val="21"/>
          <w:szCs w:val="21"/>
        </w:rPr>
        <w:t xml:space="preserve">Informasi risiko rekurensi pada kehamilan berikutnya yang meningkat dibandingkan populasi umum, sehingga pemantauan antenatal lebih ketat direkomendasikan pada kehamilan berikutnya</w:t>
      </w:r>
    </w:p>
    <w:p>
      <w:pPr>
        <w:pStyle w:val="ListParagraph"/>
        <w:numPr>
          <w:ilvl w:val="0"/>
          <w:numId w:val="2"/>
        </w:numPr>
        <w:spacing w:after="90"/>
      </w:pPr>
      <w:r>
        <w:rPr>
          <w:rFonts w:ascii="IBM Plex Sans" w:cs="IBM Plex Sans" w:eastAsia="IBM Plex Sans" w:hAnsi="IBM Plex Sans"/>
          <w:color w:val="334155"/>
          <w:sz w:val="21"/>
          <w:szCs w:val="21"/>
        </w:rPr>
        <w:t xml:space="preserve">Anjuran kontrol tekanan darah optimal serta penghentian merokok dan penggunaan zat psikoaktif</w:t>
      </w:r>
    </w:p>
    <w:p>
      <w:pPr>
        <w:pStyle w:val="ListParagraph"/>
        <w:numPr>
          <w:ilvl w:val="0"/>
          <w:numId w:val="2"/>
        </w:numPr>
        <w:spacing w:after="90"/>
      </w:pPr>
      <w:r>
        <w:rPr>
          <w:rFonts w:ascii="IBM Plex Sans" w:cs="IBM Plex Sans" w:eastAsia="IBM Plex Sans" w:hAnsi="IBM Plex Sans"/>
          <w:color w:val="334155"/>
          <w:sz w:val="21"/>
          <w:szCs w:val="21"/>
        </w:rPr>
        <w:t xml:space="preserve">Konseling kontrasepsi dan interval kehamilan berikutnya</w:t>
      </w:r>
    </w:p>
    <w:p>
      <w:pPr>
        <w:pStyle w:val="ListParagraph"/>
        <w:numPr>
          <w:ilvl w:val="0"/>
          <w:numId w:val="2"/>
        </w:numPr>
        <w:spacing w:after="90"/>
      </w:pPr>
      <w:r>
        <w:rPr>
          <w:rFonts w:ascii="IBM Plex Sans" w:cs="IBM Plex Sans" w:eastAsia="IBM Plex Sans" w:hAnsi="IBM Plex Sans"/>
          <w:color w:val="334155"/>
          <w:sz w:val="21"/>
          <w:szCs w:val="21"/>
        </w:rPr>
        <w:t xml:space="preserve">Dukungan psikologis, khususnya pada kasus dengan luaran kematian janin/neonatal</w:t>
      </w:r>
    </w:p>
    <w:p>
      <w:pPr>
        <w:pStyle w:val="Heading1"/>
        <w:spacing w:after="140" w:before="320"/>
      </w:pPr>
      <w:r>
        <w:rPr>
          <w:rFonts w:ascii="Source Serif 4" w:cs="Source Serif 4" w:eastAsia="Source Serif 4" w:hAnsi="Source Serif 4"/>
          <w:b/>
          <w:bCs/>
          <w:color w:val="4F46E5"/>
          <w:sz w:val="28"/>
          <w:szCs w:val="28"/>
        </w:rPr>
        <w:t xml:space="preserve">9. Prognosis</w:t>
      </w:r>
    </w:p>
    <w:p>
      <w:pPr>
        <w:spacing w:after="160" w:line="276"/>
      </w:pPr>
      <w:r>
        <w:rPr>
          <w:rFonts w:ascii="IBM Plex Sans" w:cs="IBM Plex Sans" w:eastAsia="IBM Plex Sans" w:hAnsi="IBM Plex Sans"/>
          <w:color w:val="334155"/>
          <w:sz w:val="21"/>
          <w:szCs w:val="21"/>
        </w:rPr>
        <w:t xml:space="preserve">Prognosis maternal dan perinatal sangat bergantung pada derajat keparahan solusio, usia kehamilan saat kejadian, serta kecepatan dan ketepatan tata laksana. Stadium III (berat) membawa risiko kematian perinatal tertinggi serta risiko komplikasi maternal berat seperti koagulopati konsumtif, gagal ginjal akut, kebutuhan histerektomi emergensi, hingga kematian ibu. Morbiditas neonatal pada kasus yang memerlukan persalinan preterm terutama berkaitan dengan derajat prematuritas itu sendiri.</w:t>
      </w:r>
    </w:p>
    <w:p>
      <w:pPr>
        <w:spacing w:after="160" w:line="276"/>
      </w:pPr>
      <w:r>
        <w:rPr>
          <w:rFonts w:ascii="IBM Plex Sans" w:cs="IBM Plex Sans" w:eastAsia="IBM Plex Sans" w:hAnsi="IBM Plex Sans"/>
          <w:color w:val="334155"/>
          <w:sz w:val="21"/>
          <w:szCs w:val="21"/>
        </w:rPr>
        <w:t xml:space="preserve">Risiko rekurensi pada kehamilan berikutnya meningkat bermakna dibandingkan populasi umum, dengan rentang yang dilaporkan berbagai studi kohort berkisar 3–12%, dan meningkat lebih tinggi lagi pada mereka dengan riwayat solusio pada usia kehamilan aterm. Informasi ini menjadi dasar konseling risiko pada kehamilan selanjutnya sebagaimana diuraikan pada bagian Edukasi.</w:t>
      </w:r>
    </w:p>
    <w:p>
      <w:pPr>
        <w:spacing w:after="160" w:line="276"/>
      </w:pPr>
      <w:r>
        <w:rPr>
          <w:rFonts w:ascii="IBM Plex Sans" w:cs="IBM Plex Sans" w:eastAsia="IBM Plex Sans" w:hAnsi="IBM Plex Sans"/>
          <w:color w:val="334155"/>
          <w:sz w:val="21"/>
          <w:szCs w:val="21"/>
        </w:rPr>
        <w:t xml:space="preserve">Angka kejadian, case fatality rate, dan luaran maternal-perinatal spesifik nasional [DATA: rujuk laporan/registri resmi terbaru — mis. Kemenkes, POGI, WHO] belum tercantum eksplisit dalam Kepkonsil sehingga tidak dikutip sebagai angka pasti dalam PPK ini.</w:t>
      </w:r>
    </w:p>
    <w:p>
      <w:pPr>
        <w:pStyle w:val="Heading1"/>
        <w:spacing w:after="140" w:before="320"/>
      </w:pPr>
      <w:r>
        <w:rPr>
          <w:rFonts w:ascii="Source Serif 4" w:cs="Source Serif 4" w:eastAsia="Source Serif 4" w:hAnsi="Source Serif 4"/>
          <w:b/>
          <w:bCs/>
          <w:color w:val="4F46E5"/>
          <w:sz w:val="28"/>
          <w:szCs w:val="28"/>
        </w:rPr>
        <w:t xml:space="preserve">10. Tingkat Evidens dan Rekomendasi</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2267"/>
        <w:gridCol w:w="2267"/>
        <w:gridCol w:w="2267"/>
        <w:gridCol w:w="2267"/>
      </w:tblGrid>
      <w:tr>
        <w:trPr>
          <w:tblHeader/>
        </w:trPr>
        <w:tc>
          <w:tcPr>
            <w:tcW w:type="dxa" w:w="226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 Tata Laksana</w:t>
            </w:r>
          </w:p>
        </w:tc>
        <w:tc>
          <w:tcPr>
            <w:tcW w:type="dxa" w:w="226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6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267"/>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Diagnosis klinis (trias perdarahan-nyeri-kelainan DJJ) sebagai dasar utama, USG sebagai pelengkap</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II-2/II-3</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Green-top Guideline No. 63; Brandt &amp; Ananth, AJOG 2023; Smith &amp; Lee, BJA Education 2024</w:t>
            </w:r>
          </w:p>
        </w:tc>
      </w:tr>
      <w:tr>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Tokolisis tidak dianjurkan pada solusio plasenta bermakna</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I/II (bukti terbatas, konsisten arah rekomendasi)</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 (terhadap penggunaan rutin)</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Cochrane Systematic Review (Neilson, 2003), dikutip dalam RCOG Green-top Guideline No. 63</w:t>
            </w:r>
          </w:p>
        </w:tc>
      </w:tr>
      <w:tr>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Kortikosteroid antenatal pada ancaman persalinan preterm 24–&lt;34 minggu</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Recommendations on Antenatal Care, 2016</w:t>
            </w:r>
          </w:p>
        </w:tc>
      </w:tr>
      <w:tr>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Magnesium sulfat untuk neuroproteksi janin &lt;32 minggu</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WHO Recommendations on Antenatal Care, 2016</w:t>
            </w:r>
          </w:p>
        </w:tc>
      </w:tr>
      <w:tr>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Seksio sesarea segera pada gawat janin/instabilitas maternal</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II-3</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Kuat</w:t>
            </w:r>
          </w:p>
        </w:tc>
        <w:tc>
          <w:tcPr>
            <w:tcW w:type="dxa" w:w="2267"/>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RCOG Green-top Guideline No. 63</w:t>
            </w:r>
          </w:p>
        </w:tc>
      </w:tr>
      <w:tr>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Fibrinogen sebagai penanda risiko komplikasi berat, ambang koreksi &gt;2 g/L</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II-2</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Sedang–Kuat</w:t>
            </w:r>
          </w:p>
        </w:tc>
        <w:tc>
          <w:tcPr>
            <w:tcW w:type="dxa" w:w="2267"/>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Smith &amp; Lee, BJA Education 2024</w:t>
            </w:r>
          </w:p>
        </w:tc>
      </w:tr>
    </w:tbl>
    <w:p>
      <w:pPr>
        <w:spacing w:after="160"/>
      </w:pPr>
    </w:p>
    <w:p>
      <w:pPr>
        <w:spacing w:after="160" w:line="276"/>
      </w:pPr>
      <w:r>
        <w:rPr>
          <w:rFonts w:ascii="IBM Plex Sans" w:cs="IBM Plex Sans" w:eastAsia="IBM Plex Sans" w:hAnsi="IBM Plex Sans"/>
          <w:color w:val="334155"/>
          <w:sz w:val="21"/>
          <w:szCs w:val="21"/>
        </w:rPr>
        <w:t xml:space="preserve">Skala tingkat evidens mengikuti sistem yang lazim dipakai pada pedoman PNPK (I–III dengan sub-kategori a/b/c), disesuaikan dengan penandaan pada masing-masing sumber primer yang dikutip.</w:t>
      </w:r>
    </w:p>
    <w:p>
      <w:pPr>
        <w:pStyle w:val="Heading1"/>
        <w:spacing w:after="140" w:before="320"/>
      </w:pPr>
      <w:r>
        <w:rPr>
          <w:rFonts w:ascii="Source Serif 4" w:cs="Source Serif 4" w:eastAsia="Source Serif 4" w:hAnsi="Source Serif 4"/>
          <w:b/>
          <w:bCs/>
          <w:color w:val="4F46E5"/>
          <w:sz w:val="28"/>
          <w:szCs w:val="28"/>
        </w:rPr>
        <w:t xml:space="preserve">11. Indikator Medis</w:t>
      </w:r>
    </w:p>
    <w:p>
      <w:pPr>
        <w:pStyle w:val="ListParagraph"/>
        <w:numPr>
          <w:ilvl w:val="0"/>
          <w:numId w:val="2"/>
        </w:numPr>
        <w:spacing w:after="90"/>
      </w:pPr>
      <w:r>
        <w:rPr>
          <w:rFonts w:ascii="IBM Plex Sans" w:cs="IBM Plex Sans" w:eastAsia="IBM Plex Sans" w:hAnsi="IBM Plex Sans"/>
          <w:color w:val="334155"/>
          <w:sz w:val="21"/>
          <w:szCs w:val="21"/>
        </w:rPr>
        <w:t xml:space="preserve">Decision-to-delivery interval pada solusio plasenta stadium II–III dengan gawat janin: target di bawah 30 menit, sejalan dengan standar respons kegawatdaruratan obstetri kategori 1</w:t>
      </w:r>
    </w:p>
    <w:p>
      <w:pPr>
        <w:pStyle w:val="ListParagraph"/>
        <w:numPr>
          <w:ilvl w:val="0"/>
          <w:numId w:val="2"/>
        </w:numPr>
        <w:spacing w:after="90"/>
      </w:pPr>
      <w:r>
        <w:rPr>
          <w:rFonts w:ascii="IBM Plex Sans" w:cs="IBM Plex Sans" w:eastAsia="IBM Plex Sans" w:hAnsi="IBM Plex Sans"/>
          <w:color w:val="334155"/>
          <w:sz w:val="21"/>
          <w:szCs w:val="21"/>
        </w:rPr>
        <w:t xml:space="preserve">Persentase kasus dengan pemantauan DJJ kontinu yang terdokumentasi lengkap sejak kecurigaan diagnosis</w:t>
      </w:r>
    </w:p>
    <w:p>
      <w:pPr>
        <w:pStyle w:val="ListParagraph"/>
        <w:numPr>
          <w:ilvl w:val="0"/>
          <w:numId w:val="2"/>
        </w:numPr>
        <w:spacing w:after="90"/>
      </w:pPr>
      <w:r>
        <w:rPr>
          <w:rFonts w:ascii="IBM Plex Sans" w:cs="IBM Plex Sans" w:eastAsia="IBM Plex Sans" w:hAnsi="IBM Plex Sans"/>
          <w:color w:val="334155"/>
          <w:sz w:val="21"/>
          <w:szCs w:val="21"/>
        </w:rPr>
        <w:t xml:space="preserve">Ketersediaan produk darah crossmatch sebelum tindakan operatif dilaksanakan</w:t>
      </w:r>
    </w:p>
    <w:p>
      <w:pPr>
        <w:pStyle w:val="ListParagraph"/>
        <w:numPr>
          <w:ilvl w:val="0"/>
          <w:numId w:val="2"/>
        </w:numPr>
        <w:spacing w:after="90"/>
      </w:pPr>
      <w:r>
        <w:rPr>
          <w:rFonts w:ascii="IBM Plex Sans" w:cs="IBM Plex Sans" w:eastAsia="IBM Plex Sans" w:hAnsi="IBM Plex Sans"/>
          <w:color w:val="334155"/>
          <w:sz w:val="21"/>
          <w:szCs w:val="21"/>
        </w:rPr>
        <w:t xml:space="preserve">Kepatuhan pemeriksaan fibrinogen pada setiap kasus solusio stadium II ke atas</w:t>
      </w:r>
    </w:p>
    <w:p>
      <w:pPr>
        <w:pStyle w:val="ListParagraph"/>
        <w:numPr>
          <w:ilvl w:val="0"/>
          <w:numId w:val="2"/>
        </w:numPr>
        <w:spacing w:after="90"/>
      </w:pPr>
      <w:r>
        <w:rPr>
          <w:rFonts w:ascii="IBM Plex Sans" w:cs="IBM Plex Sans" w:eastAsia="IBM Plex Sans" w:hAnsi="IBM Plex Sans"/>
          <w:color w:val="334155"/>
          <w:sz w:val="21"/>
          <w:szCs w:val="21"/>
        </w:rPr>
        <w:t xml:space="preserve">Insidensi histerektomi emergensi akibat solusio plasenta pada populasi pasien fasilitas</w:t>
      </w:r>
    </w:p>
    <w:p>
      <w:pPr>
        <w:pStyle w:val="ListParagraph"/>
        <w:numPr>
          <w:ilvl w:val="0"/>
          <w:numId w:val="2"/>
        </w:numPr>
        <w:spacing w:after="90"/>
      </w:pPr>
      <w:r>
        <w:rPr>
          <w:rFonts w:ascii="IBM Plex Sans" w:cs="IBM Plex Sans" w:eastAsia="IBM Plex Sans" w:hAnsi="IBM Plex Sans"/>
          <w:color w:val="334155"/>
          <w:sz w:val="21"/>
          <w:szCs w:val="21"/>
        </w:rPr>
        <w:t xml:space="preserve">Case fatality rate maternal dan perinatal akibat solusio plasenta [DATA: rujuk laporan/registri resmi terbaru]</w:t>
      </w:r>
    </w:p>
    <w:p>
      <w:pPr>
        <w:pStyle w:val="Heading1"/>
        <w:spacing w:after="14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line="276"/>
      </w:pPr>
      <w:r>
        <w:rPr>
          <w:rFonts w:ascii="IBM Plex Sans" w:cs="IBM Plex Sans" w:eastAsia="IBM Plex Sans" w:hAnsi="IBM Plex Sans"/>
          <w:color w:val="334155"/>
          <w:sz w:val="21"/>
          <w:szCs w:val="21"/>
        </w:rPr>
        <w:t xml:space="preserve">Standar nasional (Kepkonsil) menetapkan solusio plasenta sebagai kompetensi inti spesialis Obstetri dan Ginekologi dengan penekanan pada risiko fetal-maternal sebagaimana tercantum pada kolom Keterangan/Populasi Tabel 7 ("Perdarahan antepartum; risiko fetal-maternal"). Pengayaan berikut memperkaya, bukan menggantikan, standar tersebut.</w:t>
      </w:r>
    </w:p>
    <w:p>
      <w:pPr>
        <w:pStyle w:val="ListParagraph"/>
        <w:numPr>
          <w:ilvl w:val="0"/>
          <w:numId w:val="2"/>
        </w:numPr>
        <w:spacing w:after="90"/>
      </w:pPr>
      <w:r>
        <w:rPr>
          <w:rFonts w:ascii="IBM Plex Sans" w:cs="IBM Plex Sans" w:eastAsia="IBM Plex Sans" w:hAnsi="IBM Plex Sans"/>
          <w:color w:val="334155"/>
          <w:sz w:val="21"/>
          <w:szCs w:val="21"/>
        </w:rPr>
        <w:t xml:space="preserve">RCOG Green-top Guideline No. 63 (Antepartum Haemorrhage) menegaskan bahwa plasenta previa dan solusio plasenta merupakan penyebab APH terpenting, serta mengutip tinjauan Cochrane yang menyoroti keterbatasan bukti uji klinis acak pada berbagai intervensi tata laksana solusio plasenta — mendukung pendekatan tata laksana klinis individual berbasis penilaian ahli, bukan protokol farmakologis tunggal yang kaku.</w:t>
      </w:r>
    </w:p>
    <w:p>
      <w:pPr>
        <w:pStyle w:val="ListParagraph"/>
        <w:numPr>
          <w:ilvl w:val="0"/>
          <w:numId w:val="2"/>
        </w:numPr>
        <w:spacing w:after="90"/>
      </w:pPr>
      <w:r>
        <w:rPr>
          <w:rFonts w:ascii="IBM Plex Sans" w:cs="IBM Plex Sans" w:eastAsia="IBM Plex Sans" w:hAnsi="IBM Plex Sans"/>
          <w:color w:val="334155"/>
          <w:sz w:val="21"/>
          <w:szCs w:val="21"/>
        </w:rPr>
        <w:t xml:space="preserve">Tinjauan sistematis Cochrane (Neilson, 2003, CD003247) — hingga pembaruan terakhirnya — tidak menemukan uji klinis acak yang memenuhi kriteria inklusi terkait intervensi tata laksana solusio plasenta, sehingga menegaskan bahwa praktik klinis pada kondisi ini masih bertumpu pada penilaian ahli dan data observasional, bukan bukti kelas tertinggi.</w:t>
      </w:r>
    </w:p>
    <w:p>
      <w:pPr>
        <w:pStyle w:val="ListParagraph"/>
        <w:numPr>
          <w:ilvl w:val="0"/>
          <w:numId w:val="2"/>
        </w:numPr>
        <w:spacing w:after="90"/>
      </w:pPr>
      <w:r>
        <w:rPr>
          <w:rFonts w:ascii="IBM Plex Sans" w:cs="IBM Plex Sans" w:eastAsia="IBM Plex Sans" w:hAnsi="IBM Plex Sans"/>
          <w:color w:val="334155"/>
          <w:sz w:val="21"/>
          <w:szCs w:val="21"/>
        </w:rPr>
        <w:t xml:space="preserve">WHO Recommendations on Antenatal Care for a Positive Pregnancy Experience (2016) mendukung penggunaan kortikosteroid antenatal dan magnesium sulfat pada ancaman persalinan preterm terkait solusio plasenta, konsisten dengan tata laksana farmakologis PPK ini.</w:t>
      </w:r>
    </w:p>
    <w:p>
      <w:pPr>
        <w:pStyle w:val="ListParagraph"/>
        <w:numPr>
          <w:ilvl w:val="0"/>
          <w:numId w:val="2"/>
        </w:numPr>
        <w:spacing w:after="90"/>
      </w:pPr>
      <w:r>
        <w:rPr>
          <w:rFonts w:ascii="IBM Plex Sans" w:cs="IBM Plex Sans" w:eastAsia="IBM Plex Sans" w:hAnsi="IBM Plex Sans"/>
          <w:color w:val="334155"/>
          <w:sz w:val="21"/>
          <w:szCs w:val="21"/>
        </w:rPr>
        <w:t xml:space="preserve">Tinjauan klinis komprehensif Brandt &amp; Ananth (American Journal of Obstetrics &amp; Gynecology, 2023) mengenai solusio plasenta pada usia kehamilan mendekati aterm menegaskan keterbatasan sensitivitas USG (sekitar 20–50%) dan pentingnya kecurigaan klinis sebagai dasar utama diagnosis serta pengambilan keputusan tata laksana — sejalan dengan penekanan PPK ini pada trias klinis.</w:t>
      </w:r>
    </w:p>
    <w:p>
      <w:pPr>
        <w:pStyle w:val="ListParagraph"/>
        <w:numPr>
          <w:ilvl w:val="0"/>
          <w:numId w:val="2"/>
        </w:numPr>
        <w:spacing w:after="90"/>
      </w:pPr>
      <w:r>
        <w:rPr>
          <w:rFonts w:ascii="IBM Plex Sans" w:cs="IBM Plex Sans" w:eastAsia="IBM Plex Sans" w:hAnsi="IBM Plex Sans"/>
          <w:color w:val="334155"/>
          <w:sz w:val="21"/>
          <w:szCs w:val="21"/>
        </w:rPr>
        <w:t xml:space="preserve">Tinjauan Smith &amp; Lee (BJA Education, 2024) memperkuat penggunaan klasifikasi Sher tiga stadium serta menegaskan peran fibrinogen plasma sebagai penanda prediktif keparahan komplikasi maternal, khususnya pada solusio dengan kematian janin.</w:t>
      </w:r>
    </w:p>
    <w:p>
      <w:pPr>
        <w:spacing w:after="160" w:line="276"/>
      </w:pPr>
      <w:r>
        <w:rPr>
          <w:rFonts w:ascii="IBM Plex Sans" w:cs="IBM Plex Sans" w:eastAsia="IBM Plex Sans" w:hAnsi="IBM Plex Sans"/>
          <w:color w:val="334155"/>
          <w:sz w:val="21"/>
          <w:szCs w:val="21"/>
        </w:rPr>
        <w:t xml:space="preserve">Tidak terdapat perbedaan signifikan antara standar nasional dan sumber internasional di atas terkait prinsip dasar diagnosis dan larangan tokolisis rutin pada solusio plasenta bermakna; standar internasional memberi pengayaan terutama pada algoritme klasifikasi keparahan berbasis tanda vital dan laboratorium, serta pada strategi tata laksana ekspektatif untuk kasus derajat ringan pada usia kehamilan jauh dari aterm. Praktik di Indonesia mengikuti standar nasional (Kepkonsil) sebagai acuan utama.</w:t>
      </w:r>
    </w:p>
    <w:p>
      <w:pPr>
        <w:pStyle w:val="Heading1"/>
        <w:spacing w:after="140" w:before="320"/>
      </w:pPr>
      <w:r>
        <w:rPr>
          <w:rFonts w:ascii="Source Serif 4" w:cs="Source Serif 4" w:eastAsia="Source Serif 4" w:hAnsi="Source Serif 4"/>
          <w:b/>
          <w:bCs/>
          <w:color w:val="4F46E5"/>
          <w:sz w:val="28"/>
          <w:szCs w:val="28"/>
        </w:rPr>
        <w:t xml:space="preserve">13. Kepustakaan</w:t>
      </w:r>
    </w:p>
    <w:p>
      <w:pPr>
        <w:pStyle w:val="ListParagraph"/>
        <w:numPr>
          <w:ilvl w:val="0"/>
          <w:numId w:val="3"/>
        </w:numPr>
        <w:spacing w:after="120"/>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3"/>
        </w:numPr>
        <w:spacing w:after="120"/>
      </w:pPr>
      <w:r>
        <w:rPr>
          <w:rFonts w:ascii="IBM Plex Sans" w:cs="IBM Plex Sans" w:eastAsia="IBM Plex Sans" w:hAnsi="IBM Plex Sans"/>
          <w:color w:val="334155"/>
          <w:sz w:val="21"/>
          <w:szCs w:val="21"/>
        </w:rPr>
        <w:t xml:space="preserve">Royal College of Obstetricians and Gynaecologists. Antepartum Haemorrhage. Green-top Guideline No. 63. London: RCOG; 2011.</w:t>
      </w:r>
      <w:r>
        <w:rPr>
          <w:rFonts w:ascii="IBM Plex Sans" w:cs="IBM Plex Sans" w:eastAsia="IBM Plex Sans" w:hAnsi="IBM Plex Sans"/>
          <w:sz w:val="21"/>
          <w:szCs w:val="21"/>
        </w:rPr>
        <w:t xml:space="preserve">  </w:t>
      </w:r>
      <w:hyperlink w:history="1" r:id="rIdx7sz_qf76ivlynbvvrc-n">
        <w:r>
          <w:rPr>
            <w:rFonts w:ascii="IBM Plex Mono" w:cs="IBM Plex Mono" w:eastAsia="IBM Plex Mono" w:hAnsi="IBM Plex Mono"/>
            <w:color w:val="4F46E5"/>
            <w:sz w:val="18"/>
            <w:szCs w:val="18"/>
            <w:u w:val="single"/>
          </w:rPr>
          <w:t xml:space="preserve">https://www.rcog.org.uk/guidance/browse-all-guidance/green-top-guidelines/antepartum-haemorrhage-green-top-guideline-no-63/</w:t>
        </w:r>
      </w:hyperlink>
    </w:p>
    <w:p>
      <w:pPr>
        <w:pStyle w:val="ListParagraph"/>
        <w:numPr>
          <w:ilvl w:val="0"/>
          <w:numId w:val="3"/>
        </w:numPr>
        <w:spacing w:after="120"/>
      </w:pPr>
      <w:r>
        <w:rPr>
          <w:rFonts w:ascii="IBM Plex Sans" w:cs="IBM Plex Sans" w:eastAsia="IBM Plex Sans" w:hAnsi="IBM Plex Sans"/>
          <w:color w:val="334155"/>
          <w:sz w:val="21"/>
          <w:szCs w:val="21"/>
        </w:rPr>
        <w:t xml:space="preserve">World Health Organization. WHO Recommendations on Antenatal Care for a Positive Pregnancy Experience. Geneva: WHO; 2016.</w:t>
      </w:r>
      <w:r>
        <w:rPr>
          <w:rFonts w:ascii="IBM Plex Sans" w:cs="IBM Plex Sans" w:eastAsia="IBM Plex Sans" w:hAnsi="IBM Plex Sans"/>
          <w:sz w:val="21"/>
          <w:szCs w:val="21"/>
        </w:rPr>
        <w:t xml:space="preserve">  </w:t>
      </w:r>
      <w:hyperlink w:history="1" r:id="rIdrtpu8pcqfa1uindsslbok">
        <w:r>
          <w:rPr>
            <w:rFonts w:ascii="IBM Plex Mono" w:cs="IBM Plex Mono" w:eastAsia="IBM Plex Mono" w:hAnsi="IBM Plex Mono"/>
            <w:color w:val="4F46E5"/>
            <w:sz w:val="18"/>
            <w:szCs w:val="18"/>
            <w:u w:val="single"/>
          </w:rPr>
          <w:t xml:space="preserve">https://www.who.int/publications/i/item/9789241549912</w:t>
        </w:r>
      </w:hyperlink>
    </w:p>
    <w:p>
      <w:pPr>
        <w:pStyle w:val="ListParagraph"/>
        <w:numPr>
          <w:ilvl w:val="0"/>
          <w:numId w:val="3"/>
        </w:numPr>
        <w:spacing w:after="120"/>
      </w:pPr>
      <w:r>
        <w:rPr>
          <w:rFonts w:ascii="IBM Plex Sans" w:cs="IBM Plex Sans" w:eastAsia="IBM Plex Sans" w:hAnsi="IBM Plex Sans"/>
          <w:color w:val="334155"/>
          <w:sz w:val="21"/>
          <w:szCs w:val="21"/>
        </w:rPr>
        <w:t xml:space="preserve">Brandt JS, Ananth CV. Placental abruption at near-term and term gestations: pathophysiology, epidemiology, diagnosis, and management. American Journal of Obstetrics &amp; Gynecology. 2023;228(5S):S1313–S1329.</w:t>
      </w:r>
      <w:r>
        <w:rPr>
          <w:rFonts w:ascii="IBM Plex Sans" w:cs="IBM Plex Sans" w:eastAsia="IBM Plex Sans" w:hAnsi="IBM Plex Sans"/>
          <w:sz w:val="21"/>
          <w:szCs w:val="21"/>
        </w:rPr>
        <w:t xml:space="preserve">  </w:t>
      </w:r>
      <w:hyperlink w:history="1" r:id="rIdwz4caslrbqbr5fkyyadwz">
        <w:r>
          <w:rPr>
            <w:rFonts w:ascii="IBM Plex Mono" w:cs="IBM Plex Mono" w:eastAsia="IBM Plex Mono" w:hAnsi="IBM Plex Mono"/>
            <w:color w:val="4F46E5"/>
            <w:sz w:val="18"/>
            <w:szCs w:val="18"/>
            <w:u w:val="single"/>
          </w:rPr>
          <w:t xml:space="preserve">https://www.ajog.org/article/S0002-9378(22)00535-X/fulltext</w:t>
        </w:r>
      </w:hyperlink>
    </w:p>
    <w:p>
      <w:pPr>
        <w:pStyle w:val="ListParagraph"/>
        <w:numPr>
          <w:ilvl w:val="0"/>
          <w:numId w:val="3"/>
        </w:numPr>
        <w:spacing w:after="120"/>
      </w:pPr>
      <w:r>
        <w:rPr>
          <w:rFonts w:ascii="IBM Plex Sans" w:cs="IBM Plex Sans" w:eastAsia="IBM Plex Sans" w:hAnsi="IBM Plex Sans"/>
          <w:color w:val="334155"/>
          <w:sz w:val="21"/>
          <w:szCs w:val="21"/>
        </w:rPr>
        <w:t xml:space="preserve">Neilson JP. Interventions for treating placental abruption. Cochrane Database of Systematic Reviews. 2003, Issue 1. Art. No.: CD003247.</w:t>
      </w:r>
      <w:r>
        <w:rPr>
          <w:rFonts w:ascii="IBM Plex Sans" w:cs="IBM Plex Sans" w:eastAsia="IBM Plex Sans" w:hAnsi="IBM Plex Sans"/>
          <w:sz w:val="21"/>
          <w:szCs w:val="21"/>
        </w:rPr>
        <w:t xml:space="preserve">  </w:t>
      </w:r>
      <w:hyperlink w:history="1" r:id="rIdsv11sjcnfvdczxjiivyir">
        <w:r>
          <w:rPr>
            <w:rFonts w:ascii="IBM Plex Mono" w:cs="IBM Plex Mono" w:eastAsia="IBM Plex Mono" w:hAnsi="IBM Plex Mono"/>
            <w:color w:val="4F46E5"/>
            <w:sz w:val="18"/>
            <w:szCs w:val="18"/>
            <w:u w:val="single"/>
          </w:rPr>
          <w:t xml:space="preserve">https://www.cochrane.org/evidence/CD003247_interventions-treating-placental-abruption</w:t>
        </w:r>
      </w:hyperlink>
    </w:p>
    <w:p>
      <w:pPr>
        <w:pStyle w:val="ListParagraph"/>
        <w:numPr>
          <w:ilvl w:val="0"/>
          <w:numId w:val="3"/>
        </w:numPr>
        <w:spacing w:after="120"/>
      </w:pPr>
      <w:r>
        <w:rPr>
          <w:rFonts w:ascii="IBM Plex Sans" w:cs="IBM Plex Sans" w:eastAsia="IBM Plex Sans" w:hAnsi="IBM Plex Sans"/>
          <w:color w:val="334155"/>
          <w:sz w:val="21"/>
          <w:szCs w:val="21"/>
        </w:rPr>
        <w:t xml:space="preserve">Smith CD, Lee A. Placental abruption. BJA Education. 2024;24(9):305–308. PMID: 39234154.</w:t>
      </w:r>
      <w:r>
        <w:rPr>
          <w:rFonts w:ascii="IBM Plex Sans" w:cs="IBM Plex Sans" w:eastAsia="IBM Plex Sans" w:hAnsi="IBM Plex Sans"/>
          <w:sz w:val="21"/>
          <w:szCs w:val="21"/>
        </w:rPr>
        <w:t xml:space="preserve">  </w:t>
      </w:r>
      <w:hyperlink w:history="1" r:id="rIdnqzsgthksvpadh1wedv8r">
        <w:r>
          <w:rPr>
            <w:rFonts w:ascii="IBM Plex Mono" w:cs="IBM Plex Mono" w:eastAsia="IBM Plex Mono" w:hAnsi="IBM Plex Mono"/>
            <w:color w:val="4F46E5"/>
            <w:sz w:val="18"/>
            <w:szCs w:val="18"/>
            <w:u w:val="single"/>
          </w:rPr>
          <w:t xml:space="preserve">https://pubmed.ncbi.nlm.nih.gov/39234154/</w:t>
        </w:r>
      </w:hyperlink>
    </w:p>
    <w:p>
      <w:pPr>
        <w:pStyle w:val="Heading1"/>
        <w:spacing w:after="140" w:before="320"/>
      </w:pPr>
      <w:r>
        <w:rPr>
          <w:rFonts w:ascii="Source Serif 4" w:cs="Source Serif 4" w:eastAsia="Source Serif 4" w:hAnsi="Source Serif 4"/>
          <w:b/>
          <w:bCs/>
          <w:color w:val="4F46E5"/>
          <w:sz w:val="28"/>
          <w:szCs w:val="28"/>
        </w:rPr>
        <w:t xml:space="preserve">Glosarium</w:t>
      </w:r>
    </w:p>
    <w:tbl>
      <w:tblPr>
        <w:tblW w:type="dxa" w:w="9070"/>
        <w:tblBorders>
          <w:top w:val="single" w:color="auto" w:sz="4"/>
          <w:left w:val="single" w:color="auto" w:sz="4"/>
          <w:bottom w:val="single" w:color="auto" w:sz="4"/>
          <w:right w:val="single" w:color="auto" w:sz="4"/>
          <w:insideH w:val="single" w:color="auto" w:sz="4"/>
          <w:insideV w:val="single" w:color="auto" w:sz="4"/>
        </w:tblBorders>
      </w:tblPr>
      <w:tblGrid>
        <w:gridCol w:w="4535"/>
        <w:gridCol w:w="4535"/>
      </w:tblGrid>
      <w:tr>
        <w:trPr>
          <w:tblHeader/>
        </w:trPr>
        <w:tc>
          <w:tcPr>
            <w:tcW w:type="dxa" w:w="453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w:t>
            </w:r>
          </w:p>
        </w:tc>
        <w:tc>
          <w:tcPr>
            <w:tcW w:type="dxa" w:w="4535"/>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Penjelasan</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Solusio plasenta</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Pelepasan plasenta yang sebelumnya berimplantasi normal dari dinding uterus sebelum janin lahir; padanan Inggris: placental abruption, abruptio placentae.</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antepartum (APH)</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dari atau ke dalam saluran genital yang terjadi sejak usia kehamilan 24 minggu hingga sebelum kelahiran bayi.</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Revealed hemorrhage</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akibat solusio plasenta yang tampak keluar melalui vagina.</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Concealed hemorrhage</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Perdarahan akibat solusio plasenta yang tertahan di antara plasenta dan dinding uterus tanpa tampak keluar melalui vagina, sehingga beratnya kondisi dapat tersamar.</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Uterus couvelaire</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Infiltrasi darah ke dalam lapisan miometrium akibat solusio plasenta berat, menyebabkan uterus tampak kebiruan/keunguan dan berisiko atonia.</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Koagulasi intravaskular diseminata (KID/DIC)</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Aktivasi sistem koagulasi yang meluas secara sistemik, menyebabkan konsumsi faktor pembekuan dan trombosit sehingga berisiko perdarahan tak terkendali.</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Kardiotokografi (CTG)</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pemantauan denyut jantung janin dan aktivitas kontraksi uterus secara kontinu.</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Kleihauer-Betke test</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Pemeriksaan laboratorium untuk mengukur volume sel darah merah janin yang bercampur ke dalam sirkulasi darah ibu, digunakan untuk memperkirakan volume perdarahan fetomaternal dan menentukan dosis imunoglobulin anti-D.</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Tokolisis</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Pemberian obat untuk menghambat kontraksi uterus dengan tujuan menunda persalinan preterm; tidak dianjurkan secara rutin pada solusio plasenta bermakna.</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Klasifikasi Sher</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Sistem klasifikasi keparahan klinis solusio plasenta menjadi stadium I (ringan), II (sedang), dan III (berat, dengan subklasifikasi a/b berdasarkan ada-tidaknya koagulopati).</w:t>
            </w:r>
          </w:p>
        </w:tc>
      </w:tr>
      <w:tr>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Fetomaternal</w:t>
            </w:r>
          </w:p>
        </w:tc>
        <w:tc>
          <w:tcPr>
            <w:tcW w:type="dxa" w:w="4535"/>
            <w:shd w:fill="FFFFFF"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Subspesialisasi Obstetri dan Ginekologi yang berfokus pada tata laksana kehamilan berisiko tinggi, baik dari sisi ibu maupun janin.</w:t>
            </w:r>
          </w:p>
        </w:tc>
      </w:tr>
      <w:tr>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Decision-to-delivery interval</w:t>
            </w:r>
          </w:p>
        </w:tc>
        <w:tc>
          <w:tcPr>
            <w:tcW w:type="dxa" w:w="4535"/>
            <w:shd w:fill="F8FAFC" w:val="clear"/>
            <w:tcMar>
              <w:top w:type="dxa" w:w="90"/>
              <w:left w:type="dxa" w:w="120"/>
              <w:bottom w:type="dxa" w:w="90"/>
              <w:right w:type="dxa" w:w="120"/>
            </w:tcMar>
          </w:tcPr>
          <w:p>
            <w:r>
              <w:rPr>
                <w:rFonts w:ascii="IBM Plex Sans" w:cs="IBM Plex Sans" w:eastAsia="IBM Plex Sans" w:hAnsi="IBM Plex Sans"/>
                <w:color w:val="334155"/>
                <w:sz w:val="19"/>
                <w:szCs w:val="19"/>
              </w:rPr>
              <w:t xml:space="preserve">Rentang waktu sejak keputusan untuk melakukan persalinan operatif diambil hingga bayi dilahirkan; digunakan sebagai indikator kecepatan respons kegawatdaruratan obstetri.</w:t>
            </w:r>
          </w:p>
        </w:tc>
      </w:tr>
    </w:tbl>
    <w:p>
      <w:pPr>
        <w:spacing w:after="160"/>
      </w:pP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Perpustakaan Digital ABBA — Dokumen 15 dari 73 —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2E8F0" w:sz="4"/>
      </w:pBdr>
      <w:jc w:val="right"/>
    </w:pPr>
    <w:r>
      <w:rPr>
        <w:rFonts w:ascii="IBM Plex Mono" w:cs="IBM Plex Mono" w:eastAsia="IBM Plex Mono" w:hAnsi="IBM Plex Mono"/>
        <w:color w:val="64748B"/>
        <w:sz w:val="16"/>
        <w:szCs w:val="16"/>
      </w:rPr>
      <w:t xml:space="preserve">PPK No. 15 — Solusio Plasenta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320"/>
      <w:outlineLvl w:val="0"/>
    </w:pPr>
    <w:rPr>
      <w:rFonts w:ascii="Source Serif 4" w:cs="Source Serif 4" w:eastAsia="Source Serif 4" w:hAnsi="Source Serif 4"/>
      <w:b/>
      <w:bCs/>
      <w:color w:val="4F46E5"/>
      <w:sz w:val="28"/>
      <w:szCs w:val="28"/>
    </w:rPr>
  </w:style>
  <w:style w:type="paragraph" w:styleId="Heading2">
    <w:name w:val="Heading 2"/>
    <w:basedOn w:val="Normal"/>
    <w:next w:val="Normal"/>
    <w:qFormat/>
    <w:pPr>
      <w:spacing w:after="120" w:before="260"/>
      <w:outlineLvl w:val="1"/>
    </w:pPr>
    <w:rPr>
      <w:rFonts w:ascii="Source Serif 4" w:cs="Source Serif 4" w:eastAsia="Source Serif 4" w:hAnsi="Source Serif 4"/>
      <w:b/>
      <w:bCs/>
      <w:color w:val="B4530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x7sz_qf76ivlynbvvrc-n" Type="http://schemas.openxmlformats.org/officeDocument/2006/relationships/hyperlink" Target="https://www.rcog.org.uk/guidance/browse-all-guidance/green-top-guidelines/antepartum-haemorrhage-green-top-guideline-no-63/" TargetMode="External"/><Relationship Id="rIdrtpu8pcqfa1uindsslbok" Type="http://schemas.openxmlformats.org/officeDocument/2006/relationships/hyperlink" Target="https://www.who.int/publications/i/item/9789241549912" TargetMode="External"/><Relationship Id="rIdwz4caslrbqbr5fkyyadwz" Type="http://schemas.openxmlformats.org/officeDocument/2006/relationships/hyperlink" Target="https://www.ajog.org/article/S0002-9378(22)00535-X/fulltext" TargetMode="External"/><Relationship Id="rIdsv11sjcnfvdczxjiivyir" Type="http://schemas.openxmlformats.org/officeDocument/2006/relationships/hyperlink" Target="https://www.cochrane.org/evidence/CD003247_interventions-treating-placental-abruption" TargetMode="External"/><Relationship Id="rIdnqzsgthksvpadh1wedv8r" Type="http://schemas.openxmlformats.org/officeDocument/2006/relationships/hyperlink" Target="https://pubmed.ncbi.nlm.nih.gov/39234154/" TargetMode="External"/><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PPK No. 15 — Solusio Plasenta</dc:title>
  <dc:creator>Dr.dr. Budi Siswanto, Sp.OG., Subsp.Obginsos., SH., S.Kom.</dc:creator>
  <dc:description>Panduan Praktik Klinis Solusio Plasenta (Placental Abruption) — Perpustakaan Digital ABBA</dc:description>
  <cp:lastModifiedBy>Un-named</cp:lastModifiedBy>
  <cp:revision>1</cp:revision>
  <dcterms:created xsi:type="dcterms:W3CDTF">2026-08-17T04:33:21.915Z</dcterms:created>
  <dcterms:modified xsi:type="dcterms:W3CDTF">2026-08-17T04:33:21.916Z</dcterms:modified>
</cp:coreProperties>
</file>

<file path=docProps/custom.xml><?xml version="1.0" encoding="utf-8"?>
<Properties xmlns="http://schemas.openxmlformats.org/officeDocument/2006/custom-properties" xmlns:vt="http://schemas.openxmlformats.org/officeDocument/2006/docPropsVTypes"/>
</file>