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600"/>
      </w:pPr>
    </w:p>
    <w:p>
      <w:pPr>
        <w:jc w:val="center"/>
      </w:pPr>
      <w:r>
        <w:rPr>
          <w:rFonts w:ascii="IBM Plex Mono" w:cs="IBM Plex Mono" w:eastAsia="IBM Plex Mono" w:hAnsi="IBM Plex Mono"/>
          <w:b/>
          <w:bCs/>
          <w:color w:val="4F46E5"/>
          <w:sz w:val="20"/>
          <w:szCs w:val="20"/>
        </w:rPr>
        <w:t xml:space="preserve">PPK-016 · Divisi Fetomaternal</w:t>
      </w:r>
    </w:p>
    <w:p>
      <w:pPr>
        <w:spacing w:before="260"/>
        <w:jc w:val="center"/>
      </w:pPr>
      <w:r>
        <w:rPr>
          <w:rFonts w:ascii="IBM Plex Mono" w:cs="IBM Plex Mono" w:eastAsia="IBM Plex Mono" w:hAnsi="IBM Plex Mono"/>
          <w:color w:val="B45309"/>
          <w:sz w:val="20"/>
          <w:szCs w:val="20"/>
        </w:rPr>
        <w:t xml:space="preserve">PANDUAN PRAKTIK KLINIS</w:t>
      </w:r>
    </w:p>
    <w:p>
      <w:pPr>
        <w:spacing w:before="200"/>
        <w:jc w:val="center"/>
      </w:pPr>
      <w:r>
        <w:rPr>
          <w:rFonts w:ascii="Source Serif 4" w:cs="Source Serif 4" w:eastAsia="Source Serif 4" w:hAnsi="Source Serif 4"/>
          <w:b/>
          <w:bCs/>
          <w:color w:val="3730A3"/>
          <w:sz w:val="56"/>
          <w:szCs w:val="56"/>
        </w:rPr>
        <w:t xml:space="preserve">Retensio Plasenta</w:t>
      </w:r>
    </w:p>
    <w:p>
      <w:pPr>
        <w:spacing w:before="80"/>
        <w:jc w:val="center"/>
      </w:pPr>
      <w:r>
        <w:rPr>
          <w:rFonts w:ascii="Source Serif 4" w:cs="Source Serif 4" w:eastAsia="Source Serif 4" w:hAnsi="Source Serif 4"/>
          <w:i/>
          <w:iCs/>
          <w:color w:val="334155"/>
          <w:sz w:val="30"/>
          <w:szCs w:val="30"/>
        </w:rPr>
        <w:t xml:space="preserve">Retained Placenta</w:t>
      </w:r>
    </w:p>
    <w:p>
      <w:pPr>
        <w:spacing w:before="500"/>
        <w:jc w:val="center"/>
      </w:pPr>
      <w:r>
        <w:rPr>
          <w:rFonts w:ascii="IBM Plex Mono" w:cs="IBM Plex Mono" w:eastAsia="IBM Plex Mono" w:hAnsi="IBM Plex Mono"/>
          <w:color w:val="334155"/>
          <w:sz w:val="20"/>
          <w:szCs w:val="20"/>
        </w:rPr>
        <w:t xml:space="preserve">ICD-10: O73.0, O73.1, O72.0   |   ICD-11: JB0B.0, JB0B.1</w:t>
      </w:r>
    </w:p>
    <w:p>
      <w:pPr>
        <w:spacing w:before="100"/>
        <w:jc w:val="center"/>
      </w:pPr>
      <w:r>
        <w:rPr>
          <w:rFonts w:ascii="IBM Plex Mono" w:cs="IBM Plex Mono" w:eastAsia="IBM Plex Mono" w:hAnsi="IBM Plex Mono"/>
          <w:color w:val="334155"/>
          <w:sz w:val="18"/>
          <w:szCs w:val="18"/>
        </w:rPr>
        <w:t xml:space="preserve">Dokumen 16 dari 73 — Kategori PPK</w:t>
      </w:r>
    </w:p>
    <w:p>
      <w:pPr>
        <w:spacing w:before="40"/>
        <w:jc w:val="center"/>
      </w:pPr>
      <w:r>
        <w:rPr>
          <w:rFonts w:ascii="IBM Plex Sans" w:cs="IBM Plex Sans" w:eastAsia="IBM Plex Sans" w:hAnsi="IBM Plex Sans"/>
          <w:i/>
          <w:iCs/>
          <w:color w:val="334155"/>
          <w:sz w:val="18"/>
          <w:szCs w:val="18"/>
        </w:rPr>
        <w:t xml:space="preserve">Rujukan: Keputusan Ketua Konsil Kesehatan Indonesia No. HK.01.02/KKI/1318/2026 tentang Standar Kompetensi Dokter Spesialis dan Subspesialis Bidang Obstetri dan Ginekologi, Tabel 7, entri No. 16</w:t>
      </w:r>
    </w:p>
    <w:p>
      <w:pPr>
        <w:spacing w:before="700"/>
        <w:jc w:val="center"/>
      </w:pPr>
      <w:r>
        <w:rPr>
          <w:rFonts w:ascii="IBM Plex Sans" w:cs="IBM Plex Sans" w:eastAsia="IBM Plex Sans" w:hAnsi="IBM Plex Sans"/>
          <w:b/>
          <w:bCs/>
          <w:color w:val="334155"/>
          <w:sz w:val="21"/>
          <w:szCs w:val="21"/>
        </w:rPr>
        <w:t xml:space="preserve">Dr.dr. Budi Siswanto, Sp.OG., Subsp.Obginsos., SH., S.Kom.</w:t>
      </w:r>
    </w:p>
    <w:p>
      <w:pPr>
        <w:spacing w:before="60"/>
        <w:jc w:val="center"/>
      </w:pPr>
      <w:r>
        <w:rPr>
          <w:rFonts w:ascii="IBM Plex Mono" w:cs="IBM Plex Mono" w:eastAsia="IBM Plex Mono" w:hAnsi="IBM Plex Mono"/>
          <w:color w:val="334155"/>
          <w:sz w:val="16"/>
          <w:szCs w:val="16"/>
        </w:rPr>
        <w:t xml:space="preserve">Perpustakaan Digital ABBA · Jl. Kerinci Raya No. 9, Malang 65138 · 2026</w:t>
      </w:r>
    </w:p>
    <w:p>
      <w:r>
        <w:br w:type="page"/>
      </w:r>
    </w:p>
    <w:p>
      <w:pPr>
        <w:spacing w:after="160" w:line="300"/>
      </w:pPr>
      <w:r>
        <w:rPr>
          <w:rFonts w:ascii="IBM Plex Sans" w:cs="IBM Plex Sans" w:eastAsia="IBM Plex Sans" w:hAnsi="IBM Plex Sans"/>
          <w:color w:val="334155"/>
          <w:sz w:val="22"/>
          <w:szCs w:val="22"/>
        </w:rPr>
        <w:t xml:space="preserve">PPK ini merupakan turunan operasional dari Bab Perdarahan Pascasalin dan Kelainan Kala III, Buku Tematik "B3 — Obstetri Patologis dan Kegawatdaruratan Maternal".</w:t>
      </w:r>
    </w:p>
    <w:p>
      <w:pPr>
        <w:pStyle w:val="Heading1"/>
        <w:pBdr>
          <w:bottom w:val="single" w:color="E2E8F0" w:sz="6"/>
        </w:pBdr>
        <w:spacing w:after="160" w:before="340"/>
      </w:pPr>
      <w:r>
        <w:rPr>
          <w:rFonts w:ascii="Source Serif 4" w:cs="Source Serif 4" w:eastAsia="Source Serif 4" w:hAnsi="Source Serif 4"/>
          <w:b/>
          <w:bCs/>
          <w:color w:val="3730A3"/>
          <w:sz w:val="30"/>
          <w:szCs w:val="30"/>
        </w:rPr>
        <w:t xml:space="preserve">Pengertian / Definisi</w:t>
      </w:r>
    </w:p>
    <w:p>
      <w:pPr>
        <w:pBdr>
          <w:left w:val="single" w:color="B45309" w:sz="24"/>
        </w:pBdr>
        <w:shd w:fill="FFFBEB" w:val="clear"/>
        <w:spacing w:after="40" w:before="100"/>
        <w:ind w:left="200"/>
      </w:pPr>
      <w:r>
        <w:rPr>
          <w:rFonts w:ascii="IBM Plex Mono" w:cs="IBM Plex Mono" w:eastAsia="IBM Plex Mono" w:hAnsi="IBM Plex Mono"/>
          <w:b/>
          <w:bCs/>
          <w:color w:val="B45309"/>
          <w:sz w:val="16"/>
          <w:szCs w:val="16"/>
        </w:rPr>
        <w:t xml:space="preserve">DASAR REGULASI</w:t>
      </w:r>
    </w:p>
    <w:p>
      <w:pPr>
        <w:pBdr>
          <w:left w:val="single" w:color="B45309" w:sz="24"/>
        </w:pBdr>
        <w:shd w:fill="FFFBEB" w:val="clear"/>
        <w:spacing w:after="200"/>
        <w:ind w:left="200"/>
      </w:pPr>
      <w:r>
        <w:rPr>
          <w:rFonts w:ascii="IBM Plex Sans" w:cs="IBM Plex Sans" w:eastAsia="IBM Plex Sans" w:hAnsi="IBM Plex Sans"/>
          <w:color w:val="334155"/>
          <w:sz w:val="20"/>
          <w:szCs w:val="20"/>
        </w:rPr>
        <w:t xml:space="preserve">Keputusan Ketua Konsil Kesehatan Indonesia No. HK.01.02/KKI/1318/2026 tentang Standar Kompetensi Dokter Spesialis dan Subspesialis Bidang Obstetri dan Ginekologi, Tabel 7, entri No. 16</w:t>
      </w:r>
    </w:p>
    <w:p>
      <w:pPr>
        <w:spacing w:after="160" w:line="300"/>
      </w:pPr>
      <w:r>
        <w:rPr>
          <w:rFonts w:ascii="IBM Plex Sans" w:cs="IBM Plex Sans" w:eastAsia="IBM Plex Sans" w:hAnsi="IBM Plex Sans"/>
          <w:color w:val="334155"/>
          <w:sz w:val="22"/>
          <w:szCs w:val="22"/>
        </w:rPr>
        <w:t xml:space="preserve">Retensio plasenta (retained placenta) adalah kondisi tidak lahirnya plasenta secara spontan dalam kurun waktu yang ditetapkan setelah bayi lahir, meskipun telah dilakukan manajemen aktif kala III persalinan (active management of the third stage of labour/AMTSL). Ambang waktu yang digunakan secara internasional adalah 30 menit pascasalin bayi; apabila melewati 30 menit tanpa tanda pelepasan plasenta, kondisi ini digolongkan sebagai retensio plasenta, dengan atau tanpa disertai perdarahan aktif.</w:t>
      </w:r>
    </w:p>
    <w:p>
      <w:pPr>
        <w:spacing w:after="160" w:line="300"/>
      </w:pPr>
      <w:r>
        <w:rPr>
          <w:rFonts w:ascii="IBM Plex Sans" w:cs="IBM Plex Sans" w:eastAsia="IBM Plex Sans" w:hAnsi="IBM Plex Sans"/>
          <w:color w:val="334155"/>
          <w:sz w:val="22"/>
          <w:szCs w:val="22"/>
        </w:rPr>
        <w:t xml:space="preserve">Secara patofisiologi, retensio plasenta terjadi melalui tiga mekanisme utama. Pertama, atonia uteri yang menyebabkan plasenta terperangkap (trapped placenta) di dalam kavum uteri meskipun sudah terlepas dari dinding rahim. Kedua, plasenta belum terlepas sama sekali dari desidua basalis akibat kontraksi uterus yang tidak adekuat, kelainan bentuk uterus, atau serviks yang berkontraksi (cervical clamping) sebelum plasenta sempat keluar. Ketiga, plasenta melekat secara abnormal pada miometrium tanpa bidang pelepasan yang jelas, sebagaimana pada spektrum plasenta akreta (placenta accreta spectrum/PAS) — mencakup plasenta akreta, inkreta, dan perkreta, yang umumnya berkaitan dengan riwayat jaringan parut uterus (seksio sesarea, miomektomi, kuretase berulang).</w:t>
      </w:r>
    </w:p>
    <w:p>
      <w:pPr>
        <w:spacing w:after="160" w:line="300"/>
      </w:pPr>
      <w:r>
        <w:rPr>
          <w:rFonts w:ascii="IBM Plex Sans" w:cs="IBM Plex Sans" w:eastAsia="IBM Plex Sans" w:hAnsi="IBM Plex Sans"/>
          <w:color w:val="334155"/>
          <w:sz w:val="22"/>
          <w:szCs w:val="22"/>
        </w:rPr>
        <w:t xml:space="preserve">Retensio plasenta merupakan salah satu penyebab utama perdarahan pascasalin (postpartum hemorrhage/PPH). Perdarahan pascasalin sendiri tercatat sebagai penyebab utama kematian maternal secara global, dengan estimasi sekitar 70.000 kematian ibu per tahun di seluruh dunia terkait PPH menurut data World Health Organization (WHO); data insidensi retensio plasenta yang spesifik untuk populasi Indonesia mengikuti [DATA: rujuk laporan/registri resmi terbaru — mis. Kemenkes, Survei Demografi dan Kesehatan Indonesia/SDKI, atau registri POGI]. Oleh karena hubungannya yang erat dengan PPH, tata laksana retensio plasenta yang cepat dan tepat sangat menentukan luaran maternal jangka pendek maupun jangka panjang.</w:t>
      </w:r>
    </w:p>
    <w:p>
      <w:pPr>
        <w:pStyle w:val="Heading1"/>
        <w:pBdr>
          <w:bottom w:val="single" w:color="E2E8F0" w:sz="6"/>
        </w:pBdr>
        <w:spacing w:after="160" w:before="340"/>
      </w:pPr>
      <w:r>
        <w:rPr>
          <w:rFonts w:ascii="Source Serif 4" w:cs="Source Serif 4" w:eastAsia="Source Serif 4" w:hAnsi="Source Serif 4"/>
          <w:b/>
          <w:bCs/>
          <w:color w:val="3730A3"/>
          <w:sz w:val="30"/>
          <w:szCs w:val="30"/>
        </w:rPr>
        <w:t xml:space="preserve">Anamnesis</w:t>
      </w:r>
    </w:p>
    <w:p>
      <w:pPr>
        <w:spacing w:after="160" w:line="300"/>
      </w:pPr>
      <w:r>
        <w:rPr>
          <w:rFonts w:ascii="IBM Plex Sans" w:cs="IBM Plex Sans" w:eastAsia="IBM Plex Sans" w:hAnsi="IBM Plex Sans"/>
          <w:color w:val="334155"/>
          <w:sz w:val="22"/>
          <w:szCs w:val="22"/>
        </w:rPr>
        <w:t xml:space="preserve">Anamnesis diarahkan untuk mengidentifikasi faktor risiko dan menentukan urgensi tindakan, dilakukan secara singkat dan terarah karena kondisi ini dapat berkembang menjadi kegawatdaruratan:</w:t>
      </w:r>
    </w:p>
    <w:p>
      <w:pPr>
        <w:pStyle w:val="ListParagraph"/>
        <w:numPr>
          <w:ilvl w:val="0"/>
          <w:numId w:val="1"/>
        </w:numPr>
        <w:spacing w:after="100"/>
      </w:pPr>
      <w:r>
        <w:rPr>
          <w:rFonts w:ascii="IBM Plex Sans" w:cs="IBM Plex Sans" w:eastAsia="IBM Plex Sans" w:hAnsi="IBM Plex Sans"/>
          <w:color w:val="334155"/>
          <w:sz w:val="22"/>
          <w:szCs w:val="22"/>
        </w:rPr>
        <w:t xml:space="preserve">Waktu pasti kelahiran bayi dan interval hingga saat pemeriksaan, untuk menentukan apakah sudah melewati ambang 30 menit yang menjadi dasar diagnosis.</w:t>
      </w:r>
    </w:p>
    <w:p>
      <w:pPr>
        <w:pStyle w:val="ListParagraph"/>
        <w:numPr>
          <w:ilvl w:val="0"/>
          <w:numId w:val="1"/>
        </w:numPr>
        <w:spacing w:after="100"/>
      </w:pPr>
      <w:r>
        <w:rPr>
          <w:rFonts w:ascii="IBM Plex Sans" w:cs="IBM Plex Sans" w:eastAsia="IBM Plex Sans" w:hAnsi="IBM Plex Sans"/>
          <w:color w:val="334155"/>
          <w:sz w:val="22"/>
          <w:szCs w:val="22"/>
        </w:rPr>
        <w:t xml:space="preserve">Riwayat retensio plasenta atau perdarahan pascasalin pada persalinan sebelumnya, yang meningkatkan risiko rekurensi.</w:t>
      </w:r>
    </w:p>
    <w:p>
      <w:pPr>
        <w:pStyle w:val="ListParagraph"/>
        <w:numPr>
          <w:ilvl w:val="0"/>
          <w:numId w:val="1"/>
        </w:numPr>
        <w:spacing w:after="100"/>
      </w:pPr>
      <w:r>
        <w:rPr>
          <w:rFonts w:ascii="IBM Plex Sans" w:cs="IBM Plex Sans" w:eastAsia="IBM Plex Sans" w:hAnsi="IBM Plex Sans"/>
          <w:color w:val="334155"/>
          <w:sz w:val="22"/>
          <w:szCs w:val="22"/>
        </w:rPr>
        <w:t xml:space="preserve">Riwayat seksio sesarea, miomektomi, kuretase, atau tindakan intrauterin lain — faktor risiko utama spektrum plasenta akreta, terutama bila disertai plasenta previa atau plasenta letak rendah pada kehamilan saat ini.</w:t>
      </w:r>
    </w:p>
    <w:p>
      <w:pPr>
        <w:pStyle w:val="ListParagraph"/>
        <w:numPr>
          <w:ilvl w:val="0"/>
          <w:numId w:val="1"/>
        </w:numPr>
        <w:spacing w:after="100"/>
      </w:pPr>
      <w:r>
        <w:rPr>
          <w:rFonts w:ascii="IBM Plex Sans" w:cs="IBM Plex Sans" w:eastAsia="IBM Plex Sans" w:hAnsi="IBM Plex Sans"/>
          <w:color w:val="334155"/>
          <w:sz w:val="22"/>
          <w:szCs w:val="22"/>
        </w:rPr>
        <w:t xml:space="preserve">Riwayat manual plasenta pada persalinan sebelumnya.</w:t>
      </w:r>
    </w:p>
    <w:p>
      <w:pPr>
        <w:pStyle w:val="ListParagraph"/>
        <w:numPr>
          <w:ilvl w:val="0"/>
          <w:numId w:val="1"/>
        </w:numPr>
        <w:spacing w:after="100"/>
      </w:pPr>
      <w:r>
        <w:rPr>
          <w:rFonts w:ascii="IBM Plex Sans" w:cs="IBM Plex Sans" w:eastAsia="IBM Plex Sans" w:hAnsi="IBM Plex Sans"/>
          <w:color w:val="334155"/>
          <w:sz w:val="22"/>
          <w:szCs w:val="22"/>
        </w:rPr>
        <w:t xml:space="preserve">Paritas tinggi (grande multipara), usia ibu di atas 35 tahun, jarak kehamilan yang pendek, serta riwayat infertilitas atau kehamilan hasil teknologi reproduksi berbantu.</w:t>
      </w:r>
    </w:p>
    <w:p>
      <w:pPr>
        <w:pStyle w:val="ListParagraph"/>
        <w:numPr>
          <w:ilvl w:val="0"/>
          <w:numId w:val="1"/>
        </w:numPr>
        <w:spacing w:after="100"/>
      </w:pPr>
      <w:r>
        <w:rPr>
          <w:rFonts w:ascii="IBM Plex Sans" w:cs="IBM Plex Sans" w:eastAsia="IBM Plex Sans" w:hAnsi="IBM Plex Sans"/>
          <w:color w:val="334155"/>
          <w:sz w:val="22"/>
          <w:szCs w:val="22"/>
        </w:rPr>
        <w:t xml:space="preserve">Jenis dan waktu pemberian uterotonika selama persalinan, serta respons kontraksi uterus terhadap terapi tersebut.</w:t>
      </w:r>
    </w:p>
    <w:p>
      <w:pPr>
        <w:pStyle w:val="ListParagraph"/>
        <w:numPr>
          <w:ilvl w:val="0"/>
          <w:numId w:val="1"/>
        </w:numPr>
        <w:spacing w:after="100"/>
      </w:pPr>
      <w:r>
        <w:rPr>
          <w:rFonts w:ascii="IBM Plex Sans" w:cs="IBM Plex Sans" w:eastAsia="IBM Plex Sans" w:hAnsi="IBM Plex Sans"/>
          <w:color w:val="334155"/>
          <w:sz w:val="22"/>
          <w:szCs w:val="22"/>
        </w:rPr>
        <w:t xml:space="preserve">Keluhan subjektif yang menyertai: rasa penuh atau mengganjal di vagina, perdarahan aktif, pusing, atau lemas sebagai tanda awal syok hipovolemik.</w:t>
      </w:r>
    </w:p>
    <w:p>
      <w:pPr>
        <w:pStyle w:val="Heading1"/>
        <w:pBdr>
          <w:bottom w:val="single" w:color="E2E8F0" w:sz="6"/>
        </w:pBdr>
        <w:spacing w:after="160" w:before="340"/>
      </w:pPr>
      <w:r>
        <w:rPr>
          <w:rFonts w:ascii="Source Serif 4" w:cs="Source Serif 4" w:eastAsia="Source Serif 4" w:hAnsi="Source Serif 4"/>
          <w:b/>
          <w:bCs/>
          <w:color w:val="3730A3"/>
          <w:sz w:val="30"/>
          <w:szCs w:val="30"/>
        </w:rPr>
        <w:t xml:space="preserve">Pemeriksaan Fisik</w:t>
      </w:r>
    </w:p>
    <w:p>
      <w:pPr>
        <w:spacing w:after="160" w:line="300"/>
      </w:pPr>
      <w:r>
        <w:rPr>
          <w:rFonts w:ascii="IBM Plex Sans" w:cs="IBM Plex Sans" w:eastAsia="IBM Plex Sans" w:hAnsi="IBM Plex Sans"/>
          <w:color w:val="334155"/>
          <w:sz w:val="22"/>
          <w:szCs w:val="22"/>
        </w:rPr>
        <w:t xml:space="preserve">Pemeriksaan fisik dilakukan secara simultan dengan penilaian hemodinamik ibu, karena retensio plasenta dapat berkembang cepat menjadi kegawatdaruratan.</w:t>
      </w:r>
    </w:p>
    <w:p>
      <w:pPr>
        <w:pStyle w:val="Heading2"/>
        <w:spacing w:after="120" w:before="220"/>
      </w:pPr>
      <w:r>
        <w:rPr>
          <w:rFonts w:ascii="Source Serif 4" w:cs="Source Serif 4" w:eastAsia="Source Serif 4" w:hAnsi="Source Serif 4"/>
          <w:b/>
          <w:bCs/>
          <w:color w:val="B45309"/>
          <w:sz w:val="25"/>
          <w:szCs w:val="25"/>
        </w:rPr>
        <w:t xml:space="preserve">Penilaian Umum dan Hemodinamik</w:t>
      </w:r>
    </w:p>
    <w:p>
      <w:pPr>
        <w:spacing w:after="160" w:line="300"/>
      </w:pPr>
      <w:r>
        <w:rPr>
          <w:rFonts w:ascii="IBM Plex Sans" w:cs="IBM Plex Sans" w:eastAsia="IBM Plex Sans" w:hAnsi="IBM Plex Sans"/>
          <w:color w:val="334155"/>
          <w:sz w:val="22"/>
          <w:szCs w:val="22"/>
        </w:rPr>
        <w:t xml:space="preserve">Penilaian kesadaran, tekanan darah, nadi, frekuensi napas, saturasi oksigen, dan tanda syok hipovolemik (takikardia, hipotensi, akral dingin, capillary refill time memanjang). Estimasi jumlah perdarahan dilakukan secara kuantitatif menggunakan alat penampung darah terkalibrasi (calibrated drape) bila tersedia — sejalan dengan penekanan panduan konsolidasi WHO/FIGO/International Confederation of Midwives (ICM) tahun 2025 terhadap penilaian kehilangan darah yang objektif dan bukan hanya estimasi visual.</w:t>
      </w:r>
    </w:p>
    <w:p>
      <w:pPr>
        <w:pStyle w:val="Heading2"/>
        <w:spacing w:after="120" w:before="220"/>
      </w:pPr>
      <w:r>
        <w:rPr>
          <w:rFonts w:ascii="Source Serif 4" w:cs="Source Serif 4" w:eastAsia="Source Serif 4" w:hAnsi="Source Serif 4"/>
          <w:b/>
          <w:bCs/>
          <w:color w:val="B45309"/>
          <w:sz w:val="25"/>
          <w:szCs w:val="25"/>
        </w:rPr>
        <w:t xml:space="preserve">Pemeriksaan Obstetri</w:t>
      </w:r>
    </w:p>
    <w:p>
      <w:pPr>
        <w:spacing w:after="160" w:line="300"/>
      </w:pPr>
      <w:r>
        <w:rPr>
          <w:rFonts w:ascii="IBM Plex Sans" w:cs="IBM Plex Sans" w:eastAsia="IBM Plex Sans" w:hAnsi="IBM Plex Sans"/>
          <w:color w:val="334155"/>
          <w:sz w:val="22"/>
          <w:szCs w:val="22"/>
        </w:rPr>
        <w:t xml:space="preserve">Palpasi fundus uteri untuk menilai tonus dan tinggi fundus (atonia uteri dengan plasenta terperangkap versus uterus berkontraksi baik). Inspeksi tali pusat dan introitus vagina untuk melihat tanda pelepasan plasenta: tanda Kustner (tali pusat tidak tertarik masuk saat fundus didorong ke arah simfisis), tanda Ahlfeld (tali pusat memanjang spontan keluar dari vulva), dan tanda Strassmann (getaran yang diberikan pada fundus tidak diteruskan ke tali pusat apabila plasenta telah lepas). Pemeriksaan bimanual dilakukan bila diperlukan konfirmasi lebih lanjut, dengan kewaspadaan terhadap risiko memperberat perdarahan.</w:t>
      </w:r>
    </w:p>
    <w:p>
      <w:pPr>
        <w:pStyle w:val="Heading1"/>
        <w:pBdr>
          <w:bottom w:val="single" w:color="E2E8F0" w:sz="6"/>
        </w:pBdr>
        <w:spacing w:after="160" w:before="340"/>
      </w:pPr>
      <w:r>
        <w:rPr>
          <w:rFonts w:ascii="Source Serif 4" w:cs="Source Serif 4" w:eastAsia="Source Serif 4" w:hAnsi="Source Serif 4"/>
          <w:b/>
          <w:bCs/>
          <w:color w:val="3730A3"/>
          <w:sz w:val="30"/>
          <w:szCs w:val="30"/>
        </w:rPr>
        <w:t xml:space="preserve">Kriteria Diagnosis</w:t>
      </w:r>
    </w:p>
    <w:p>
      <w:pPr>
        <w:pBdr>
          <w:left w:val="single" w:color="B45309" w:sz="24"/>
        </w:pBdr>
        <w:shd w:fill="FFFBEB" w:val="clear"/>
        <w:spacing w:after="40" w:before="100"/>
        <w:ind w:left="200"/>
      </w:pPr>
      <w:r>
        <w:rPr>
          <w:rFonts w:ascii="IBM Plex Mono" w:cs="IBM Plex Mono" w:eastAsia="IBM Plex Mono" w:hAnsi="IBM Plex Mono"/>
          <w:b/>
          <w:bCs/>
          <w:color w:val="B45309"/>
          <w:sz w:val="16"/>
          <w:szCs w:val="16"/>
        </w:rPr>
        <w:t xml:space="preserve">DASAR REGULASI</w:t>
      </w:r>
    </w:p>
    <w:p>
      <w:pPr>
        <w:pBdr>
          <w:left w:val="single" w:color="B45309" w:sz="24"/>
        </w:pBdr>
        <w:shd w:fill="FFFBEB" w:val="clear"/>
        <w:spacing w:after="200"/>
        <w:ind w:left="200"/>
      </w:pPr>
      <w:r>
        <w:rPr>
          <w:rFonts w:ascii="IBM Plex Sans" w:cs="IBM Plex Sans" w:eastAsia="IBM Plex Sans" w:hAnsi="IBM Plex Sans"/>
          <w:color w:val="334155"/>
          <w:sz w:val="20"/>
          <w:szCs w:val="20"/>
        </w:rPr>
        <w:t xml:space="preserve">Keputusan Ketua Konsil Kesehatan Indonesia No. HK.01.02/KKI/1318/2026 tentang Standar Kompetensi Dokter Spesialis dan Subspesialis Bidang Obstetri dan Ginekologi, Tabel 7, entri No. 16</w:t>
      </w:r>
    </w:p>
    <w:p>
      <w:pPr>
        <w:spacing w:after="160" w:line="300"/>
      </w:pPr>
      <w:r>
        <w:rPr>
          <w:rFonts w:ascii="IBM Plex Sans" w:cs="IBM Plex Sans" w:eastAsia="IBM Plex Sans" w:hAnsi="IBM Plex Sans"/>
          <w:color w:val="334155"/>
          <w:sz w:val="22"/>
          <w:szCs w:val="22"/>
        </w:rPr>
        <w:t xml:space="preserve">Diagnosis retensio plasenta ditegakkan secara klinis apabila plasenta tidak lahir spontan dalam 30 menit setelah bayi lahir pada persalinan dengan manajemen aktif kala III yang adekuat (oksitosin profilaksis, traksi tali pusat terkendali, dan masase fundus setelah pelepasan plasenta).</w:t>
      </w:r>
    </w:p>
    <w:p>
      <w:pPr>
        <w:spacing w:after="160" w:line="300"/>
      </w:pPr>
      <w:r>
        <w:rPr>
          <w:rFonts w:ascii="IBM Plex Sans" w:cs="IBM Plex Sans" w:eastAsia="IBM Plex Sans" w:hAnsi="IBM Plex Sans"/>
          <w:color w:val="334155"/>
          <w:sz w:val="22"/>
          <w:szCs w:val="22"/>
        </w:rPr>
        <w:t xml:space="preserve">Kode diagnosis (Bahasa Indonesia — Inggris; ICD-10 dan ICD-11 dicantumkan berdampingan):</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3116"/>
        <w:gridCol w:w="3116"/>
        <w:gridCol w:w="3116"/>
      </w:tblGrid>
      <w:tr>
        <w:trPr>
          <w:tblHeader/>
        </w:trPr>
        <w:tc>
          <w:tcPr>
            <w:tcW w:type="dxa" w:w="3116"/>
            <w:shd w:fill="4F46E5" w:val="clear"/>
          </w:tcPr>
          <w:p>
            <w:r>
              <w:rPr>
                <w:rFonts w:ascii="IBM Plex Sans" w:cs="IBM Plex Sans" w:eastAsia="IBM Plex Sans" w:hAnsi="IBM Plex Sans"/>
                <w:b/>
                <w:bCs/>
                <w:color w:val="FFFFFF"/>
                <w:sz w:val="20"/>
                <w:szCs w:val="20"/>
              </w:rPr>
              <w:t xml:space="preserve">Diagnosis</w:t>
            </w:r>
          </w:p>
        </w:tc>
        <w:tc>
          <w:tcPr>
            <w:tcW w:type="dxa" w:w="3116"/>
            <w:shd w:fill="4F46E5" w:val="clear"/>
          </w:tcPr>
          <w:p>
            <w:r>
              <w:rPr>
                <w:rFonts w:ascii="IBM Plex Sans" w:cs="IBM Plex Sans" w:eastAsia="IBM Plex Sans" w:hAnsi="IBM Plex Sans"/>
                <w:b/>
                <w:bCs/>
                <w:color w:val="FFFFFF"/>
                <w:sz w:val="20"/>
                <w:szCs w:val="20"/>
              </w:rPr>
              <w:t xml:space="preserve">ICD-10</w:t>
            </w:r>
          </w:p>
        </w:tc>
        <w:tc>
          <w:tcPr>
            <w:tcW w:type="dxa" w:w="3116"/>
            <w:shd w:fill="4F46E5" w:val="clear"/>
          </w:tcPr>
          <w:p>
            <w:r>
              <w:rPr>
                <w:rFonts w:ascii="IBM Plex Sans" w:cs="IBM Plex Sans" w:eastAsia="IBM Plex Sans" w:hAnsi="IBM Plex Sans"/>
                <w:b/>
                <w:bCs/>
                <w:color w:val="FFFFFF"/>
                <w:sz w:val="20"/>
                <w:szCs w:val="20"/>
              </w:rPr>
              <w:t xml:space="preserve">ICD-11</w:t>
            </w:r>
          </w:p>
        </w:tc>
      </w:tr>
      <w:tr>
        <w:tc>
          <w:tcPr>
            <w:tcW w:type="dxa" w:w="3116"/>
            <w:shd w:fill="FFFFFF" w:val="clear"/>
          </w:tcPr>
          <w:p>
            <w:r>
              <w:rPr>
                <w:rFonts w:ascii="IBM Plex Sans" w:cs="IBM Plex Sans" w:eastAsia="IBM Plex Sans" w:hAnsi="IBM Plex Sans"/>
                <w:color w:val="334155"/>
                <w:sz w:val="20"/>
                <w:szCs w:val="20"/>
              </w:rPr>
              <w:t xml:space="preserve">Retensio plasenta tanpa perdarahan — Retained placenta without haemorrhage</w:t>
            </w:r>
          </w:p>
        </w:tc>
        <w:tc>
          <w:tcPr>
            <w:tcW w:type="dxa" w:w="3116"/>
            <w:shd w:fill="FFFFFF" w:val="clear"/>
          </w:tcPr>
          <w:p>
            <w:r>
              <w:rPr>
                <w:rFonts w:ascii="IBM Plex Sans" w:cs="IBM Plex Sans" w:eastAsia="IBM Plex Sans" w:hAnsi="IBM Plex Sans"/>
                <w:color w:val="334155"/>
                <w:sz w:val="20"/>
                <w:szCs w:val="20"/>
              </w:rPr>
              <w:t xml:space="preserve">O73.0</w:t>
            </w:r>
          </w:p>
        </w:tc>
        <w:tc>
          <w:tcPr>
            <w:tcW w:type="dxa" w:w="3116"/>
            <w:shd w:fill="FFFFFF" w:val="clear"/>
          </w:tcPr>
          <w:p>
            <w:r>
              <w:rPr>
                <w:rFonts w:ascii="IBM Plex Sans" w:cs="IBM Plex Sans" w:eastAsia="IBM Plex Sans" w:hAnsi="IBM Plex Sans"/>
                <w:color w:val="334155"/>
                <w:sz w:val="20"/>
                <w:szCs w:val="20"/>
              </w:rPr>
              <w:t xml:space="preserve">JB0B.0</w:t>
            </w:r>
          </w:p>
        </w:tc>
      </w:tr>
      <w:tr>
        <w:tc>
          <w:tcPr>
            <w:tcW w:type="dxa" w:w="3116"/>
            <w:shd w:fill="F1F5F9" w:val="clear"/>
          </w:tcPr>
          <w:p>
            <w:r>
              <w:rPr>
                <w:rFonts w:ascii="IBM Plex Sans" w:cs="IBM Plex Sans" w:eastAsia="IBM Plex Sans" w:hAnsi="IBM Plex Sans"/>
                <w:color w:val="334155"/>
                <w:sz w:val="20"/>
                <w:szCs w:val="20"/>
              </w:rPr>
              <w:t xml:space="preserve">Retensio sisa plasenta dan selaput ketuban tanpa perdarahan — Retained portions of placenta or membranes, without haemorrhage</w:t>
            </w:r>
          </w:p>
        </w:tc>
        <w:tc>
          <w:tcPr>
            <w:tcW w:type="dxa" w:w="3116"/>
            <w:shd w:fill="F1F5F9" w:val="clear"/>
          </w:tcPr>
          <w:p>
            <w:r>
              <w:rPr>
                <w:rFonts w:ascii="IBM Plex Sans" w:cs="IBM Plex Sans" w:eastAsia="IBM Plex Sans" w:hAnsi="IBM Plex Sans"/>
                <w:color w:val="334155"/>
                <w:sz w:val="20"/>
                <w:szCs w:val="20"/>
              </w:rPr>
              <w:t xml:space="preserve">O73.1</w:t>
            </w:r>
          </w:p>
        </w:tc>
        <w:tc>
          <w:tcPr>
            <w:tcW w:type="dxa" w:w="3116"/>
            <w:shd w:fill="F1F5F9" w:val="clear"/>
          </w:tcPr>
          <w:p>
            <w:r>
              <w:rPr>
                <w:rFonts w:ascii="IBM Plex Sans" w:cs="IBM Plex Sans" w:eastAsia="IBM Plex Sans" w:hAnsi="IBM Plex Sans"/>
                <w:color w:val="334155"/>
                <w:sz w:val="20"/>
                <w:szCs w:val="20"/>
              </w:rPr>
              <w:t xml:space="preserve">JB0B.1</w:t>
            </w:r>
          </w:p>
        </w:tc>
      </w:tr>
      <w:tr>
        <w:tc>
          <w:tcPr>
            <w:tcW w:type="dxa" w:w="3116"/>
            <w:shd w:fill="FFFFFF" w:val="clear"/>
          </w:tcPr>
          <w:p>
            <w:r>
              <w:rPr>
                <w:rFonts w:ascii="IBM Plex Sans" w:cs="IBM Plex Sans" w:eastAsia="IBM Plex Sans" w:hAnsi="IBM Plex Sans"/>
                <w:color w:val="334155"/>
                <w:sz w:val="20"/>
                <w:szCs w:val="20"/>
              </w:rPr>
              <w:t xml:space="preserve">Perdarahan kala III akibat retensio plasenta — Third-stage haemorrhage due to retained placenta</w:t>
            </w:r>
          </w:p>
        </w:tc>
        <w:tc>
          <w:tcPr>
            <w:tcW w:type="dxa" w:w="3116"/>
            <w:shd w:fill="FFFFFF" w:val="clear"/>
          </w:tcPr>
          <w:p>
            <w:r>
              <w:rPr>
                <w:rFonts w:ascii="IBM Plex Sans" w:cs="IBM Plex Sans" w:eastAsia="IBM Plex Sans" w:hAnsi="IBM Plex Sans"/>
                <w:color w:val="334155"/>
                <w:sz w:val="20"/>
                <w:szCs w:val="20"/>
              </w:rPr>
              <w:t xml:space="preserve">O72.0</w:t>
            </w:r>
          </w:p>
        </w:tc>
        <w:tc>
          <w:tcPr>
            <w:tcW w:type="dxa" w:w="3116"/>
            <w:shd w:fill="FFFFFF" w:val="clear"/>
          </w:tcPr>
          <w:p>
            <w:r>
              <w:rPr>
                <w:rFonts w:ascii="IBM Plex Sans" w:cs="IBM Plex Sans" w:eastAsia="IBM Plex Sans" w:hAnsi="IBM Plex Sans"/>
                <w:color w:val="334155"/>
                <w:sz w:val="20"/>
                <w:szCs w:val="20"/>
              </w:rPr>
              <w:t xml:space="preserve">JB0B.0 dikombinasikan dengan extension code perdarahan pascasalin yang relevan</w:t>
            </w:r>
          </w:p>
        </w:tc>
      </w:tr>
    </w:tbl>
    <w:p>
      <w:pPr>
        <w:spacing w:after="160"/>
      </w:pPr>
    </w:p>
    <w:p>
      <w:pPr>
        <w:pStyle w:val="Heading1"/>
        <w:pBdr>
          <w:bottom w:val="single" w:color="E2E8F0" w:sz="6"/>
        </w:pBdr>
        <w:spacing w:after="160" w:before="340"/>
      </w:pPr>
      <w:r>
        <w:rPr>
          <w:rFonts w:ascii="Source Serif 4" w:cs="Source Serif 4" w:eastAsia="Source Serif 4" w:hAnsi="Source Serif 4"/>
          <w:b/>
          <w:bCs/>
          <w:color w:val="3730A3"/>
          <w:sz w:val="30"/>
          <w:szCs w:val="30"/>
        </w:rPr>
        <w:t xml:space="preserve">Diagnosis Kerja dan Diagnosis Banding</w:t>
      </w:r>
    </w:p>
    <w:p>
      <w:pPr>
        <w:spacing w:after="160" w:line="300"/>
      </w:pPr>
      <w:r>
        <w:rPr>
          <w:rFonts w:ascii="IBM Plex Sans" w:cs="IBM Plex Sans" w:eastAsia="IBM Plex Sans" w:hAnsi="IBM Plex Sans"/>
          <w:color w:val="334155"/>
          <w:sz w:val="22"/>
          <w:szCs w:val="22"/>
        </w:rPr>
        <w:t xml:space="preserve">Diagnosis kerja ditegakkan berdasarkan status pelepasan plasenta dan ada/tidaknya perdarahan aktif, dengan diagnosis banding utama sebagai berikut:</w:t>
      </w:r>
    </w:p>
    <w:p>
      <w:pPr>
        <w:pStyle w:val="ListParagraph"/>
        <w:numPr>
          <w:ilvl w:val="0"/>
          <w:numId w:val="1"/>
        </w:numPr>
        <w:spacing w:after="100"/>
      </w:pPr>
      <w:r>
        <w:rPr>
          <w:rFonts w:ascii="IBM Plex Sans" w:cs="IBM Plex Sans" w:eastAsia="IBM Plex Sans" w:hAnsi="IBM Plex Sans"/>
          <w:color w:val="334155"/>
          <w:sz w:val="22"/>
          <w:szCs w:val="22"/>
        </w:rPr>
        <w:t xml:space="preserve">Retensio plasenta total — plasenta belum lepas sama sekali dari dinding uterus.</w:t>
      </w:r>
    </w:p>
    <w:p>
      <w:pPr>
        <w:pStyle w:val="ListParagraph"/>
        <w:numPr>
          <w:ilvl w:val="0"/>
          <w:numId w:val="1"/>
        </w:numPr>
        <w:spacing w:after="100"/>
      </w:pPr>
      <w:r>
        <w:rPr>
          <w:rFonts w:ascii="IBM Plex Sans" w:cs="IBM Plex Sans" w:eastAsia="IBM Plex Sans" w:hAnsi="IBM Plex Sans"/>
          <w:color w:val="334155"/>
          <w:sz w:val="22"/>
          <w:szCs w:val="22"/>
        </w:rPr>
        <w:t xml:space="preserve">Retensio plasenta parsial atau sisa plasenta — sebagian plasenta atau selaput ketuban tertinggal di kavum uteri setelah sebagian besar jaringan lahir.</w:t>
      </w:r>
    </w:p>
    <w:p>
      <w:pPr>
        <w:pStyle w:val="ListParagraph"/>
        <w:numPr>
          <w:ilvl w:val="0"/>
          <w:numId w:val="1"/>
        </w:numPr>
        <w:spacing w:after="100"/>
      </w:pPr>
      <w:r>
        <w:rPr>
          <w:rFonts w:ascii="IBM Plex Sans" w:cs="IBM Plex Sans" w:eastAsia="IBM Plex Sans" w:hAnsi="IBM Plex Sans"/>
          <w:color w:val="334155"/>
          <w:sz w:val="22"/>
          <w:szCs w:val="22"/>
        </w:rPr>
        <w:t xml:space="preserve">Plasenta terperangkap (trapped placenta) — plasenta sudah terlepas namun tertahan oleh kontraksi serviks atau segmen bawah rahim yang belum berdilatasi cukup.</w:t>
      </w:r>
    </w:p>
    <w:p>
      <w:pPr>
        <w:pStyle w:val="ListParagraph"/>
        <w:numPr>
          <w:ilvl w:val="0"/>
          <w:numId w:val="1"/>
        </w:numPr>
        <w:spacing w:after="100"/>
      </w:pPr>
      <w:r>
        <w:rPr>
          <w:rFonts w:ascii="IBM Plex Sans" w:cs="IBM Plex Sans" w:eastAsia="IBM Plex Sans" w:hAnsi="IBM Plex Sans"/>
          <w:color w:val="334155"/>
          <w:sz w:val="22"/>
          <w:szCs w:val="22"/>
        </w:rPr>
        <w:t xml:space="preserve">Spektrum plasenta akreta (akreta, inkreta, perkreta) — tidak ditemukan bidang pelepasan yang jelas, terutama pada ibu dengan riwayat seksio sesarea disertai plasenta previa atau letak rendah.</w:t>
      </w:r>
    </w:p>
    <w:p>
      <w:pPr>
        <w:pStyle w:val="ListParagraph"/>
        <w:numPr>
          <w:ilvl w:val="0"/>
          <w:numId w:val="1"/>
        </w:numPr>
        <w:spacing w:after="100"/>
      </w:pPr>
      <w:r>
        <w:rPr>
          <w:rFonts w:ascii="IBM Plex Sans" w:cs="IBM Plex Sans" w:eastAsia="IBM Plex Sans" w:hAnsi="IBM Plex Sans"/>
          <w:color w:val="334155"/>
          <w:sz w:val="22"/>
          <w:szCs w:val="22"/>
        </w:rPr>
        <w:t xml:space="preserve">Inversio uteri — dibedakan dari retensio plasenta melalui pemeriksaan fundus (fundus tidak teraba pada posisi normal, tampak massa di vagina atau introitus).</w:t>
      </w:r>
    </w:p>
    <w:p>
      <w:pPr>
        <w:pStyle w:val="ListParagraph"/>
        <w:numPr>
          <w:ilvl w:val="0"/>
          <w:numId w:val="1"/>
        </w:numPr>
        <w:spacing w:after="100"/>
      </w:pPr>
      <w:r>
        <w:rPr>
          <w:rFonts w:ascii="IBM Plex Sans" w:cs="IBM Plex Sans" w:eastAsia="IBM Plex Sans" w:hAnsi="IBM Plex Sans"/>
          <w:color w:val="334155"/>
          <w:sz w:val="22"/>
          <w:szCs w:val="22"/>
        </w:rPr>
        <w:t xml:space="preserve">Ruptur uteri — dipertimbangkan bila terdapat nyeri hebat, perdarahan masif yang tidak sebanding dengan tanda lokal, atau riwayat bekas seksio sesarea disertai tanda gawat maternal.</w:t>
      </w:r>
    </w:p>
    <w:p>
      <w:pPr>
        <w:pStyle w:val="Heading1"/>
        <w:pBdr>
          <w:bottom w:val="single" w:color="E2E8F0" w:sz="6"/>
        </w:pBdr>
        <w:spacing w:after="160" w:before="340"/>
      </w:pPr>
      <w:r>
        <w:rPr>
          <w:rFonts w:ascii="Source Serif 4" w:cs="Source Serif 4" w:eastAsia="Source Serif 4" w:hAnsi="Source Serif 4"/>
          <w:b/>
          <w:bCs/>
          <w:color w:val="3730A3"/>
          <w:sz w:val="30"/>
          <w:szCs w:val="30"/>
        </w:rPr>
        <w:t xml:space="preserve">Pemeriksaan Penunjang</w:t>
      </w:r>
    </w:p>
    <w:p>
      <w:pPr>
        <w:spacing w:after="160" w:line="300"/>
      </w:pPr>
      <w:r>
        <w:rPr>
          <w:rFonts w:ascii="IBM Plex Sans" w:cs="IBM Plex Sans" w:eastAsia="IBM Plex Sans" w:hAnsi="IBM Plex Sans"/>
          <w:color w:val="334155"/>
          <w:sz w:val="22"/>
          <w:szCs w:val="22"/>
        </w:rPr>
        <w:t xml:space="preserve">Pemeriksaan penunjang bertujuan menilai derajat kehilangan darah, kesiapan transfusi, dan — pada kasus dengan kecurigaan plasenta akreta spektrum — konfirmasi pencitraan bila kondisi ibu stabil.</w:t>
      </w:r>
    </w:p>
    <w:p>
      <w:pPr>
        <w:pStyle w:val="ListParagraph"/>
        <w:numPr>
          <w:ilvl w:val="0"/>
          <w:numId w:val="1"/>
        </w:numPr>
        <w:spacing w:after="100"/>
      </w:pPr>
      <w:r>
        <w:rPr>
          <w:rFonts w:ascii="IBM Plex Sans" w:cs="IBM Plex Sans" w:eastAsia="IBM Plex Sans" w:hAnsi="IBM Plex Sans"/>
          <w:color w:val="334155"/>
          <w:sz w:val="22"/>
          <w:szCs w:val="22"/>
        </w:rPr>
        <w:t xml:space="preserve">Darah perifer lengkap (hemoglobin, hematokrit, trombosit) sebagai baseline dan pemantauan berkala.</w:t>
      </w:r>
    </w:p>
    <w:p>
      <w:pPr>
        <w:pStyle w:val="ListParagraph"/>
        <w:numPr>
          <w:ilvl w:val="0"/>
          <w:numId w:val="1"/>
        </w:numPr>
        <w:spacing w:after="100"/>
      </w:pPr>
      <w:r>
        <w:rPr>
          <w:rFonts w:ascii="IBM Plex Sans" w:cs="IBM Plex Sans" w:eastAsia="IBM Plex Sans" w:hAnsi="IBM Plex Sans"/>
          <w:color w:val="334155"/>
          <w:sz w:val="22"/>
          <w:szCs w:val="22"/>
        </w:rPr>
        <w:t xml:space="preserve">Golongan darah dan crossmatch, disiapkan segera pada seluruh kasus dengan tanda perdarahan aktif atau rencana tindakan manual plasenta.</w:t>
      </w:r>
    </w:p>
    <w:p>
      <w:pPr>
        <w:pStyle w:val="ListParagraph"/>
        <w:numPr>
          <w:ilvl w:val="0"/>
          <w:numId w:val="1"/>
        </w:numPr>
        <w:spacing w:after="100"/>
      </w:pPr>
      <w:r>
        <w:rPr>
          <w:rFonts w:ascii="IBM Plex Sans" w:cs="IBM Plex Sans" w:eastAsia="IBM Plex Sans" w:hAnsi="IBM Plex Sans"/>
          <w:color w:val="334155"/>
          <w:sz w:val="22"/>
          <w:szCs w:val="22"/>
        </w:rPr>
        <w:t xml:space="preserve">Profil koagulasi (PT, aPTT, fibrinogen) bila terdapat perdarahan masif atau kecurigaan koagulopati intravaskular diseminata (KID).</w:t>
      </w:r>
    </w:p>
    <w:p>
      <w:pPr>
        <w:pStyle w:val="ListParagraph"/>
        <w:numPr>
          <w:ilvl w:val="0"/>
          <w:numId w:val="1"/>
        </w:numPr>
        <w:spacing w:after="100"/>
      </w:pPr>
      <w:r>
        <w:rPr>
          <w:rFonts w:ascii="IBM Plex Sans" w:cs="IBM Plex Sans" w:eastAsia="IBM Plex Sans" w:hAnsi="IBM Plex Sans"/>
          <w:color w:val="334155"/>
          <w:sz w:val="22"/>
          <w:szCs w:val="22"/>
        </w:rPr>
        <w:t xml:space="preserve">Fungsi ginjal dan elektrolit pada kasus syok hipovolemik berat atau kebutuhan resusitasi cairan/transfusi masif.</w:t>
      </w:r>
    </w:p>
    <w:p>
      <w:pPr>
        <w:pStyle w:val="ListParagraph"/>
        <w:numPr>
          <w:ilvl w:val="0"/>
          <w:numId w:val="1"/>
        </w:numPr>
        <w:spacing w:after="100"/>
      </w:pPr>
      <w:r>
        <w:rPr>
          <w:rFonts w:ascii="IBM Plex Sans" w:cs="IBM Plex Sans" w:eastAsia="IBM Plex Sans" w:hAnsi="IBM Plex Sans"/>
          <w:color w:val="334155"/>
          <w:sz w:val="22"/>
          <w:szCs w:val="22"/>
        </w:rPr>
        <w:t xml:space="preserve">Ultrasonografi transabdominal, dan transvaginal bila kondisi mengizinkan, untuk menilai sisa jaringan plasenta intrauterin pada kasus subakut, atau untuk evaluasi pratindakan pada kecurigaan plasenta akreta spektrum apabila kondisi hemodinamik ibu memungkinkan penundaan tindakan definitif.</w:t>
      </w:r>
    </w:p>
    <w:p>
      <w:pPr>
        <w:pStyle w:val="Heading1"/>
        <w:pBdr>
          <w:bottom w:val="single" w:color="E2E8F0" w:sz="6"/>
        </w:pBdr>
        <w:spacing w:after="160" w:before="340"/>
      </w:pPr>
      <w:r>
        <w:rPr>
          <w:rFonts w:ascii="Source Serif 4" w:cs="Source Serif 4" w:eastAsia="Source Serif 4" w:hAnsi="Source Serif 4"/>
          <w:b/>
          <w:bCs/>
          <w:color w:val="3730A3"/>
          <w:sz w:val="30"/>
          <w:szCs w:val="30"/>
        </w:rPr>
        <w:t xml:space="preserve">Tata Laksana</w:t>
      </w:r>
    </w:p>
    <w:p>
      <w:pPr>
        <w:pStyle w:val="Heading2"/>
        <w:spacing w:after="120" w:before="220"/>
      </w:pPr>
      <w:r>
        <w:rPr>
          <w:rFonts w:ascii="Source Serif 4" w:cs="Source Serif 4" w:eastAsia="Source Serif 4" w:hAnsi="Source Serif 4"/>
          <w:b/>
          <w:bCs/>
          <w:color w:val="B45309"/>
          <w:sz w:val="25"/>
          <w:szCs w:val="25"/>
        </w:rPr>
        <w:t xml:space="preserve">7.1 Tata Laksana Non-Farmakologis</w:t>
      </w:r>
    </w:p>
    <w:p>
      <w:pPr>
        <w:spacing w:after="160" w:line="300"/>
      </w:pPr>
      <w:r>
        <w:rPr>
          <w:rFonts w:ascii="IBM Plex Sans" w:cs="IBM Plex Sans" w:eastAsia="IBM Plex Sans" w:hAnsi="IBM Plex Sans"/>
          <w:color w:val="334155"/>
          <w:sz w:val="22"/>
          <w:szCs w:val="22"/>
        </w:rPr>
        <w:t xml:space="preserve">Manajemen aktif kala III diterapkan sebagai pencegahan pada seluruh persalinan, terdiri atas pemberian uterotonika profilaksis, traksi tali pusat terkendali (controlled cord traction) dengan kontra-tekanan suprapubik setelah tanda pelepasan plasenta muncul, dan masase fundus uteri pascalahirnya plasenta.</w:t>
      </w:r>
    </w:p>
    <w:p>
      <w:pPr>
        <w:spacing w:after="160" w:line="300"/>
      </w:pPr>
      <w:r>
        <w:rPr>
          <w:rFonts w:ascii="IBM Plex Sans" w:cs="IBM Plex Sans" w:eastAsia="IBM Plex Sans" w:hAnsi="IBM Plex Sans"/>
          <w:color w:val="334155"/>
          <w:sz w:val="22"/>
          <w:szCs w:val="22"/>
        </w:rPr>
        <w:t xml:space="preserve">Setelah retensio plasenta terdiagnosis: kosongkan kandung kemih (kateterisasi bila perlu, karena kandung kemih penuh dapat menghambat kontraksi dan pelepasan plasenta), pertahankan kehangatan tubuh ibu, dan pasang akses intravena berdiameter besar disertai resusitasi cairan kristaloid pada tanda hipovolemia. Pendekatan tata laksana perdarahan pascasalin terkini mengikuti kerangka kerja terpadu yang menekankan deteksi dini dan respons cepat berurutan — dikenal sebagai bundel MOTIVE (Massage/masase fundus, Oxytocic drugs/uterotonika, Tranexamic acid/asam traneksamat, Intravenous fluids/cairan intravena, Vaginal and genital tract examination/pemeriksaan jalan lahir, Escalation/eskalasi rujukan) — yang divalidasi melalui uji klinis multisenter dan diintegrasikan ke dalam panduan konsolidasi WHO, FIGO, dan ICM tahun 2025 mengenai perdarahan pascasalin.</w:t>
      </w:r>
    </w:p>
    <w:p>
      <w:pPr>
        <w:pStyle w:val="Heading2"/>
        <w:spacing w:after="120" w:before="220"/>
      </w:pPr>
      <w:r>
        <w:rPr>
          <w:rFonts w:ascii="Source Serif 4" w:cs="Source Serif 4" w:eastAsia="Source Serif 4" w:hAnsi="Source Serif 4"/>
          <w:b/>
          <w:bCs/>
          <w:color w:val="B45309"/>
          <w:sz w:val="25"/>
          <w:szCs w:val="25"/>
        </w:rPr>
        <w:t xml:space="preserve">7.2 Tata Laksana Farmakologis</w:t>
      </w:r>
    </w:p>
    <w:p>
      <w:pPr>
        <w:spacing w:after="160" w:line="300"/>
      </w:pPr>
      <w:r>
        <w:rPr>
          <w:rFonts w:ascii="IBM Plex Sans" w:cs="IBM Plex Sans" w:eastAsia="IBM Plex Sans" w:hAnsi="IBM Plex Sans"/>
          <w:color w:val="334155"/>
          <w:sz w:val="22"/>
          <w:szCs w:val="22"/>
        </w:rPr>
        <w:t xml:space="preserve">Oksitosin intravena atau intramuskular tetap menjadi uterotonika lini pertama untuk memperkuat kontraksi uterus. Karbetosin stabil-panas (heat-stable carbetocin) dapat dipertimbangkan sebagai alternatif setara pada fasilitas dengan keterbatasan rantai dingin penyimpanan oksitosin. Apabila keduanya tidak tersedia, misoprostol digunakan sebagai uterotonika lini alternatif.</w:t>
      </w:r>
    </w:p>
    <w:p>
      <w:pPr>
        <w:spacing w:after="160" w:line="300"/>
      </w:pPr>
      <w:r>
        <w:rPr>
          <w:rFonts w:ascii="IBM Plex Sans" w:cs="IBM Plex Sans" w:eastAsia="IBM Plex Sans" w:hAnsi="IBM Plex Sans"/>
          <w:color w:val="334155"/>
          <w:sz w:val="22"/>
          <w:szCs w:val="22"/>
        </w:rPr>
        <w:t xml:space="preserve">Pada perdarahan aktif, asam traneksamat diberikan sedini mungkin karena terbukti menurunkan mortalitas terkait perdarahan dan kebutuhan histerektomi bila diberikan dalam tiga jam pertama setelah onset perdarahan. Uterotonika lini kedua — ergometrin (dikontraindikasikan pada hipertensi/preeklamsia) atau carboprost (analog prostaglandin F2-alfa) — dipertimbangkan pada atonia uteri yang menyertai retensio plasenta.</w:t>
      </w:r>
    </w:p>
    <w:p>
      <w:pPr>
        <w:spacing w:after="160" w:line="300"/>
      </w:pPr>
      <w:r>
        <w:rPr>
          <w:rFonts w:ascii="IBM Plex Sans" w:cs="IBM Plex Sans" w:eastAsia="IBM Plex Sans" w:hAnsi="IBM Plex Sans"/>
          <w:color w:val="334155"/>
          <w:sz w:val="22"/>
          <w:szCs w:val="22"/>
        </w:rPr>
        <w:t xml:space="preserve">Sebagai tindakan tambahan sebelum manual plasenta, injeksi oksitosin ke dalam vena umbilikalis (umbilical vein injection of oxytocin, biasanya diencerkan dalam larutan salin) dapat dipertimbangkan untuk membantu pelepasan dan pengeluaran plasenta secara spontan, sesuai rekomendasi WHO mengenai tata laksana retensio plasenta. Antibiotik profilaksis dosis tunggal diberikan bila dilakukan tindakan manual plasenta atau eksplorasi kavum uteri.</w:t>
      </w:r>
    </w:p>
    <w:p>
      <w:pPr>
        <w:pStyle w:val="Heading2"/>
        <w:spacing w:after="120" w:before="220"/>
      </w:pPr>
      <w:r>
        <w:rPr>
          <w:rFonts w:ascii="Source Serif 4" w:cs="Source Serif 4" w:eastAsia="Source Serif 4" w:hAnsi="Source Serif 4"/>
          <w:b/>
          <w:bCs/>
          <w:color w:val="B45309"/>
          <w:sz w:val="25"/>
          <w:szCs w:val="25"/>
        </w:rPr>
        <w:t xml:space="preserve">7.3 Tata Laksana Bedah/Prosedural</w:t>
      </w:r>
    </w:p>
    <w:p>
      <w:pPr>
        <w:spacing w:after="160" w:line="300"/>
      </w:pPr>
      <w:r>
        <w:rPr>
          <w:rFonts w:ascii="IBM Plex Sans" w:cs="IBM Plex Sans" w:eastAsia="IBM Plex Sans" w:hAnsi="IBM Plex Sans"/>
          <w:color w:val="334155"/>
          <w:sz w:val="22"/>
          <w:szCs w:val="22"/>
        </w:rPr>
        <w:t xml:space="preserve">Manual plasenta (manual removal of placenta) dilakukan bila plasenta belum lahir dalam 30 menit disertai tanda belum terlepas, atau lebih awal bila terdapat perdarahan aktif signifikan, dengan analgesia atau anestesi yang adekuat dan kewaspadaan aseptik ketat. Bila dijumpai sisa jaringan plasenta pascatindakan, dilakukan eksplorasi digital dan/atau kuretase — bila perlu dengan tuntunan ultrasonografi — untuk memastikan kavum uteri bersih.</w:t>
      </w:r>
    </w:p>
    <w:p>
      <w:pPr>
        <w:spacing w:after="160" w:line="300"/>
      </w:pPr>
      <w:r>
        <w:rPr>
          <w:rFonts w:ascii="IBM Plex Sans" w:cs="IBM Plex Sans" w:eastAsia="IBM Plex Sans" w:hAnsi="IBM Plex Sans"/>
          <w:color w:val="334155"/>
          <w:sz w:val="22"/>
          <w:szCs w:val="22"/>
        </w:rPr>
        <w:t xml:space="preserve">Pada kecurigaan atau konfirmasi spektrum plasenta akreta, upaya pelepasan paksa plasenta harus dihindari karena berisiko menimbulkan perdarahan masif; tata laksana definitif berupa laparotomi terencana dengan opsi histerektomi obstetrik (total atau subtotal) sesuai temuan intraoperatif dan stabilitas hemodinamik ibu. Pada perdarahan masif yang tidak terkendali dengan uterotonika, dapat dipertimbangkan secara bertahap: tamponade balon intrauterin, jahitan kompresi uterus (misalnya teknik B-Lynch), ligasi arteri uterina atau arteri iliaka interna (hipogastrika), embolisasi arteri uterina bila fasilitas radiologi intervensi tersedia dan kondisi ibu stabil, hingga histerektomi sebagai tindakan penyelamatan nyawa (life-saving) apabila upaya konservatif gagal.</w:t>
      </w:r>
    </w:p>
    <w:p>
      <w:pPr>
        <w:pStyle w:val="Heading2"/>
        <w:spacing w:after="120" w:before="220"/>
      </w:pPr>
      <w:r>
        <w:rPr>
          <w:rFonts w:ascii="Source Serif 4" w:cs="Source Serif 4" w:eastAsia="Source Serif 4" w:hAnsi="Source Serif 4"/>
          <w:b/>
          <w:bCs/>
          <w:color w:val="B45309"/>
          <w:sz w:val="25"/>
          <w:szCs w:val="25"/>
        </w:rPr>
        <w:t xml:space="preserve">7.4 Kriteria Rujukan ke Subspesialis Fetomaternal</w:t>
      </w:r>
    </w:p>
    <w:p>
      <w:pPr>
        <w:spacing w:after="160" w:line="300"/>
      </w:pPr>
      <w:r>
        <w:rPr>
          <w:rFonts w:ascii="IBM Plex Sans" w:cs="IBM Plex Sans" w:eastAsia="IBM Plex Sans" w:hAnsi="IBM Plex Sans"/>
          <w:color w:val="334155"/>
          <w:sz w:val="22"/>
          <w:szCs w:val="22"/>
        </w:rPr>
        <w:t xml:space="preserve">Rujukan ke subspesialis Fetomaternal atau fasilitas dengan kemampuan penanganan komprehensif dipertimbangkan pada kondisi berikut: kecurigaan atau konfirmasi spektrum plasenta akreta — khususnya bila terdeteksi antenatal pada ibu dengan riwayat seksio sesarea disertai plasenta previa atau letak rendah, yang idealnya dirujuk sebelum persalinan untuk perencanaan multidisiplin; perdarahan masif yang tidak dapat dikendalikan dengan sumber daya fasilitas primer; kebutuhan tindakan bedah kompleks seperti histerektomi obstetrik, ligasi vaskular, atau embolisasi; serta komplikasi koagulopati intravaskular diseminata yang memerlukan tata laksana intensif multidisiplin.</w:t>
      </w:r>
    </w:p>
    <w:p>
      <w:pPr>
        <w:pStyle w:val="Heading1"/>
        <w:pBdr>
          <w:bottom w:val="single" w:color="E2E8F0" w:sz="6"/>
        </w:pBdr>
        <w:spacing w:after="160" w:before="340"/>
      </w:pPr>
      <w:r>
        <w:rPr>
          <w:rFonts w:ascii="Source Serif 4" w:cs="Source Serif 4" w:eastAsia="Source Serif 4" w:hAnsi="Source Serif 4"/>
          <w:b/>
          <w:bCs/>
          <w:color w:val="3730A3"/>
          <w:sz w:val="30"/>
          <w:szCs w:val="30"/>
        </w:rPr>
        <w:t xml:space="preserve">Edukasi Pasien dan Keluarga</w:t>
      </w:r>
    </w:p>
    <w:p>
      <w:pPr>
        <w:spacing w:after="160" w:line="300"/>
      </w:pPr>
      <w:r>
        <w:rPr>
          <w:rFonts w:ascii="IBM Plex Sans" w:cs="IBM Plex Sans" w:eastAsia="IBM Plex Sans" w:hAnsi="IBM Plex Sans"/>
          <w:color w:val="334155"/>
          <w:sz w:val="22"/>
          <w:szCs w:val="22"/>
        </w:rPr>
        <w:t xml:space="preserve">Pasien dan keluarga diberikan penjelasan mengenai kondisi yang dialami, tindakan yang dilakukan — termasuk risiko dan manfaat manual plasenta atau tindakan bedah bila diperlukan — serta rencana tata laksana lanjutan. Edukasi mencakup tanda bahaya pascasalin yang harus segera dilaporkan (perdarahan berlebihan, demam, nyeri perut hebat), pentingnya kontrol nifas terjadwal, dan konseling mengenai peningkatan risiko rekurensi retensio plasenta serta perdarahan pascasalin pada kehamilan berikutnya. Pasien dianjurkan bersalin di fasilitas kesehatan dengan kapasitas penanganan kegawatdaruratan maternal pada kehamilan selanjutnya. Pada kasus yang berujung histerektomi, diperlukan konseling psikologis mengenai dampak terhadap fertilitas mendatang, idealnya melibatkan tenaga kesehatan jiwa atau konselor terlatih.</w:t>
      </w:r>
    </w:p>
    <w:p>
      <w:pPr>
        <w:pStyle w:val="Heading1"/>
        <w:pBdr>
          <w:bottom w:val="single" w:color="E2E8F0" w:sz="6"/>
        </w:pBdr>
        <w:spacing w:after="160" w:before="340"/>
      </w:pPr>
      <w:r>
        <w:rPr>
          <w:rFonts w:ascii="Source Serif 4" w:cs="Source Serif 4" w:eastAsia="Source Serif 4" w:hAnsi="Source Serif 4"/>
          <w:b/>
          <w:bCs/>
          <w:color w:val="3730A3"/>
          <w:sz w:val="30"/>
          <w:szCs w:val="30"/>
        </w:rPr>
        <w:t xml:space="preserve">Prognosis</w:t>
      </w:r>
    </w:p>
    <w:p>
      <w:pPr>
        <w:spacing w:after="160" w:line="300"/>
      </w:pPr>
      <w:r>
        <w:rPr>
          <w:rFonts w:ascii="IBM Plex Sans" w:cs="IBM Plex Sans" w:eastAsia="IBM Plex Sans" w:hAnsi="IBM Plex Sans"/>
          <w:color w:val="334155"/>
          <w:sz w:val="22"/>
          <w:szCs w:val="22"/>
        </w:rPr>
        <w:t xml:space="preserve">Prognosis pada retensio plasenta tanpa penyulit umumnya baik apabila tindakan manual plasenta dilakukan tepat waktu dan kavum uteri dipastikan bersih dari sisa jaringan. Prognosis menjadi lebih hati-hati pada kasus dengan perdarahan masif, koagulopati, atau spektrum plasenta akreta, yang berhubungan dengan morbiditas maternal berat (kebutuhan transfusi masif, histerektomi, perawatan intensif) dan risiko mortalitas bila terjadi keterlambatan penanganan. Perdarahan pascasalin — termasuk yang disebabkan retensio plasenta — tetap menjadi penyebab utama kematian maternal secara global, sehingga deteksi dini faktor risiko antenatal dan kesiapan sistem rujukan berperan besar dalam memperbaiki luaran maternal.</w:t>
      </w:r>
    </w:p>
    <w:p>
      <w:pPr>
        <w:pStyle w:val="Heading1"/>
        <w:pBdr>
          <w:bottom w:val="single" w:color="E2E8F0" w:sz="6"/>
        </w:pBdr>
        <w:spacing w:after="160" w:before="340"/>
      </w:pPr>
      <w:r>
        <w:rPr>
          <w:rFonts w:ascii="Source Serif 4" w:cs="Source Serif 4" w:eastAsia="Source Serif 4" w:hAnsi="Source Serif 4"/>
          <w:b/>
          <w:bCs/>
          <w:color w:val="3730A3"/>
          <w:sz w:val="30"/>
          <w:szCs w:val="30"/>
        </w:rPr>
        <w:t xml:space="preserve">Tingkat Evidens dan Rekomendasi</w:t>
      </w:r>
    </w:p>
    <w:p>
      <w:pPr>
        <w:spacing w:after="160" w:line="300"/>
      </w:pPr>
      <w:r>
        <w:rPr>
          <w:rFonts w:ascii="IBM Plex Sans" w:cs="IBM Plex Sans" w:eastAsia="IBM Plex Sans" w:hAnsi="IBM Plex Sans"/>
          <w:color w:val="334155"/>
          <w:sz w:val="22"/>
          <w:szCs w:val="22"/>
        </w:rPr>
        <w:t xml:space="preserve">Tingkat evidens dinyatakan menggunakan skala evidens standar (pendekatan GRADE sebagaimana digunakan pada panduan WHO) untuk setiap rekomendasi tata laksana utama:</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3116"/>
        <w:gridCol w:w="3116"/>
        <w:gridCol w:w="3116"/>
      </w:tblGrid>
      <w:tr>
        <w:trPr>
          <w:tblHeader/>
        </w:trPr>
        <w:tc>
          <w:tcPr>
            <w:tcW w:type="dxa" w:w="3116"/>
            <w:shd w:fill="4F46E5" w:val="clear"/>
          </w:tcPr>
          <w:p>
            <w:r>
              <w:rPr>
                <w:rFonts w:ascii="IBM Plex Sans" w:cs="IBM Plex Sans" w:eastAsia="IBM Plex Sans" w:hAnsi="IBM Plex Sans"/>
                <w:b/>
                <w:bCs/>
                <w:color w:val="FFFFFF"/>
                <w:sz w:val="20"/>
                <w:szCs w:val="20"/>
              </w:rPr>
              <w:t xml:space="preserve">Rekomendasi</w:t>
            </w:r>
          </w:p>
        </w:tc>
        <w:tc>
          <w:tcPr>
            <w:tcW w:type="dxa" w:w="3116"/>
            <w:shd w:fill="4F46E5" w:val="clear"/>
          </w:tcPr>
          <w:p>
            <w:r>
              <w:rPr>
                <w:rFonts w:ascii="IBM Plex Sans" w:cs="IBM Plex Sans" w:eastAsia="IBM Plex Sans" w:hAnsi="IBM Plex Sans"/>
                <w:b/>
                <w:bCs/>
                <w:color w:val="FFFFFF"/>
                <w:sz w:val="20"/>
                <w:szCs w:val="20"/>
              </w:rPr>
              <w:t xml:space="preserve">Tingkat Evidens/Kekuatan</w:t>
            </w:r>
          </w:p>
        </w:tc>
        <w:tc>
          <w:tcPr>
            <w:tcW w:type="dxa" w:w="3116"/>
            <w:shd w:fill="4F46E5" w:val="clear"/>
          </w:tcPr>
          <w:p>
            <w:r>
              <w:rPr>
                <w:rFonts w:ascii="IBM Plex Sans" w:cs="IBM Plex Sans" w:eastAsia="IBM Plex Sans" w:hAnsi="IBM Plex Sans"/>
                <w:b/>
                <w:bCs/>
                <w:color w:val="FFFFFF"/>
                <w:sz w:val="20"/>
                <w:szCs w:val="20"/>
              </w:rPr>
              <w:t xml:space="preserve">Sumber</w:t>
            </w:r>
          </w:p>
        </w:tc>
      </w:tr>
      <w:tr>
        <w:tc>
          <w:tcPr>
            <w:tcW w:type="dxa" w:w="3116"/>
            <w:shd w:fill="FFFFFF" w:val="clear"/>
          </w:tcPr>
          <w:p>
            <w:r>
              <w:rPr>
                <w:rFonts w:ascii="IBM Plex Sans" w:cs="IBM Plex Sans" w:eastAsia="IBM Plex Sans" w:hAnsi="IBM Plex Sans"/>
                <w:color w:val="334155"/>
                <w:sz w:val="20"/>
                <w:szCs w:val="20"/>
              </w:rPr>
              <w:t xml:space="preserve">Manajemen aktif kala III (uterotonika profilaksis) untuk mencegah retensio plasenta dan PPH</w:t>
            </w:r>
          </w:p>
        </w:tc>
        <w:tc>
          <w:tcPr>
            <w:tcW w:type="dxa" w:w="3116"/>
            <w:shd w:fill="FFFFFF" w:val="clear"/>
          </w:tcPr>
          <w:p>
            <w:r>
              <w:rPr>
                <w:rFonts w:ascii="IBM Plex Sans" w:cs="IBM Plex Sans" w:eastAsia="IBM Plex Sans" w:hAnsi="IBM Plex Sans"/>
                <w:color w:val="334155"/>
                <w:sz w:val="20"/>
                <w:szCs w:val="20"/>
              </w:rPr>
              <w:t xml:space="preserve">Rekomendasi kuat</w:t>
            </w:r>
          </w:p>
        </w:tc>
        <w:tc>
          <w:tcPr>
            <w:tcW w:type="dxa" w:w="3116"/>
            <w:shd w:fill="FFFFFF" w:val="clear"/>
          </w:tcPr>
          <w:p>
            <w:r>
              <w:rPr>
                <w:rFonts w:ascii="IBM Plex Sans" w:cs="IBM Plex Sans" w:eastAsia="IBM Plex Sans" w:hAnsi="IBM Plex Sans"/>
                <w:color w:val="334155"/>
                <w:sz w:val="20"/>
                <w:szCs w:val="20"/>
              </w:rPr>
              <w:t xml:space="preserve">WHO/FIGO/ICM Consolidated Guidelines for the Prevention, Diagnosis and Treatment of Postpartum Haemorrhage, 2025</w:t>
            </w:r>
          </w:p>
        </w:tc>
      </w:tr>
      <w:tr>
        <w:tc>
          <w:tcPr>
            <w:tcW w:type="dxa" w:w="3116"/>
            <w:shd w:fill="F1F5F9" w:val="clear"/>
          </w:tcPr>
          <w:p>
            <w:r>
              <w:rPr>
                <w:rFonts w:ascii="IBM Plex Sans" w:cs="IBM Plex Sans" w:eastAsia="IBM Plex Sans" w:hAnsi="IBM Plex Sans"/>
                <w:color w:val="334155"/>
                <w:sz w:val="20"/>
                <w:szCs w:val="20"/>
              </w:rPr>
              <w:t xml:space="preserve">Manual plasenta pada retensio &gt;30 menit tanpa tanda pelepasan, didahului upaya injeksi oksitosin vena umbilikalis bila memungkinkan</w:t>
            </w:r>
          </w:p>
        </w:tc>
        <w:tc>
          <w:tcPr>
            <w:tcW w:type="dxa" w:w="3116"/>
            <w:shd w:fill="F1F5F9" w:val="clear"/>
          </w:tcPr>
          <w:p>
            <w:r>
              <w:rPr>
                <w:rFonts w:ascii="IBM Plex Sans" w:cs="IBM Plex Sans" w:eastAsia="IBM Plex Sans" w:hAnsi="IBM Plex Sans"/>
                <w:color w:val="334155"/>
                <w:sz w:val="20"/>
                <w:szCs w:val="20"/>
              </w:rPr>
              <w:t xml:space="preserve">Rekomendasi kuat</w:t>
            </w:r>
          </w:p>
        </w:tc>
        <w:tc>
          <w:tcPr>
            <w:tcW w:type="dxa" w:w="3116"/>
            <w:shd w:fill="F1F5F9" w:val="clear"/>
          </w:tcPr>
          <w:p>
            <w:r>
              <w:rPr>
                <w:rFonts w:ascii="IBM Plex Sans" w:cs="IBM Plex Sans" w:eastAsia="IBM Plex Sans" w:hAnsi="IBM Plex Sans"/>
                <w:color w:val="334155"/>
                <w:sz w:val="20"/>
                <w:szCs w:val="20"/>
              </w:rPr>
              <w:t xml:space="preserve">WHO/FIGO/ICM Consolidated Guidelines, 2025; RCOG Green-top Guideline No. 52</w:t>
            </w:r>
          </w:p>
        </w:tc>
      </w:tr>
      <w:tr>
        <w:tc>
          <w:tcPr>
            <w:tcW w:type="dxa" w:w="3116"/>
            <w:shd w:fill="FFFFFF" w:val="clear"/>
          </w:tcPr>
          <w:p>
            <w:r>
              <w:rPr>
                <w:rFonts w:ascii="IBM Plex Sans" w:cs="IBM Plex Sans" w:eastAsia="IBM Plex Sans" w:hAnsi="IBM Plex Sans"/>
                <w:color w:val="334155"/>
                <w:sz w:val="20"/>
                <w:szCs w:val="20"/>
              </w:rPr>
              <w:t xml:space="preserve">Asam traneksamat pada perdarahan pascasalin aktif, diberikan sedini mungkin</w:t>
            </w:r>
          </w:p>
        </w:tc>
        <w:tc>
          <w:tcPr>
            <w:tcW w:type="dxa" w:w="3116"/>
            <w:shd w:fill="FFFFFF" w:val="clear"/>
          </w:tcPr>
          <w:p>
            <w:r>
              <w:rPr>
                <w:rFonts w:ascii="IBM Plex Sans" w:cs="IBM Plex Sans" w:eastAsia="IBM Plex Sans" w:hAnsi="IBM Plex Sans"/>
                <w:color w:val="334155"/>
                <w:sz w:val="20"/>
                <w:szCs w:val="20"/>
              </w:rPr>
              <w:t xml:space="preserve">Rekomendasi kuat</w:t>
            </w:r>
          </w:p>
        </w:tc>
        <w:tc>
          <w:tcPr>
            <w:tcW w:type="dxa" w:w="3116"/>
            <w:shd w:fill="FFFFFF" w:val="clear"/>
          </w:tcPr>
          <w:p>
            <w:r>
              <w:rPr>
                <w:rFonts w:ascii="IBM Plex Sans" w:cs="IBM Plex Sans" w:eastAsia="IBM Plex Sans" w:hAnsi="IBM Plex Sans"/>
                <w:color w:val="334155"/>
                <w:sz w:val="20"/>
                <w:szCs w:val="20"/>
              </w:rPr>
              <w:t xml:space="preserve">WHO/FIGO/ICM Consolidated Guidelines, 2025 (terintegrasi dari WOMAN Trial)</w:t>
            </w:r>
          </w:p>
        </w:tc>
      </w:tr>
      <w:tr>
        <w:tc>
          <w:tcPr>
            <w:tcW w:type="dxa" w:w="3116"/>
            <w:shd w:fill="F1F5F9" w:val="clear"/>
          </w:tcPr>
          <w:p>
            <w:r>
              <w:rPr>
                <w:rFonts w:ascii="IBM Plex Sans" w:cs="IBM Plex Sans" w:eastAsia="IBM Plex Sans" w:hAnsi="IBM Plex Sans"/>
                <w:color w:val="334155"/>
                <w:sz w:val="20"/>
                <w:szCs w:val="20"/>
              </w:rPr>
              <w:t xml:space="preserve">Perencanaan multidisiplin antenatal pada kecurigaan plasenta akreta spektrum</w:t>
            </w:r>
          </w:p>
        </w:tc>
        <w:tc>
          <w:tcPr>
            <w:tcW w:type="dxa" w:w="3116"/>
            <w:shd w:fill="F1F5F9" w:val="clear"/>
          </w:tcPr>
          <w:p>
            <w:r>
              <w:rPr>
                <w:rFonts w:ascii="IBM Plex Sans" w:cs="IBM Plex Sans" w:eastAsia="IBM Plex Sans" w:hAnsi="IBM Plex Sans"/>
                <w:color w:val="334155"/>
                <w:sz w:val="20"/>
                <w:szCs w:val="20"/>
              </w:rPr>
              <w:t xml:space="preserve">Rekomendasi berbasis konsensus ahli</w:t>
            </w:r>
          </w:p>
        </w:tc>
        <w:tc>
          <w:tcPr>
            <w:tcW w:type="dxa" w:w="3116"/>
            <w:shd w:fill="F1F5F9" w:val="clear"/>
          </w:tcPr>
          <w:p>
            <w:r>
              <w:rPr>
                <w:rFonts w:ascii="IBM Plex Sans" w:cs="IBM Plex Sans" w:eastAsia="IBM Plex Sans" w:hAnsi="IBM Plex Sans"/>
                <w:color w:val="334155"/>
                <w:sz w:val="20"/>
                <w:szCs w:val="20"/>
              </w:rPr>
              <w:t xml:space="preserve">FIGO Consensus Guidelines on Placenta Accreta Spectrum Disorders, 2018; ACOG Practice Bulletin No. 183</w:t>
            </w:r>
          </w:p>
        </w:tc>
      </w:tr>
    </w:tbl>
    <w:p>
      <w:pPr>
        <w:spacing w:after="160"/>
      </w:pPr>
    </w:p>
    <w:p>
      <w:pPr>
        <w:pStyle w:val="Heading1"/>
        <w:pBdr>
          <w:bottom w:val="single" w:color="E2E8F0" w:sz="6"/>
        </w:pBdr>
        <w:spacing w:after="160" w:before="340"/>
      </w:pPr>
      <w:r>
        <w:rPr>
          <w:rFonts w:ascii="Source Serif 4" w:cs="Source Serif 4" w:eastAsia="Source Serif 4" w:hAnsi="Source Serif 4"/>
          <w:b/>
          <w:bCs/>
          <w:color w:val="3730A3"/>
          <w:sz w:val="30"/>
          <w:szCs w:val="30"/>
        </w:rPr>
        <w:t xml:space="preserve">Indikator Medis</w:t>
      </w:r>
    </w:p>
    <w:p>
      <w:pPr>
        <w:spacing w:after="160" w:line="300"/>
      </w:pPr>
      <w:r>
        <w:rPr>
          <w:rFonts w:ascii="IBM Plex Sans" w:cs="IBM Plex Sans" w:eastAsia="IBM Plex Sans" w:hAnsi="IBM Plex Sans"/>
          <w:color w:val="334155"/>
          <w:sz w:val="22"/>
          <w:szCs w:val="22"/>
        </w:rPr>
        <w:t xml:space="preserve">Indikator keberhasilan tata laksana yang terukur meliputi:</w:t>
      </w:r>
    </w:p>
    <w:p>
      <w:pPr>
        <w:pStyle w:val="ListParagraph"/>
        <w:numPr>
          <w:ilvl w:val="0"/>
          <w:numId w:val="1"/>
        </w:numPr>
        <w:spacing w:after="100"/>
      </w:pPr>
      <w:r>
        <w:rPr>
          <w:rFonts w:ascii="IBM Plex Sans" w:cs="IBM Plex Sans" w:eastAsia="IBM Plex Sans" w:hAnsi="IBM Plex Sans"/>
          <w:color w:val="334155"/>
          <w:sz w:val="22"/>
          <w:szCs w:val="22"/>
        </w:rPr>
        <w:t xml:space="preserve">Interval waktu dari diagnosis retensio plasenta hingga tindakan manual plasenta atau tindakan definitif lain (target di bawah 30 menit sejak indikasi ditegakkan).</w:t>
      </w:r>
    </w:p>
    <w:p>
      <w:pPr>
        <w:pStyle w:val="ListParagraph"/>
        <w:numPr>
          <w:ilvl w:val="0"/>
          <w:numId w:val="1"/>
        </w:numPr>
        <w:spacing w:after="100"/>
      </w:pPr>
      <w:r>
        <w:rPr>
          <w:rFonts w:ascii="IBM Plex Sans" w:cs="IBM Plex Sans" w:eastAsia="IBM Plex Sans" w:hAnsi="IBM Plex Sans"/>
          <w:color w:val="334155"/>
          <w:sz w:val="22"/>
          <w:szCs w:val="22"/>
        </w:rPr>
        <w:t xml:space="preserve">Proporsi kasus yang berhasil ditangani tanpa histerektomi.</w:t>
      </w:r>
    </w:p>
    <w:p>
      <w:pPr>
        <w:pStyle w:val="ListParagraph"/>
        <w:numPr>
          <w:ilvl w:val="0"/>
          <w:numId w:val="1"/>
        </w:numPr>
        <w:spacing w:after="100"/>
      </w:pPr>
      <w:r>
        <w:rPr>
          <w:rFonts w:ascii="IBM Plex Sans" w:cs="IBM Plex Sans" w:eastAsia="IBM Plex Sans" w:hAnsi="IBM Plex Sans"/>
          <w:color w:val="334155"/>
          <w:sz w:val="22"/>
          <w:szCs w:val="22"/>
        </w:rPr>
        <w:t xml:space="preserve">Volume kehilangan darah dan kebutuhan transfusi komponen darah.</w:t>
      </w:r>
    </w:p>
    <w:p>
      <w:pPr>
        <w:pStyle w:val="ListParagraph"/>
        <w:numPr>
          <w:ilvl w:val="0"/>
          <w:numId w:val="1"/>
        </w:numPr>
        <w:spacing w:after="100"/>
      </w:pPr>
      <w:r>
        <w:rPr>
          <w:rFonts w:ascii="IBM Plex Sans" w:cs="IBM Plex Sans" w:eastAsia="IBM Plex Sans" w:hAnsi="IBM Plex Sans"/>
          <w:color w:val="334155"/>
          <w:sz w:val="22"/>
          <w:szCs w:val="22"/>
        </w:rPr>
        <w:t xml:space="preserve">Kejadian infeksi pascatindakan (endometritis pascamanual plasenta).</w:t>
      </w:r>
    </w:p>
    <w:p>
      <w:pPr>
        <w:pStyle w:val="ListParagraph"/>
        <w:numPr>
          <w:ilvl w:val="0"/>
          <w:numId w:val="1"/>
        </w:numPr>
        <w:spacing w:after="100"/>
      </w:pPr>
      <w:r>
        <w:rPr>
          <w:rFonts w:ascii="IBM Plex Sans" w:cs="IBM Plex Sans" w:eastAsia="IBM Plex Sans" w:hAnsi="IBM Plex Sans"/>
          <w:color w:val="334155"/>
          <w:sz w:val="22"/>
          <w:szCs w:val="22"/>
        </w:rPr>
        <w:t xml:space="preserve">Lama rawat inap pascatindakan dan kejadian rawat intensif.</w:t>
      </w:r>
    </w:p>
    <w:p>
      <w:pPr>
        <w:pStyle w:val="ListParagraph"/>
        <w:numPr>
          <w:ilvl w:val="0"/>
          <w:numId w:val="1"/>
        </w:numPr>
        <w:spacing w:after="100"/>
      </w:pPr>
      <w:r>
        <w:rPr>
          <w:rFonts w:ascii="IBM Plex Sans" w:cs="IBM Plex Sans" w:eastAsia="IBM Plex Sans" w:hAnsi="IBM Plex Sans"/>
          <w:color w:val="334155"/>
          <w:sz w:val="22"/>
          <w:szCs w:val="22"/>
        </w:rPr>
        <w:t xml:space="preserve">Kelengkapan dokumentasi rujukan pada kasus yang memenuhi kriteria rujukan ke Fetomaternal.</w:t>
      </w:r>
    </w:p>
    <w:p>
      <w:pPr>
        <w:pStyle w:val="Heading1"/>
        <w:pBdr>
          <w:bottom w:val="single" w:color="E2E8F0" w:sz="6"/>
        </w:pBdr>
        <w:spacing w:after="160" w:before="340"/>
      </w:pPr>
      <w:r>
        <w:rPr>
          <w:rFonts w:ascii="Source Serif 4" w:cs="Source Serif 4" w:eastAsia="Source Serif 4" w:hAnsi="Source Serif 4"/>
          <w:b/>
          <w:bCs/>
          <w:color w:val="3730A3"/>
          <w:sz w:val="30"/>
          <w:szCs w:val="30"/>
        </w:rPr>
        <w:t xml:space="preserve">Perbandingan dan Pengayaan Standar Internasional</w:t>
      </w:r>
    </w:p>
    <w:p>
      <w:pPr>
        <w:spacing w:after="160" w:line="300"/>
      </w:pPr>
      <w:r>
        <w:rPr>
          <w:rFonts w:ascii="IBM Plex Sans" w:cs="IBM Plex Sans" w:eastAsia="IBM Plex Sans" w:hAnsi="IBM Plex Sans"/>
          <w:color w:val="334155"/>
          <w:sz w:val="22"/>
          <w:szCs w:val="22"/>
        </w:rPr>
        <w:t xml:space="preserve">Tata laksana retensio plasenta pada PPK ini sejalan dengan prinsip umum panduan internasional, dengan beberapa nuansa yang perlu diperhatikan:</w:t>
      </w:r>
    </w:p>
    <w:p>
      <w:pPr>
        <w:pStyle w:val="ListParagraph"/>
        <w:numPr>
          <w:ilvl w:val="0"/>
          <w:numId w:val="1"/>
        </w:numPr>
        <w:spacing w:after="100"/>
      </w:pPr>
      <w:r>
        <w:rPr>
          <w:rFonts w:ascii="IBM Plex Sans" w:cs="IBM Plex Sans" w:eastAsia="IBM Plex Sans" w:hAnsi="IBM Plex Sans"/>
          <w:color w:val="334155"/>
          <w:sz w:val="22"/>
          <w:szCs w:val="22"/>
        </w:rPr>
        <w:t xml:space="preserve">WHO, FIGO, dan International Confederation of Midwives (ICM) pada Oktober 2025 untuk pertama kalinya menerbitkan panduan konsolidasi tunggal — Consolidated Guidelines for the Prevention, Diagnosis and Treatment of Postpartum Haemorrhage — yang menggantikan berbagai panduan WHO terpisah sebelumnya. Panduan ini menetapkan oksitosin intravena sebagai uterotonika lini pertama, karbetosin stabil-panas sebagai alternatif pada keterbatasan rantai dingin, penilaian kehilangan darah secara kuantitatif dengan ambang tindakan yang lebih dini, serta bundel tata laksana terstruktur (bundel MOTIVE) sebagai standar respons cepat terhadap PPH termasuk yang disebabkan retensio plasenta.</w:t>
      </w:r>
    </w:p>
    <w:p>
      <w:pPr>
        <w:pStyle w:val="ListParagraph"/>
        <w:numPr>
          <w:ilvl w:val="0"/>
          <w:numId w:val="1"/>
        </w:numPr>
        <w:spacing w:after="100"/>
      </w:pPr>
      <w:r>
        <w:rPr>
          <w:rFonts w:ascii="IBM Plex Sans" w:cs="IBM Plex Sans" w:eastAsia="IBM Plex Sans" w:hAnsi="IBM Plex Sans"/>
          <w:color w:val="334155"/>
          <w:sz w:val="22"/>
          <w:szCs w:val="22"/>
        </w:rPr>
        <w:t xml:space="preserve">RCOG Green-top Guideline No. 52 (Prevention and Management of Postpartum Haemorrhage) menekankan pendekatan bertahap uterotonika–tamponade–bedah serta pentingnya protokol transfusi masif yang terstandardisasi di setiap fasilitas bersalin; ACOG Practice Bulletin No. 183 (Postpartum Hemorrhage) menekankan definisi kuantitatif kehilangan darah dan implementasi bundel keselamatan pasien berbasis institusi.</w:t>
      </w:r>
    </w:p>
    <w:p>
      <w:pPr>
        <w:pStyle w:val="ListParagraph"/>
        <w:numPr>
          <w:ilvl w:val="0"/>
          <w:numId w:val="1"/>
        </w:numPr>
        <w:spacing w:after="100"/>
      </w:pPr>
      <w:r>
        <w:rPr>
          <w:rFonts w:ascii="IBM Plex Sans" w:cs="IBM Plex Sans" w:eastAsia="IBM Plex Sans" w:hAnsi="IBM Plex Sans"/>
          <w:color w:val="334155"/>
          <w:sz w:val="22"/>
          <w:szCs w:val="22"/>
        </w:rPr>
        <w:t xml:space="preserve">FIGO Consensus Guidelines on Placenta Accreta Spectrum Disorders (2018) menekankan pentingnya deteksi antenatal dengan ultrasonografi pada ibu berisiko — riwayat seksio sesarea dengan plasenta previa atau letak rendah — dan perencanaan persalinan terjadwal secara multidisiplin di pusat rujukan tersier, berbeda dengan pendekatan reaktif pascasalin yang lazim terjadi bila kasus tidak terdeteksi lebih awal.</w:t>
      </w:r>
    </w:p>
    <w:p>
      <w:pPr>
        <w:pStyle w:val="ListParagraph"/>
        <w:numPr>
          <w:ilvl w:val="0"/>
          <w:numId w:val="1"/>
        </w:numPr>
        <w:spacing w:after="100"/>
      </w:pPr>
      <w:r>
        <w:rPr>
          <w:rFonts w:ascii="IBM Plex Sans" w:cs="IBM Plex Sans" w:eastAsia="IBM Plex Sans" w:hAnsi="IBM Plex Sans"/>
          <w:color w:val="334155"/>
          <w:sz w:val="22"/>
          <w:szCs w:val="22"/>
        </w:rPr>
        <w:t xml:space="preserve">Standar nasional (Kepkonsil) menempatkan tata laksana retensio plasenta dan kegawatdaruratannya sebagai kompetensi inti dokter spesialis Obstetri dan Ginekologi, dengan rujukan kasus kompleks (kecurigaan plasenta akreta spektrum, perdarahan masif tak terkendali) ke subspesialis Fetomaternal; prinsip ini konsisten dengan rekomendasi internasional di atas mengenai perlunya jenjang rujukan berbasis kompleksitas kasus.</w:t>
      </w:r>
    </w:p>
    <w:p>
      <w:pPr>
        <w:pStyle w:val="Heading1"/>
        <w:pBdr>
          <w:bottom w:val="single" w:color="E2E8F0" w:sz="6"/>
        </w:pBdr>
        <w:spacing w:after="160" w:before="340"/>
      </w:pPr>
      <w:r>
        <w:rPr>
          <w:rFonts w:ascii="Source Serif 4" w:cs="Source Serif 4" w:eastAsia="Source Serif 4" w:hAnsi="Source Serif 4"/>
          <w:b/>
          <w:bCs/>
          <w:color w:val="3730A3"/>
          <w:sz w:val="30"/>
          <w:szCs w:val="30"/>
        </w:rPr>
        <w:t xml:space="preserve">Glosarium</w:t>
      </w:r>
    </w:p>
    <w:p>
      <w:pPr>
        <w:spacing w:after="20" w:before="140"/>
      </w:pPr>
      <w:r>
        <w:rPr>
          <w:rFonts w:ascii="Source Serif 4" w:cs="Source Serif 4" w:eastAsia="Source Serif 4" w:hAnsi="Source Serif 4"/>
          <w:b/>
          <w:bCs/>
          <w:color w:val="3730A3"/>
          <w:sz w:val="22"/>
          <w:szCs w:val="22"/>
        </w:rPr>
        <w:t xml:space="preserve">Retensio plasenta (retained placenta)</w:t>
      </w:r>
    </w:p>
    <w:p>
      <w:pPr>
        <w:pBdr>
          <w:bottom w:val="single" w:color="E2E8F0" w:sz="4"/>
        </w:pBdr>
        <w:spacing w:after="60"/>
      </w:pPr>
      <w:r>
        <w:rPr>
          <w:rFonts w:ascii="IBM Plex Sans" w:cs="IBM Plex Sans" w:eastAsia="IBM Plex Sans" w:hAnsi="IBM Plex Sans"/>
          <w:color w:val="334155"/>
          <w:sz w:val="21"/>
          <w:szCs w:val="21"/>
        </w:rPr>
        <w:t xml:space="preserve">Tidak lahirnya plasenta secara spontan dalam 30 menit setelah bayi lahir pada persalinan dengan manajemen aktif kala III.</w:t>
      </w:r>
    </w:p>
    <w:p>
      <w:pPr>
        <w:spacing w:after="20" w:before="140"/>
      </w:pPr>
      <w:r>
        <w:rPr>
          <w:rFonts w:ascii="Source Serif 4" w:cs="Source Serif 4" w:eastAsia="Source Serif 4" w:hAnsi="Source Serif 4"/>
          <w:b/>
          <w:bCs/>
          <w:color w:val="3730A3"/>
          <w:sz w:val="22"/>
          <w:szCs w:val="22"/>
        </w:rPr>
        <w:t xml:space="preserve">Manajemen aktif kala III (active management of the third stage of labour/AMTSL)</w:t>
      </w:r>
    </w:p>
    <w:p>
      <w:pPr>
        <w:pBdr>
          <w:bottom w:val="single" w:color="E2E8F0" w:sz="4"/>
        </w:pBdr>
        <w:spacing w:after="60"/>
      </w:pPr>
      <w:r>
        <w:rPr>
          <w:rFonts w:ascii="IBM Plex Sans" w:cs="IBM Plex Sans" w:eastAsia="IBM Plex Sans" w:hAnsi="IBM Plex Sans"/>
          <w:color w:val="334155"/>
          <w:sz w:val="21"/>
          <w:szCs w:val="21"/>
        </w:rPr>
        <w:t xml:space="preserve">Rangkaian intervensi pencegahan perdarahan pascasalin berupa pemberian uterotonika profilaksis, traksi tali pusat terkendali, dan masase fundus uteri.</w:t>
      </w:r>
    </w:p>
    <w:p>
      <w:pPr>
        <w:spacing w:after="20" w:before="140"/>
      </w:pPr>
      <w:r>
        <w:rPr>
          <w:rFonts w:ascii="Source Serif 4" w:cs="Source Serif 4" w:eastAsia="Source Serif 4" w:hAnsi="Source Serif 4"/>
          <w:b/>
          <w:bCs/>
          <w:color w:val="3730A3"/>
          <w:sz w:val="22"/>
          <w:szCs w:val="22"/>
        </w:rPr>
        <w:t xml:space="preserve">Traksi tali pusat terkendali (controlled cord traction)</w:t>
      </w:r>
    </w:p>
    <w:p>
      <w:pPr>
        <w:pBdr>
          <w:bottom w:val="single" w:color="E2E8F0" w:sz="4"/>
        </w:pBdr>
        <w:spacing w:after="60"/>
      </w:pPr>
      <w:r>
        <w:rPr>
          <w:rFonts w:ascii="IBM Plex Sans" w:cs="IBM Plex Sans" w:eastAsia="IBM Plex Sans" w:hAnsi="IBM Plex Sans"/>
          <w:color w:val="334155"/>
          <w:sz w:val="21"/>
          <w:szCs w:val="21"/>
        </w:rPr>
        <w:t xml:space="preserve">Teknik menarik tali pusat secara terkendali disertai kontra-tekanan suprapubik untuk membantu kelahiran plasenta setelah tanda pelepasan muncul.</w:t>
      </w:r>
    </w:p>
    <w:p>
      <w:pPr>
        <w:spacing w:after="20" w:before="140"/>
      </w:pPr>
      <w:r>
        <w:rPr>
          <w:rFonts w:ascii="Source Serif 4" w:cs="Source Serif 4" w:eastAsia="Source Serif 4" w:hAnsi="Source Serif 4"/>
          <w:b/>
          <w:bCs/>
          <w:color w:val="3730A3"/>
          <w:sz w:val="22"/>
          <w:szCs w:val="22"/>
        </w:rPr>
        <w:t xml:space="preserve">Plasenta terperangkap (trapped placenta)</w:t>
      </w:r>
    </w:p>
    <w:p>
      <w:pPr>
        <w:pBdr>
          <w:bottom w:val="single" w:color="E2E8F0" w:sz="4"/>
        </w:pBdr>
        <w:spacing w:after="60"/>
      </w:pPr>
      <w:r>
        <w:rPr>
          <w:rFonts w:ascii="IBM Plex Sans" w:cs="IBM Plex Sans" w:eastAsia="IBM Plex Sans" w:hAnsi="IBM Plex Sans"/>
          <w:color w:val="334155"/>
          <w:sz w:val="21"/>
          <w:szCs w:val="21"/>
        </w:rPr>
        <w:t xml:space="preserve">Plasenta yang telah terlepas dari dinding rahim namun tertahan oleh kontraksi serviks atau segmen bawah rahim.</w:t>
      </w:r>
    </w:p>
    <w:p>
      <w:pPr>
        <w:spacing w:after="20" w:before="140"/>
      </w:pPr>
      <w:r>
        <w:rPr>
          <w:rFonts w:ascii="Source Serif 4" w:cs="Source Serif 4" w:eastAsia="Source Serif 4" w:hAnsi="Source Serif 4"/>
          <w:b/>
          <w:bCs/>
          <w:color w:val="3730A3"/>
          <w:sz w:val="22"/>
          <w:szCs w:val="22"/>
        </w:rPr>
        <w:t xml:space="preserve">Spektrum plasenta akreta (placenta accreta spectrum/PAS)</w:t>
      </w:r>
    </w:p>
    <w:p>
      <w:pPr>
        <w:pBdr>
          <w:bottom w:val="single" w:color="E2E8F0" w:sz="4"/>
        </w:pBdr>
        <w:spacing w:after="60"/>
      </w:pPr>
      <w:r>
        <w:rPr>
          <w:rFonts w:ascii="IBM Plex Sans" w:cs="IBM Plex Sans" w:eastAsia="IBM Plex Sans" w:hAnsi="IBM Plex Sans"/>
          <w:color w:val="334155"/>
          <w:sz w:val="21"/>
          <w:szCs w:val="21"/>
        </w:rPr>
        <w:t xml:space="preserve">Kelompok kondisi perlekatan plasenta abnormal pada miometrium tanpa bidang pelepasan yang jelas, meliputi plasenta akreta, inkreta, dan perkreta.</w:t>
      </w:r>
    </w:p>
    <w:p>
      <w:pPr>
        <w:spacing w:after="20" w:before="140"/>
      </w:pPr>
      <w:r>
        <w:rPr>
          <w:rFonts w:ascii="Source Serif 4" w:cs="Source Serif 4" w:eastAsia="Source Serif 4" w:hAnsi="Source Serif 4"/>
          <w:b/>
          <w:bCs/>
          <w:color w:val="3730A3"/>
          <w:sz w:val="22"/>
          <w:szCs w:val="22"/>
        </w:rPr>
        <w:t xml:space="preserve">Atonia uteri</w:t>
      </w:r>
    </w:p>
    <w:p>
      <w:pPr>
        <w:pBdr>
          <w:bottom w:val="single" w:color="E2E8F0" w:sz="4"/>
        </w:pBdr>
        <w:spacing w:after="60"/>
      </w:pPr>
      <w:r>
        <w:rPr>
          <w:rFonts w:ascii="IBM Plex Sans" w:cs="IBM Plex Sans" w:eastAsia="IBM Plex Sans" w:hAnsi="IBM Plex Sans"/>
          <w:color w:val="334155"/>
          <w:sz w:val="21"/>
          <w:szCs w:val="21"/>
        </w:rPr>
        <w:t xml:space="preserve">Kegagalan miometrium berkontraksi adekuat setelah persalinan, menjadi penyebab tersering perdarahan pascasalin.</w:t>
      </w:r>
    </w:p>
    <w:p>
      <w:pPr>
        <w:spacing w:after="20" w:before="140"/>
      </w:pPr>
      <w:r>
        <w:rPr>
          <w:rFonts w:ascii="Source Serif 4" w:cs="Source Serif 4" w:eastAsia="Source Serif 4" w:hAnsi="Source Serif 4"/>
          <w:b/>
          <w:bCs/>
          <w:color w:val="3730A3"/>
          <w:sz w:val="22"/>
          <w:szCs w:val="22"/>
        </w:rPr>
        <w:t xml:space="preserve">Bundel MOTIVE</w:t>
      </w:r>
    </w:p>
    <w:p>
      <w:pPr>
        <w:pBdr>
          <w:bottom w:val="single" w:color="E2E8F0" w:sz="4"/>
        </w:pBdr>
        <w:spacing w:after="60"/>
      </w:pPr>
      <w:r>
        <w:rPr>
          <w:rFonts w:ascii="IBM Plex Sans" w:cs="IBM Plex Sans" w:eastAsia="IBM Plex Sans" w:hAnsi="IBM Plex Sans"/>
          <w:color w:val="334155"/>
          <w:sz w:val="21"/>
          <w:szCs w:val="21"/>
        </w:rPr>
        <w:t xml:space="preserve">Kerangka respons cepat perdarahan pascasalin: masase fundus (Massage), uterotonika (Oxytocic drugs), asam traneksamat (Tranexamic acid), cairan intravena (Intravenous fluids), pemeriksaan jalan lahir (genital tract examination), dan eskalasi rujukan (Escalation).</w:t>
      </w:r>
    </w:p>
    <w:p>
      <w:pPr>
        <w:spacing w:after="20" w:before="140"/>
      </w:pPr>
      <w:r>
        <w:rPr>
          <w:rFonts w:ascii="Source Serif 4" w:cs="Source Serif 4" w:eastAsia="Source Serif 4" w:hAnsi="Source Serif 4"/>
          <w:b/>
          <w:bCs/>
          <w:color w:val="3730A3"/>
          <w:sz w:val="22"/>
          <w:szCs w:val="22"/>
        </w:rPr>
        <w:t xml:space="preserve">Tamponade balon intrauterin</w:t>
      </w:r>
    </w:p>
    <w:p>
      <w:pPr>
        <w:pBdr>
          <w:bottom w:val="single" w:color="E2E8F0" w:sz="4"/>
        </w:pBdr>
        <w:spacing w:after="60"/>
      </w:pPr>
      <w:r>
        <w:rPr>
          <w:rFonts w:ascii="IBM Plex Sans" w:cs="IBM Plex Sans" w:eastAsia="IBM Plex Sans" w:hAnsi="IBM Plex Sans"/>
          <w:color w:val="334155"/>
          <w:sz w:val="21"/>
          <w:szCs w:val="21"/>
        </w:rPr>
        <w:t xml:space="preserve">Prosedur pemasangan kateter balon ke dalam kavum uteri untuk memberikan tekanan mekanis pada dinding rahim guna menghentikan perdarahan.</w:t>
      </w:r>
    </w:p>
    <w:p>
      <w:pPr>
        <w:spacing w:after="20" w:before="140"/>
      </w:pPr>
      <w:r>
        <w:rPr>
          <w:rFonts w:ascii="Source Serif 4" w:cs="Source Serif 4" w:eastAsia="Source Serif 4" w:hAnsi="Source Serif 4"/>
          <w:b/>
          <w:bCs/>
          <w:color w:val="3730A3"/>
          <w:sz w:val="22"/>
          <w:szCs w:val="22"/>
        </w:rPr>
        <w:t xml:space="preserve">Koagulopati intravaskular diseminata (KID)</w:t>
      </w:r>
    </w:p>
    <w:p>
      <w:pPr>
        <w:pBdr>
          <w:bottom w:val="single" w:color="E2E8F0" w:sz="4"/>
        </w:pBdr>
        <w:spacing w:after="60"/>
      </w:pPr>
      <w:r>
        <w:rPr>
          <w:rFonts w:ascii="IBM Plex Sans" w:cs="IBM Plex Sans" w:eastAsia="IBM Plex Sans" w:hAnsi="IBM Plex Sans"/>
          <w:color w:val="334155"/>
          <w:sz w:val="21"/>
          <w:szCs w:val="21"/>
        </w:rPr>
        <w:t xml:space="preserve">Gangguan pembekuan darah sistemik akibat aktivasi kaskade koagulasi yang berlebihan, dapat menyertai perdarahan obstetri masif.</w:t>
      </w:r>
    </w:p>
    <w:p>
      <w:pPr>
        <w:spacing w:after="20" w:before="140"/>
      </w:pPr>
      <w:r>
        <w:rPr>
          <w:rFonts w:ascii="Source Serif 4" w:cs="Source Serif 4" w:eastAsia="Source Serif 4" w:hAnsi="Source Serif 4"/>
          <w:b/>
          <w:bCs/>
          <w:color w:val="3730A3"/>
          <w:sz w:val="22"/>
          <w:szCs w:val="22"/>
        </w:rPr>
        <w:t xml:space="preserve">Histerektomi obstetrik</w:t>
      </w:r>
    </w:p>
    <w:p>
      <w:pPr>
        <w:pBdr>
          <w:bottom w:val="single" w:color="E2E8F0" w:sz="4"/>
        </w:pBdr>
        <w:spacing w:after="60"/>
      </w:pPr>
      <w:r>
        <w:rPr>
          <w:rFonts w:ascii="IBM Plex Sans" w:cs="IBM Plex Sans" w:eastAsia="IBM Plex Sans" w:hAnsi="IBM Plex Sans"/>
          <w:color w:val="334155"/>
          <w:sz w:val="21"/>
          <w:szCs w:val="21"/>
        </w:rPr>
        <w:t xml:space="preserve">Pengangkatan rahim yang dilakukan sebagai tindakan penyelamatan nyawa pada perdarahan obstetri masif yang tidak terkendali dengan tata laksana konservatif.</w:t>
      </w:r>
    </w:p>
    <w:p>
      <w:pPr>
        <w:pStyle w:val="Heading1"/>
        <w:pBdr>
          <w:bottom w:val="single" w:color="E2E8F0" w:sz="6"/>
        </w:pBdr>
        <w:spacing w:after="160" w:before="340"/>
      </w:pPr>
      <w:r>
        <w:rPr>
          <w:rFonts w:ascii="Source Serif 4" w:cs="Source Serif 4" w:eastAsia="Source Serif 4" w:hAnsi="Source Serif 4"/>
          <w:b/>
          <w:bCs/>
          <w:color w:val="3730A3"/>
          <w:sz w:val="30"/>
          <w:szCs w:val="30"/>
        </w:rPr>
        <w:t xml:space="preserve">Kepustakaan</w:t>
      </w:r>
    </w:p>
    <w:p>
      <w:pPr>
        <w:pStyle w:val="ListParagraph"/>
        <w:numPr>
          <w:ilvl w:val="0"/>
          <w:numId w:val="2"/>
        </w:numPr>
        <w:spacing w:after="100"/>
      </w:pPr>
      <w:r>
        <w:rPr>
          <w:rFonts w:ascii="IBM Plex Sans" w:cs="IBM Plex Sans" w:eastAsia="IBM Plex Sans" w:hAnsi="IBM Plex Sans"/>
          <w:color w:val="334155"/>
          <w:sz w:val="22"/>
          <w:szCs w:val="22"/>
        </w:rPr>
        <w:t xml:space="preserve">Konsil Kesehatan Indonesia. Keputusan Ketua Konsil Kesehatan Indonesia No. HK.01.02/KKI/1318/2026 tentang Standar Kompetensi Dokter Spesialis dan Subspesialis Bidang Obstetri dan Ginekologi. Jakarta: KKI; 2026. Tabel 7, entri No. 16.</w:t>
      </w:r>
    </w:p>
    <w:p>
      <w:pPr>
        <w:pStyle w:val="ListParagraph"/>
        <w:numPr>
          <w:ilvl w:val="0"/>
          <w:numId w:val="2"/>
        </w:numPr>
        <w:spacing w:after="100"/>
      </w:pPr>
      <w:r>
        <w:rPr>
          <w:rFonts w:ascii="IBM Plex Sans" w:cs="IBM Plex Sans" w:eastAsia="IBM Plex Sans" w:hAnsi="IBM Plex Sans"/>
          <w:color w:val="334155"/>
          <w:sz w:val="22"/>
          <w:szCs w:val="22"/>
        </w:rPr>
        <w:t xml:space="preserve">World Health Organization, International Federation of Gynecology and Obstetrics, International Confederation of Midwives. Consolidated Guidelines for the Prevention, Diagnosis and Treatment of Postpartum Haemorrhage. Geneva: WHO; 2025. Tersedia pada: https://www.who.int/publications/i/item/9789240115637</w:t>
      </w:r>
    </w:p>
    <w:p>
      <w:pPr>
        <w:pStyle w:val="ListParagraph"/>
        <w:numPr>
          <w:ilvl w:val="0"/>
          <w:numId w:val="2"/>
        </w:numPr>
        <w:spacing w:after="100"/>
      </w:pPr>
      <w:r>
        <w:rPr>
          <w:rFonts w:ascii="IBM Plex Sans" w:cs="IBM Plex Sans" w:eastAsia="IBM Plex Sans" w:hAnsi="IBM Plex Sans"/>
          <w:color w:val="334155"/>
          <w:sz w:val="22"/>
          <w:szCs w:val="22"/>
        </w:rPr>
        <w:t xml:space="preserve">Royal College of Obstetricians and Gynaecologists. Prevention and Management of Postpartum Haemorrhage (Green-top Guideline No. 52). London: RCOG; 2016. Tersedia pada: https://www.rcog.org.uk/guidance/browse-all-guidance/green-top-guidelines/prevention-and-management-of-postpartum-haemorrhage-green-top-guideline-no-52/</w:t>
      </w:r>
    </w:p>
    <w:p>
      <w:pPr>
        <w:pStyle w:val="ListParagraph"/>
        <w:numPr>
          <w:ilvl w:val="0"/>
          <w:numId w:val="2"/>
        </w:numPr>
        <w:spacing w:after="100"/>
      </w:pPr>
      <w:r>
        <w:rPr>
          <w:rFonts w:ascii="IBM Plex Sans" w:cs="IBM Plex Sans" w:eastAsia="IBM Plex Sans" w:hAnsi="IBM Plex Sans"/>
          <w:color w:val="334155"/>
          <w:sz w:val="22"/>
          <w:szCs w:val="22"/>
        </w:rPr>
        <w:t xml:space="preserve">American College of Obstetricians and Gynecologists. Practice Bulletin No. 183: Postpartum Hemorrhage. Obstet Gynecol. 2017;130(4):e168–e186. DOI: 10.1097/AOG.0000000000002351</w:t>
      </w:r>
    </w:p>
    <w:p>
      <w:pPr>
        <w:pStyle w:val="ListParagraph"/>
        <w:numPr>
          <w:ilvl w:val="0"/>
          <w:numId w:val="2"/>
        </w:numPr>
        <w:spacing w:after="100"/>
      </w:pPr>
      <w:r>
        <w:rPr>
          <w:rFonts w:ascii="IBM Plex Sans" w:cs="IBM Plex Sans" w:eastAsia="IBM Plex Sans" w:hAnsi="IBM Plex Sans"/>
          <w:color w:val="334155"/>
          <w:sz w:val="22"/>
          <w:szCs w:val="22"/>
        </w:rPr>
        <w:t xml:space="preserve">Jauniaux E, Ayres-de-Campos D, for the FIGO Placenta Accreta Diagnosis and Management Expert Consensus Panel. FIGO Consensus Guidelines on Placenta Accreta Spectrum Disorders: Introduction. Int J Gynecol Obstet. 2018;140(3):261–264. DOI: 10.1002/ijgo.12406</w:t>
      </w:r>
    </w:p>
    <w:p>
      <w:pPr>
        <w:pStyle w:val="ListParagraph"/>
        <w:numPr>
          <w:ilvl w:val="0"/>
          <w:numId w:val="2"/>
        </w:numPr>
        <w:spacing w:after="100"/>
      </w:pPr>
      <w:r>
        <w:rPr>
          <w:rFonts w:ascii="IBM Plex Sans" w:cs="IBM Plex Sans" w:eastAsia="IBM Plex Sans" w:hAnsi="IBM Plex Sans"/>
          <w:color w:val="334155"/>
          <w:sz w:val="22"/>
          <w:szCs w:val="22"/>
        </w:rPr>
        <w:t xml:space="preserve">Jauniaux E, Bhide A, Kennedy A, Woodward N, Hubinont C, Collins S, for the FIGO Placenta Accreta Diagnosis and Management Expert Consensus Panel. FIGO Consensus Guidelines on Placenta Accreta Spectrum Disorders: Prenatal Diagnosis and Screening. Int J Gynecol Obstet. 2018;140(3):274–280. DOI: 10.1002/ijgo.12408</w:t>
      </w:r>
    </w:p>
    <w:p>
      <w:pPr>
        <w:pStyle w:val="ListParagraph"/>
        <w:numPr>
          <w:ilvl w:val="0"/>
          <w:numId w:val="2"/>
        </w:numPr>
        <w:spacing w:after="100"/>
      </w:pPr>
      <w:r>
        <w:rPr>
          <w:rFonts w:ascii="IBM Plex Sans" w:cs="IBM Plex Sans" w:eastAsia="IBM Plex Sans" w:hAnsi="IBM Plex Sans"/>
          <w:color w:val="334155"/>
          <w:sz w:val="22"/>
          <w:szCs w:val="22"/>
        </w:rPr>
        <w:t xml:space="preserve">Sentilhes L, Kayem G, Chandraharan E, Palacios-Jaraquemada J, Jauniaux E, for the FIGO Placenta Accreta Diagnosis and Management Expert Consensus Panel. FIGO Consensus Guidelines on Placenta Accreta Spectrum Disorders: Conservative Management. Int J Gynecol Obstet. 2018;140(3):291–298. DOI: 10.1002/ijgo.12410</w:t>
      </w:r>
    </w:p>
    <w:p>
      <w:pPr>
        <w:pStyle w:val="ListParagraph"/>
        <w:numPr>
          <w:ilvl w:val="0"/>
          <w:numId w:val="2"/>
        </w:numPr>
        <w:spacing w:after="100"/>
      </w:pPr>
      <w:r>
        <w:rPr>
          <w:rFonts w:ascii="IBM Plex Sans" w:cs="IBM Plex Sans" w:eastAsia="IBM Plex Sans" w:hAnsi="IBM Plex Sans"/>
          <w:color w:val="334155"/>
          <w:sz w:val="22"/>
          <w:szCs w:val="22"/>
        </w:rPr>
        <w:t xml:space="preserve">Gallos I, Devall A, Martin J, et al. Randomized Trial of Early Detection and Treatment of Postpartum Haemorrhage. N Engl J Med. 2023;389:11–21.</w:t>
      </w:r>
    </w:p>
    <w:p>
      <w:pPr>
        <w:pStyle w:val="ListParagraph"/>
        <w:numPr>
          <w:ilvl w:val="0"/>
          <w:numId w:val="2"/>
        </w:numPr>
        <w:spacing w:after="100"/>
      </w:pPr>
      <w:r>
        <w:rPr>
          <w:rFonts w:ascii="IBM Plex Sans" w:cs="IBM Plex Sans" w:eastAsia="IBM Plex Sans" w:hAnsi="IBM Plex Sans"/>
          <w:color w:val="334155"/>
          <w:sz w:val="22"/>
          <w:szCs w:val="22"/>
        </w:rPr>
        <w:t xml:space="preserve">WOMAN Trial Collaborators. Effect of Early Tranexamic Acid Administration on Mortality, Hysterectomy, and Other Morbidities in Women with Postpartum Haemorrhage (WOMAN): An International, Randomised, Double-blind, Placebo-controlled Trial. Lancet. 2017;389:2105–2116.</w:t>
      </w:r>
    </w:p>
    <w:p>
      <w:pPr>
        <w:pStyle w:val="ListParagraph"/>
        <w:numPr>
          <w:ilvl w:val="0"/>
          <w:numId w:val="2"/>
        </w:numPr>
        <w:spacing w:after="100"/>
      </w:pPr>
      <w:r>
        <w:rPr>
          <w:rFonts w:ascii="IBM Plex Sans" w:cs="IBM Plex Sans" w:eastAsia="IBM Plex Sans" w:hAnsi="IBM Plex Sans"/>
          <w:color w:val="334155"/>
          <w:sz w:val="22"/>
          <w:szCs w:val="22"/>
        </w:rPr>
        <w:t xml:space="preserve">World Health Organization. ICD-11 for Mortality and Morbidity Statistics — JB0B.0 Retained Placenta without Haemorrhage; JB0B.1 Retained Portions of Placenta or Membranes, without Haemorrhage. Tersedia pada: https://icd.who.int</w:t>
      </w:r>
    </w:p>
    <w:p>
      <w:pPr>
        <w:pStyle w:val="ListParagraph"/>
        <w:numPr>
          <w:ilvl w:val="0"/>
          <w:numId w:val="2"/>
        </w:numPr>
        <w:spacing w:after="100"/>
      </w:pPr>
      <w:r>
        <w:rPr>
          <w:rFonts w:ascii="IBM Plex Sans" w:cs="IBM Plex Sans" w:eastAsia="IBM Plex Sans" w:hAnsi="IBM Plex Sans"/>
          <w:color w:val="334155"/>
          <w:sz w:val="22"/>
          <w:szCs w:val="22"/>
        </w:rPr>
        <w:t xml:space="preserve">World Health Organization. International Statistical Classification of Diseases and Related Health Problems, Tenth Revision (ICD-10) — O72–O73. Tersedia pada: https://icd.who.int/browse10/2019/en</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IBM Plex Mono" w:cs="IBM Plex Mono" w:eastAsia="IBM Plex Mono" w:hAnsi="IBM Plex Mono"/>
        <w:color w:val="334155"/>
        <w:sz w:val="15"/>
        <w:szCs w:val="15"/>
      </w:rPr>
      <w:t xml:space="preserve">Perpustakaan Digital ABBA · Dokumen 16 dari 73   ·   Halaman </w:t>
    </w:r>
    <w:r>
      <w:rPr>
        <w:rFonts w:ascii="IBM Plex Mono" w:cs="IBM Plex Mono" w:eastAsia="IBM Plex Mono" w:hAnsi="IBM Plex Mono"/>
        <w:color w:val="334155"/>
        <w:sz w:val="15"/>
        <w:szCs w:val="15"/>
      </w:rPr>
      <w:fldChar w:fldCharType="begin"/>
      <w:instrText xml:space="preserve">PAGE</w:instrText>
      <w:fldChar w:fldCharType="separate"/>
      <w:fldChar w:fldCharType="end"/>
    </w:r>
    <w:r>
      <w:rPr>
        <w:rFonts w:ascii="IBM Plex Mono" w:cs="IBM Plex Mono" w:eastAsia="IBM Plex Mono" w:hAnsi="IBM Plex Mono"/>
        <w:color w:val="334155"/>
        <w:sz w:val="15"/>
        <w:szCs w:val="15"/>
      </w:rPr>
      <w:t xml:space="preserve"> / </w:t>
    </w:r>
    <w:r>
      <w:rPr>
        <w:rFonts w:ascii="IBM Plex Mono" w:cs="IBM Plex Mono" w:eastAsia="IBM Plex Mono" w:hAnsi="IBM Plex Mono"/>
        <w:color w:val="3341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2E8F0" w:sz="4"/>
      </w:pBdr>
      <w:jc w:val="right"/>
    </w:pPr>
    <w:r>
      <w:rPr>
        <w:rFonts w:ascii="IBM Plex Mono" w:cs="IBM Plex Mono" w:eastAsia="IBM Plex Mono" w:hAnsi="IBM Plex Mono"/>
        <w:color w:val="334155"/>
        <w:sz w:val="16"/>
        <w:szCs w:val="16"/>
      </w:rPr>
      <w:t xml:space="preserve">PPK-016 — Retensio Plasenta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40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BM Plex Sans" w:cs="IBM Plex Sans" w:eastAsia="IBM Plex Sans" w:hAnsi="IBM Plex Sans"/>
        <w:color w:val="334155"/>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2026-08-17T04:29:26.640Z</dcterms:created>
  <dcterms:modified xsi:type="dcterms:W3CDTF">2026-08-17T04:29:26.665Z</dcterms:modified>
</cp:coreProperties>
</file>

<file path=docProps/custom.xml><?xml version="1.0" encoding="utf-8"?>
<Properties xmlns="http://schemas.openxmlformats.org/officeDocument/2006/custom-properties" xmlns:vt="http://schemas.openxmlformats.org/officeDocument/2006/docPropsVTypes"/>
</file>