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IBM Plex Mono" w:cs="IBM Plex Mono" w:eastAsia="IBM Plex Mono" w:hAnsi="IBM Plex Mono"/>
          <w:b/>
          <w:bCs/>
          <w:color w:val="B45309"/>
          <w:sz w:val="20"/>
          <w:szCs w:val="20"/>
        </w:rPr>
        <w:t xml:space="preserve">PANDUAN PRAKTIK KLINIS  ·  PPK-020</w:t>
      </w:r>
    </w:p>
    <w:p>
      <w:pPr>
        <w:spacing w:after="100" w:before="200"/>
      </w:pPr>
      <w:r>
        <w:rPr>
          <w:rFonts w:ascii="Source Serif 4" w:cs="Source Serif 4" w:eastAsia="Source Serif 4" w:hAnsi="Source Serif 4"/>
          <w:b/>
          <w:bCs/>
          <w:color w:val="4F46E5"/>
          <w:sz w:val="56"/>
          <w:szCs w:val="56"/>
        </w:rPr>
        <w:t xml:space="preserve">Persalinan Macet</w:t>
      </w:r>
    </w:p>
    <w:p>
      <w:pPr>
        <w:spacing w:after="300"/>
      </w:pPr>
      <w:r>
        <w:rPr>
          <w:rFonts w:ascii="Source Serif 4" w:cs="Source Serif 4" w:eastAsia="Source Serif 4" w:hAnsi="Source Serif 4"/>
          <w:i/>
          <w:iCs/>
          <w:color w:val="64748B"/>
          <w:sz w:val="30"/>
          <w:szCs w:val="30"/>
        </w:rPr>
        <w:t xml:space="preserve">Dystocia</w:t>
      </w:r>
    </w:p>
    <w:p>
      <w:pPr>
        <w:spacing w:after="200"/>
      </w:pPr>
      <w:r>
        <w:rPr>
          <w:rFonts w:ascii="IBM Plex Mono" w:cs="IBM Plex Mono" w:eastAsia="IBM Plex Mono" w:hAnsi="IBM Plex Mono"/>
          <w:b/>
          <w:bCs/>
          <w:color w:val="64748B"/>
          <w:sz w:val="20"/>
          <w:szCs w:val="20"/>
        </w:rPr>
        <w:t xml:space="preserve">ICD-10  </w:t>
      </w:r>
      <w:r>
        <w:rPr>
          <w:rFonts w:ascii="IBM Plex Mono" w:cs="IBM Plex Mono" w:eastAsia="IBM Plex Mono" w:hAnsi="IBM Plex Mono"/>
          <w:color w:val="334155"/>
          <w:sz w:val="20"/>
          <w:szCs w:val="20"/>
          <w:shd w:fill="F1F5F9" w:val="clear"/>
        </w:rPr>
        <w:t xml:space="preserve">O66.9    </w:t>
      </w:r>
      <w:r>
        <w:rPr>
          <w:rFonts w:ascii="IBM Plex Mono" w:cs="IBM Plex Mono" w:eastAsia="IBM Plex Mono" w:hAnsi="IBM Plex Mono"/>
          <w:b/>
          <w:bCs/>
          <w:color w:val="64748B"/>
          <w:sz w:val="20"/>
          <w:szCs w:val="20"/>
        </w:rPr>
        <w:t xml:space="preserve">ICD-11  </w:t>
      </w:r>
      <w:r>
        <w:rPr>
          <w:rFonts w:ascii="IBM Plex Mono" w:cs="IBM Plex Mono" w:eastAsia="IBM Plex Mono" w:hAnsi="IBM Plex Mono"/>
          <w:color w:val="334155"/>
          <w:sz w:val="20"/>
          <w:szCs w:val="20"/>
          <w:shd w:fill="F1F5F9" w:val="clear"/>
        </w:rPr>
        <w:t xml:space="preserve">JB06.0</w:t>
      </w:r>
    </w:p>
    <w:p>
      <w:pPr>
        <w:spacing w:after="60"/>
      </w:pPr>
      <w:r>
        <w:rPr>
          <w:rFonts w:ascii="IBM Plex Sans" w:cs="IBM Plex Sans" w:eastAsia="IBM Plex Sans" w:hAnsi="IBM Plex Sans"/>
          <w:b/>
          <w:bCs/>
          <w:color w:val="334155"/>
          <w:sz w:val="21"/>
          <w:szCs w:val="21"/>
        </w:rPr>
        <w:t xml:space="preserve">Populasi Prioritas: </w:t>
      </w:r>
      <w:r>
        <w:rPr>
          <w:rFonts w:ascii="IBM Plex Sans" w:cs="IBM Plex Sans" w:eastAsia="IBM Plex Sans" w:hAnsi="IBM Plex Sans"/>
          <w:color w:val="334155"/>
          <w:sz w:val="21"/>
          <w:szCs w:val="21"/>
        </w:rPr>
        <w:t xml:space="preserve">Hambatan kemajuan persalinan; risiko intervensi</w:t>
      </w:r>
    </w:p>
    <w:p>
      <w:pPr>
        <w:spacing w:after="60"/>
      </w:pPr>
      <w:r>
        <w:rPr>
          <w:rFonts w:ascii="IBM Plex Sans" w:cs="IBM Plex Sans" w:eastAsia="IBM Plex Sans" w:hAnsi="IBM Plex Sans"/>
          <w:b/>
          <w:bCs/>
          <w:color w:val="334155"/>
          <w:sz w:val="21"/>
          <w:szCs w:val="21"/>
        </w:rPr>
        <w:t xml:space="preserve">Divisi Pengampu: </w:t>
      </w:r>
      <w:r>
        <w:rPr>
          <w:rFonts w:ascii="IBM Plex Sans" w:cs="IBM Plex Sans" w:eastAsia="IBM Plex Sans" w:hAnsi="IBM Plex Sans"/>
          <w:color w:val="334155"/>
          <w:sz w:val="21"/>
          <w:szCs w:val="21"/>
        </w:rPr>
        <w:t xml:space="preserve">Fetomaternal</w:t>
      </w:r>
    </w:p>
    <w:p>
      <w:pPr>
        <w:spacing w:after="200"/>
      </w:pPr>
      <w:r>
        <w:rPr>
          <w:rFonts w:ascii="IBM Plex Mono" w:cs="IBM Plex Mono" w:eastAsia="IBM Plex Mono" w:hAnsi="IBM Plex Mono"/>
          <w:color w:val="64748B"/>
          <w:sz w:val="19"/>
          <w:szCs w:val="19"/>
        </w:rPr>
        <w:t xml:space="preserve">Dokumen 20 dari 73 — Kategori PPK</w:t>
      </w:r>
    </w:p>
    <w:p>
      <w:pPr>
        <w:spacing w:after="20"/>
      </w:pPr>
      <w:r>
        <w:rPr>
          <w:rFonts w:ascii="IBM Plex Sans" w:cs="IBM Plex Sans" w:eastAsia="IBM Plex Sans" w:hAnsi="IBM Plex Sans"/>
          <w:b/>
          <w:bCs/>
          <w:color w:val="334155"/>
          <w:sz w:val="21"/>
          <w:szCs w:val="21"/>
        </w:rPr>
        <w:t xml:space="preserve">Dr.dr. Budi Siswanto, Sp.OG., Subsp.Obginsos., SH., S.Kom.</w:t>
      </w:r>
    </w:p>
    <w:p>
      <w:pPr>
        <w:spacing w:after="20"/>
      </w:pPr>
      <w:r>
        <w:rPr>
          <w:rFonts w:ascii="IBM Plex Sans" w:cs="IBM Plex Sans" w:eastAsia="IBM Plex Sans" w:hAnsi="IBM Plex Sans"/>
          <w:color w:val="64748B"/>
          <w:sz w:val="19"/>
          <w:szCs w:val="19"/>
        </w:rPr>
        <w:t xml:space="preserve">Perpustakaan Digital ABBA — Jl. Kerinci Raya No. 9, Malang 65138</w:t>
      </w:r>
    </w:p>
    <w:p>
      <w:pPr>
        <w:spacing w:after="400"/>
      </w:pPr>
      <w:r>
        <w:rPr>
          <w:rFonts w:ascii="IBM Plex Sans" w:cs="IBM Plex Sans" w:eastAsia="IBM Plex Sans" w:hAnsi="IBM Plex Sans"/>
          <w:color w:val="64748B"/>
          <w:sz w:val="19"/>
          <w:szCs w:val="19"/>
        </w:rPr>
        <w:t xml:space="preserve">Agustus 2026</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18"/>
              <w:left w:val="single" w:color="EEF2FF" w:sz="4"/>
              <w:bottom w:val="single" w:color="EEF2FF" w:sz="4"/>
              <w:right w:val="single" w:color="EEF2FF" w:sz="4"/>
            </w:tcBorders>
            <w:shd w:fill="EEF2FF" w:val="clear"/>
            <w:tcMar>
              <w:top w:type="dxa" w:w="160"/>
              <w:left w:type="dxa" w:w="200"/>
              <w:bottom w:type="dxa" w:w="160"/>
              <w:right w:type="dxa" w:w="200"/>
            </w:tcMar>
          </w:tcPr>
          <w:p>
            <w:pPr>
              <w:spacing w:after="60"/>
            </w:pPr>
            <w:r>
              <w:rPr>
                <w:rFonts w:ascii="IBM Plex Mono" w:cs="IBM Plex Mono" w:eastAsia="IBM Plex Mono" w:hAnsi="IBM Plex Mono"/>
                <w:b/>
                <w:bCs/>
                <w:color w:val="B45309"/>
                <w:sz w:val="18"/>
                <w:szCs w:val="18"/>
              </w:rPr>
              <w:t xml:space="preserve">DASAR REGULASI</w:t>
            </w:r>
          </w:p>
          <w:p>
            <w:pPr>
              <w:spacing w:after="0" w:line="280"/>
            </w:pPr>
            <w:r>
              <w:rPr>
                <w:rFonts w:ascii="IBM Plex Sans" w:cs="IBM Plex Sans" w:eastAsia="IBM Plex Sans" w:hAnsi="IBM Plex Sans"/>
                <w:color w:val="334155"/>
                <w:sz w:val="21"/>
                <w:szCs w:val="21"/>
              </w:rPr>
              <w:t xml:space="preserve">Diagnosis "Persalinan macet / Dystocia" tercantum pada Tabel 7 Lampiran Kepkonsil No. HK.01.02/KKI/1318/2026, baris No. 20, dengan kode ICD-10 O66.9 dan ICD-11 JB06.0, keterangan populasi prioritas: "Hambatan kemajuan persalinan; risiko intervensi". Definisi resmi pada Glosarium Istilah (hal. 513) Kepkonsil: "Persalinan macet (dystocia) adalah kemajuan persalinan yang abnormal lambat atau terhenti akibat faktor kekuatan, jalan lahir, atau janin." Catatan koding: pada tabel klasifikasi ICD-11 resmi (icd.who.int), blok JB06 mencakup beberapa subkategori penyebab spesifik (JB06.0 distosia bahu, JB06.1 kembar terkunci, JB06.2 janin besar, JB06.3 kelainan janin lain, JB06.Z penyebab tidak spesifik); penetapan kode presisi per kasus tetap mengikuti hasil pemeriksaan klinis dan kebijakan koding institusi masing-masing.</w:t>
            </w:r>
          </w:p>
        </w:tc>
      </w:tr>
    </w:tbl>
    <w:p>
      <w:pPr>
        <w:spacing w:after="200"/>
      </w:pPr>
    </w:p>
    <w:p>
      <w:pPr>
        <w:spacing w:after="160" w:line="300"/>
      </w:pPr>
      <w:r>
        <w:rPr>
          <w:rFonts w:ascii="IBM Plex Sans" w:cs="IBM Plex Sans" w:eastAsia="IBM Plex Sans" w:hAnsi="IBM Plex Sans"/>
          <w:color w:val="334155"/>
          <w:sz w:val="22"/>
          <w:szCs w:val="22"/>
        </w:rPr>
        <w:t xml:space="preserve">PPK ini merupakan turunan operasional dari Buku Tematik B3 — Obstetri Patologis dan Kegawatdaruratan Maternal, pada cakupan topik distosia dan gangguan kemajuan persalinan (labor dystocia).</w:t>
      </w:r>
    </w:p>
    <w:p>
      <w:pPr>
        <w:spacing w:after="160" w:line="300"/>
      </w:pPr>
      <w:r>
        <w:rPr>
          <w:rFonts w:ascii="IBM Plex Sans" w:cs="IBM Plex Sans" w:eastAsia="IBM Plex Sans" w:hAnsi="IBM Plex Sans"/>
          <w:color w:val="334155"/>
          <w:sz w:val="22"/>
          <w:szCs w:val="22"/>
        </w:rPr>
        <w:t xml:space="preserve">Panduan Praktik Klinis (PPK) ini disusun sebagai acuan operasional tata laksana Persalinan Macet (Dystocia) bagi dokter spesialis Obstetri dan Ginekologi di rumah sakit pendidikan, merujuk pada entri No. 20 Tabel 7 Kepkonsil, dan diperkaya dengan standar praktik klinis internasional terkini (WHO, ACOG/SMFM, NICE/RCOG, Cochrane, serta pedoman operasional WHO/UNFPA/UNICEF untuk pelayanan obstetri neonatal emergensi).</w:t>
      </w:r>
    </w:p>
    <w:p>
      <w:r>
        <w:br w:type="page"/>
      </w:r>
    </w:p>
    <w:p>
      <w:pPr>
        <w:pStyle w:val="Heading1"/>
        <w:spacing w:after="140" w:before="320"/>
      </w:pPr>
      <w:r>
        <w:rPr>
          <w:rFonts w:ascii="Source Serif 4" w:cs="Source Serif 4" w:eastAsia="Source Serif 4" w:hAnsi="Source Serif 4"/>
          <w:b/>
          <w:bCs/>
          <w:color w:val="4F46E5"/>
          <w:sz w:val="30"/>
          <w:szCs w:val="30"/>
        </w:rPr>
        <w:t xml:space="preserve">1. Pengertian/Definisi</w:t>
      </w:r>
    </w:p>
    <w:p>
      <w:pPr>
        <w:spacing w:after="160" w:line="300"/>
      </w:pPr>
      <w:r>
        <w:rPr>
          <w:rFonts w:ascii="IBM Plex Sans" w:cs="IBM Plex Sans" w:eastAsia="IBM Plex Sans" w:hAnsi="IBM Plex Sans"/>
          <w:color w:val="334155"/>
          <w:sz w:val="22"/>
          <w:szCs w:val="22"/>
        </w:rPr>
        <w:t xml:space="preserve">Persalinan macet (dystocia) — ICD-10 O66.9; ICD-11 JB06 — didefinisikan secara resmi dalam Glosarium Kepkonsil sebagai kemajuan persalinan yang abnormal lambat atau terhenti akibat faktor kekuatan (power), jalan lahir (passage), atau janin (passenger). Ketiga faktor ini secara klasik dikenal sebagai kerangka "3P" dan menjadi dasar penelusuran etiologi pada setiap kasus.</w:t>
      </w:r>
    </w:p>
    <w:p>
      <w:pPr>
        <w:spacing w:after="160" w:line="300"/>
      </w:pPr>
      <w:r>
        <w:rPr>
          <w:rFonts w:ascii="IBM Plex Sans" w:cs="IBM Plex Sans" w:eastAsia="IBM Plex Sans" w:hAnsi="IBM Plex Sans"/>
          <w:color w:val="334155"/>
          <w:sz w:val="22"/>
          <w:szCs w:val="22"/>
        </w:rPr>
        <w:t xml:space="preserve">Secara operasional, dystocia mencakup dua fenomena klinis yang berbeda namun berkaitan: persalinan protracted (kemajuan dilatasi serviks dan/atau penurunan kepala yang lebih lambat dari batas normal) dan persalinan arrested (kemajuan yang berhenti sama sekali pada suatu titik pengamatan tertentu, meski kontraksi adekuat). Perbedaan keduanya menentukan pendekatan tata laksana: protracted labor umumnya masih dapat diobservasi dengan augmentasi, sedangkan arrested labor pada kondisi tertentu merupakan indikasi tindakan operatif.</w:t>
      </w:r>
    </w:p>
    <w:p>
      <w:pPr>
        <w:spacing w:after="160" w:line="300"/>
      </w:pPr>
      <w:r>
        <w:rPr>
          <w:rFonts w:ascii="IBM Plex Sans" w:cs="IBM Plex Sans" w:eastAsia="IBM Plex Sans" w:hAnsi="IBM Plex Sans"/>
          <w:color w:val="334155"/>
          <w:sz w:val="22"/>
          <w:szCs w:val="22"/>
        </w:rPr>
        <w:t xml:space="preserve">Pemahaman tentang kemajuan persalinan normal telah bergeser signifikan sejak data kontemporer menunjukkan bahwa dilatasi serviks pada banyak perempuan berlangsung lebih lambat dari kurva Friedman klasik (dekade 1950-an), terutama pada rentang pembukaan 4–6 cm. Konsorsium Safe Labor di Amerika Serikat, yang datanya mendasari konsensus ACOG/SMFM, menunjukkan bahwa fase aktif dengan percepatan dilatasi yang khas sering kali baru dimulai pada pembukaan 6 cm, bukan 4 cm seperti diajarkan sebelumnya. Pergeseran pemahaman ini menjadi dasar revisi kriteria diagnosis pada bagian 4.</w:t>
      </w:r>
    </w:p>
    <w:p>
      <w:pPr>
        <w:spacing w:after="160" w:line="300"/>
      </w:pPr>
      <w:r>
        <w:rPr>
          <w:rFonts w:ascii="IBM Plex Sans" w:cs="IBM Plex Sans" w:eastAsia="IBM Plex Sans" w:hAnsi="IBM Plex Sans"/>
          <w:color w:val="334155"/>
          <w:sz w:val="22"/>
          <w:szCs w:val="22"/>
        </w:rPr>
        <w:t xml:space="preserve">Dystocia dapat terjadi pada kala I (fase laten atau fase aktif) maupun kala II persalinan, dan penting dibedakan dari distosia bahu (shoulder dystocia), yang merupakan kegawatdaruratan tersendiri terjadi setelah kepala janin lahir namun bahu tertahan di jalan lahir. Distosia bahu memiliki kompetensi prosedural tersendiri pada pemetaan Kepkonsil (manuver McRoberts, tekanan suprapubik, manuver Rubin/Wood's screw) dan bukan cakupan tata laksana utama PPK ini, meski keduanya berbagi rumpun kode ICD-11 JB06.</w:t>
      </w:r>
    </w:p>
    <w:p>
      <w:pPr>
        <w:pStyle w:val="Heading1"/>
        <w:spacing w:after="140" w:before="320"/>
      </w:pPr>
      <w:r>
        <w:rPr>
          <w:rFonts w:ascii="Source Serif 4" w:cs="Source Serif 4" w:eastAsia="Source Serif 4" w:hAnsi="Source Serif 4"/>
          <w:b/>
          <w:bCs/>
          <w:color w:val="4F46E5"/>
          <w:sz w:val="30"/>
          <w:szCs w:val="30"/>
        </w:rPr>
        <w:t xml:space="preserve">2. Anamnesis</w:t>
      </w:r>
    </w:p>
    <w:p>
      <w:pPr>
        <w:spacing w:after="160" w:line="300"/>
      </w:pPr>
      <w:r>
        <w:rPr>
          <w:rFonts w:ascii="IBM Plex Sans" w:cs="IBM Plex Sans" w:eastAsia="IBM Plex Sans" w:hAnsi="IBM Plex Sans"/>
          <w:color w:val="334155"/>
          <w:sz w:val="22"/>
          <w:szCs w:val="22"/>
        </w:rPr>
        <w:t xml:space="preserve">Anamnesis diarahkan untuk mengidentifikasi faktor risiko dan menelusuri kronologi persalinan secara rinci, sebagai dasar penilaian apakah kemajuan persalinan benar-benar abnormal.</w:t>
      </w:r>
    </w:p>
    <w:p>
      <w:pPr>
        <w:pStyle w:val="ListParagraph"/>
        <w:numPr>
          <w:ilvl w:val="0"/>
          <w:numId w:val="1"/>
        </w:numPr>
        <w:spacing w:after="90" w:line="290"/>
      </w:pPr>
      <w:r>
        <w:rPr>
          <w:rFonts w:ascii="IBM Plex Sans" w:cs="IBM Plex Sans" w:eastAsia="IBM Plex Sans" w:hAnsi="IBM Plex Sans"/>
          <w:color w:val="334155"/>
          <w:sz w:val="22"/>
          <w:szCs w:val="22"/>
        </w:rPr>
        <w:t xml:space="preserve">Identitas, usia, gravida-para-abortus, dan usia kehamilan berdasarkan HPHT/USG trimester awal.</w:t>
      </w:r>
    </w:p>
    <w:p>
      <w:pPr>
        <w:pStyle w:val="ListParagraph"/>
        <w:numPr>
          <w:ilvl w:val="0"/>
          <w:numId w:val="1"/>
        </w:numPr>
        <w:spacing w:after="90" w:line="290"/>
      </w:pPr>
      <w:r>
        <w:rPr>
          <w:rFonts w:ascii="IBM Plex Sans" w:cs="IBM Plex Sans" w:eastAsia="IBM Plex Sans" w:hAnsi="IBM Plex Sans"/>
          <w:color w:val="334155"/>
          <w:sz w:val="22"/>
          <w:szCs w:val="22"/>
        </w:rPr>
        <w:t xml:space="preserve">Riwayat obstetri: riwayat persalinan macet sebelumnya, riwayat seksio sesarea, riwayat bayi makrosomia, riwayat trauma atau kelainan panggul.</w:t>
      </w:r>
    </w:p>
    <w:p>
      <w:pPr>
        <w:pStyle w:val="ListParagraph"/>
        <w:numPr>
          <w:ilvl w:val="0"/>
          <w:numId w:val="1"/>
        </w:numPr>
        <w:spacing w:after="90" w:line="290"/>
      </w:pPr>
      <w:r>
        <w:rPr>
          <w:rFonts w:ascii="IBM Plex Sans" w:cs="IBM Plex Sans" w:eastAsia="IBM Plex Sans" w:hAnsi="IBM Plex Sans"/>
          <w:color w:val="334155"/>
          <w:sz w:val="22"/>
          <w:szCs w:val="22"/>
        </w:rPr>
        <w:t xml:space="preserve">Waktu awitan his teratur dan durasi kala I sejak memasuki fase aktif, termasuk perubahan pola his yang dirasakan pasien.</w:t>
      </w:r>
    </w:p>
    <w:p>
      <w:pPr>
        <w:pStyle w:val="ListParagraph"/>
        <w:numPr>
          <w:ilvl w:val="0"/>
          <w:numId w:val="1"/>
        </w:numPr>
        <w:spacing w:after="90" w:line="290"/>
      </w:pPr>
      <w:r>
        <w:rPr>
          <w:rFonts w:ascii="IBM Plex Sans" w:cs="IBM Plex Sans" w:eastAsia="IBM Plex Sans" w:hAnsi="IBM Plex Sans"/>
          <w:color w:val="334155"/>
          <w:sz w:val="22"/>
          <w:szCs w:val="22"/>
        </w:rPr>
        <w:t xml:space="preserve">Karakteristik subjektif kontraksi: frekuensi, durasi, dan intensitas yang dirasakan.</w:t>
      </w:r>
    </w:p>
    <w:p>
      <w:pPr>
        <w:pStyle w:val="ListParagraph"/>
        <w:numPr>
          <w:ilvl w:val="0"/>
          <w:numId w:val="1"/>
        </w:numPr>
        <w:spacing w:after="90" w:line="290"/>
      </w:pPr>
      <w:r>
        <w:rPr>
          <w:rFonts w:ascii="IBM Plex Sans" w:cs="IBM Plex Sans" w:eastAsia="IBM Plex Sans" w:hAnsi="IBM Plex Sans"/>
          <w:color w:val="334155"/>
          <w:sz w:val="22"/>
          <w:szCs w:val="22"/>
        </w:rPr>
        <w:t xml:space="preserve">Status ketuban: pecah spontan atau belum, waktu pecah, warna dan volume cairan ketuban (jernih, mekonium, berbau).</w:t>
      </w:r>
    </w:p>
    <w:p>
      <w:pPr>
        <w:pStyle w:val="ListParagraph"/>
        <w:numPr>
          <w:ilvl w:val="0"/>
          <w:numId w:val="1"/>
        </w:numPr>
        <w:spacing w:after="90" w:line="290"/>
      </w:pPr>
      <w:r>
        <w:rPr>
          <w:rFonts w:ascii="IBM Plex Sans" w:cs="IBM Plex Sans" w:eastAsia="IBM Plex Sans" w:hAnsi="IBM Plex Sans"/>
          <w:color w:val="334155"/>
          <w:sz w:val="22"/>
          <w:szCs w:val="22"/>
        </w:rPr>
        <w:t xml:space="preserve">Komorbiditas yang berkontribusi pada makrosomia atau kelainan jalan lahir, seperti diabetes gestasional dan obesitas.</w:t>
      </w:r>
    </w:p>
    <w:p>
      <w:pPr>
        <w:pStyle w:val="ListParagraph"/>
        <w:numPr>
          <w:ilvl w:val="0"/>
          <w:numId w:val="1"/>
        </w:numPr>
        <w:spacing w:after="90" w:line="290"/>
      </w:pPr>
      <w:r>
        <w:rPr>
          <w:rFonts w:ascii="IBM Plex Sans" w:cs="IBM Plex Sans" w:eastAsia="IBM Plex Sans" w:hAnsi="IBM Plex Sans"/>
          <w:color w:val="334155"/>
          <w:sz w:val="22"/>
          <w:szCs w:val="22"/>
        </w:rPr>
        <w:t xml:space="preserve">Keluhan penyerta yang mengarah ke komplikasi: nyeri perut yang menetap dan tidak hilang di antara kontraksi (curiga ruptur uteri mengancam), perdarahan pervaginam, atau berkurangnya gerak janin.</w:t>
      </w:r>
    </w:p>
    <w:p>
      <w:pPr>
        <w:pStyle w:val="Heading1"/>
        <w:spacing w:after="140" w:before="320"/>
      </w:pPr>
      <w:r>
        <w:rPr>
          <w:rFonts w:ascii="Source Serif 4" w:cs="Source Serif 4" w:eastAsia="Source Serif 4" w:hAnsi="Source Serif 4"/>
          <w:b/>
          <w:bCs/>
          <w:color w:val="4F46E5"/>
          <w:sz w:val="30"/>
          <w:szCs w:val="30"/>
        </w:rPr>
        <w:t xml:space="preserve">3. Pemeriksaan Fisik</w:t>
      </w:r>
    </w:p>
    <w:p>
      <w:pPr>
        <w:spacing w:after="160" w:line="300"/>
      </w:pPr>
      <w:r>
        <w:rPr>
          <w:rFonts w:ascii="IBM Plex Sans" w:cs="IBM Plex Sans" w:eastAsia="IBM Plex Sans" w:hAnsi="IBM Plex Sans"/>
          <w:color w:val="334155"/>
          <w:sz w:val="22"/>
          <w:szCs w:val="22"/>
        </w:rPr>
        <w:t xml:space="preserve">Pemeriksaan fisik mengonfirmasi temuan anamnesis dan menjadi dasar penilaian tiga komponen power–passage–passenger secara sistematis.</w:t>
      </w:r>
    </w:p>
    <w:p>
      <w:pPr>
        <w:pStyle w:val="ListParagraph"/>
        <w:numPr>
          <w:ilvl w:val="0"/>
          <w:numId w:val="1"/>
        </w:numPr>
        <w:spacing w:after="90" w:line="290"/>
      </w:pPr>
      <w:r>
        <w:rPr>
          <w:rFonts w:ascii="IBM Plex Sans" w:cs="IBM Plex Sans" w:eastAsia="IBM Plex Sans" w:hAnsi="IBM Plex Sans"/>
          <w:color w:val="334155"/>
          <w:sz w:val="22"/>
          <w:szCs w:val="22"/>
        </w:rPr>
        <w:t xml:space="preserve">Tanda vital ibu, termasuk penilaian tanda syok bila dicurigai perdarahan tersembunyi atau ruptur uteri.</w:t>
      </w:r>
    </w:p>
    <w:p>
      <w:pPr>
        <w:pStyle w:val="ListParagraph"/>
        <w:numPr>
          <w:ilvl w:val="0"/>
          <w:numId w:val="1"/>
        </w:numPr>
        <w:spacing w:after="90" w:line="290"/>
      </w:pPr>
      <w:r>
        <w:rPr>
          <w:rFonts w:ascii="IBM Plex Sans" w:cs="IBM Plex Sans" w:eastAsia="IBM Plex Sans" w:hAnsi="IBM Plex Sans"/>
          <w:color w:val="334155"/>
          <w:sz w:val="22"/>
          <w:szCs w:val="22"/>
        </w:rPr>
        <w:t xml:space="preserve">Pemeriksaan Leopold: taksiran berat janin (TBJ), presentasi, posisi punggung janin, dan penurunan bagian terbawah janin per palpasi abdomen (metode per-lima).</w:t>
      </w:r>
    </w:p>
    <w:p>
      <w:pPr>
        <w:pStyle w:val="ListParagraph"/>
        <w:numPr>
          <w:ilvl w:val="0"/>
          <w:numId w:val="1"/>
        </w:numPr>
        <w:spacing w:after="90" w:line="290"/>
      </w:pPr>
      <w:r>
        <w:rPr>
          <w:rFonts w:ascii="IBM Plex Sans" w:cs="IBM Plex Sans" w:eastAsia="IBM Plex Sans" w:hAnsi="IBM Plex Sans"/>
          <w:color w:val="334155"/>
          <w:sz w:val="22"/>
          <w:szCs w:val="22"/>
        </w:rPr>
        <w:t xml:space="preserve">Auskultasi denyut jantung janin (DJJ) berkala, atau pemantauan elektronik berkelanjutan (kardiotokografi) bila tersedia dan terindikasi.</w:t>
      </w:r>
    </w:p>
    <w:p>
      <w:pPr>
        <w:pStyle w:val="ListParagraph"/>
        <w:numPr>
          <w:ilvl w:val="0"/>
          <w:numId w:val="1"/>
        </w:numPr>
        <w:spacing w:after="90" w:line="290"/>
      </w:pPr>
      <w:r>
        <w:rPr>
          <w:rFonts w:ascii="IBM Plex Sans" w:cs="IBM Plex Sans" w:eastAsia="IBM Plex Sans" w:hAnsi="IBM Plex Sans"/>
          <w:color w:val="334155"/>
          <w:sz w:val="22"/>
          <w:szCs w:val="22"/>
        </w:rPr>
        <w:t xml:space="preserve">Palpasi his: frekuensi, durasi, dan intensitas kontraksi per 10 menit untuk menilai kecukupan tenaga persalinan (adekuat versus inadekuat).</w:t>
      </w:r>
    </w:p>
    <w:p>
      <w:pPr>
        <w:pStyle w:val="ListParagraph"/>
        <w:numPr>
          <w:ilvl w:val="0"/>
          <w:numId w:val="1"/>
        </w:numPr>
        <w:spacing w:after="90" w:line="290"/>
      </w:pPr>
      <w:r>
        <w:rPr>
          <w:rFonts w:ascii="IBM Plex Sans" w:cs="IBM Plex Sans" w:eastAsia="IBM Plex Sans" w:hAnsi="IBM Plex Sans"/>
          <w:color w:val="334155"/>
          <w:sz w:val="22"/>
          <w:szCs w:val="22"/>
        </w:rPr>
        <w:t xml:space="preserve">Pemeriksaan dalam (vaginal toucher): pembukaan dan penipisan serviks, station penurunan kepala (Hodge/De Lee), presentasi dan posisi (termasuk deteksi posisi oksiput posterior persisten), serta ada-tidaknya moulase dan kaput suksedaneum sebagai penanda tidak langsung disproporsi.</w:t>
      </w:r>
    </w:p>
    <w:p>
      <w:pPr>
        <w:pStyle w:val="ListParagraph"/>
        <w:numPr>
          <w:ilvl w:val="0"/>
          <w:numId w:val="1"/>
        </w:numPr>
        <w:spacing w:after="90" w:line="290"/>
      </w:pPr>
      <w:r>
        <w:rPr>
          <w:rFonts w:ascii="IBM Plex Sans" w:cs="IBM Plex Sans" w:eastAsia="IBM Plex Sans" w:hAnsi="IBM Plex Sans"/>
          <w:color w:val="334155"/>
          <w:sz w:val="22"/>
          <w:szCs w:val="22"/>
        </w:rPr>
        <w:t xml:space="preserve">Penilaian imbang feto-pelvik secara klinis dan pelvimetri klinis (diameter konjugata diagonalis, penonjolan spina ischiadika, sudut arkus pubis) untuk menilai kemungkinan disproporsi sefalopelvik (CPD).</w:t>
      </w:r>
    </w:p>
    <w:p>
      <w:pPr>
        <w:pStyle w:val="ListParagraph"/>
        <w:numPr>
          <w:ilvl w:val="0"/>
          <w:numId w:val="1"/>
        </w:numPr>
        <w:spacing w:after="90" w:line="290"/>
      </w:pPr>
      <w:r>
        <w:rPr>
          <w:rFonts w:ascii="IBM Plex Sans" w:cs="IBM Plex Sans" w:eastAsia="IBM Plex Sans" w:hAnsi="IBM Plex Sans"/>
          <w:color w:val="334155"/>
          <w:sz w:val="22"/>
          <w:szCs w:val="22"/>
        </w:rPr>
        <w:t xml:space="preserve">Tanda ruptur uteri imminen: lingkaran Bandl yang meninggi dan nyeri tekan menetap pada segmen bawah rahim — kegawatdaruratan yang memerlukan tindakan segera.</w:t>
      </w:r>
    </w:p>
    <w:p>
      <w:pPr>
        <w:pStyle w:val="Heading1"/>
        <w:spacing w:after="140" w:before="320"/>
      </w:pPr>
      <w:r>
        <w:rPr>
          <w:rFonts w:ascii="Source Serif 4" w:cs="Source Serif 4" w:eastAsia="Source Serif 4" w:hAnsi="Source Serif 4"/>
          <w:b/>
          <w:bCs/>
          <w:color w:val="4F46E5"/>
          <w:sz w:val="30"/>
          <w:szCs w:val="30"/>
        </w:rPr>
        <w:t xml:space="preserve">4. Kriteria Diagnosis</w:t>
      </w:r>
    </w:p>
    <w:p>
      <w:pPr>
        <w:spacing w:after="160" w:line="300"/>
      </w:pPr>
      <w:r>
        <w:rPr>
          <w:rFonts w:ascii="IBM Plex Sans" w:cs="IBM Plex Sans" w:eastAsia="IBM Plex Sans" w:hAnsi="IBM Plex Sans"/>
          <w:color w:val="334155"/>
          <w:sz w:val="22"/>
          <w:szCs w:val="22"/>
        </w:rPr>
        <w:t xml:space="preserve">Diagnosis persalinan macet (ICD-10 O66.9; ICD-11 JB06) ditegakkan berdasarkan evaluasi longitudinal kemajuan persalinan menggunakan WHO Labour Care Guide (lihat bagian 6), dikombinasikan dengan pemeriksaan dalam berkala serta penyingkiran penyebab spesifik. Kriteria kuantitatif berikut merujuk pada konsensus ACOG/Society for Maternal-Fetal Medicine (SMFM) yang paling luas diadopsi secara internasional.</w:t>
      </w:r>
    </w:p>
    <w:p>
      <w:pPr>
        <w:spacing w:after="160" w:line="300"/>
      </w:pPr>
      <w:r>
        <w:rPr>
          <w:rFonts w:ascii="IBM Plex Sans" w:cs="IBM Plex Sans" w:eastAsia="IBM Plex Sans" w:hAnsi="IBM Plex Sans"/>
          <w:color w:val="334155"/>
          <w:sz w:val="22"/>
          <w:szCs w:val="22"/>
        </w:rPr>
        <w:t xml:space="preserve">Fase aktif kala I baru dianggap dimulai pada pembukaan 6 cm; standar kemajuan fase aktif tidak diterapkan sebelum ambang ini. Protracted labor pada fase aktif ditandai laju dilatasi serviks yang lebih lambat dari batas normal populasi kontemporer, dengan mempertimbangkan bahwa laju 1 cm/jam yang dahulu dianggap baku (kurva Friedman) tidak lagi digunakan sebagai satu-satunya ambang, karena variasi fisiologis normal — terutama pada nulipara — dapat berlangsung lebih lambat tanpa membahayakan ibu maupun janin.</w:t>
      </w:r>
    </w:p>
    <w:p>
      <w:pPr>
        <w:spacing w:after="160" w:line="300"/>
      </w:pPr>
      <w:r>
        <w:rPr>
          <w:rFonts w:ascii="IBM Plex Sans" w:cs="IBM Plex Sans" w:eastAsia="IBM Plex Sans" w:hAnsi="IBM Plex Sans"/>
          <w:color w:val="334155"/>
          <w:sz w:val="22"/>
          <w:szCs w:val="22"/>
        </w:rPr>
        <w:t xml:space="preserve">Arrested labor (kegagalan kemajuan) pada kala I ditegakkan bila pada pembukaan serviks ≥6 cm dengan ketuban telah pecah, tidak terdapat perubahan dilatasi serviks meski kontraksi adekuat (≥6 kontraksi per 10 menit selama ≥4 jam), atau meski kontraksi belum adekuat namun telah diaugmentasi oksitosin selama ≥6 jam tanpa perubahan serviks.</w:t>
      </w:r>
    </w:p>
    <w:p>
      <w:pPr>
        <w:spacing w:after="160" w:line="300"/>
      </w:pPr>
      <w:r>
        <w:rPr>
          <w:rFonts w:ascii="IBM Plex Sans" w:cs="IBM Plex Sans" w:eastAsia="IBM Plex Sans" w:hAnsi="IBM Plex Sans"/>
          <w:color w:val="334155"/>
          <w:sz w:val="22"/>
          <w:szCs w:val="22"/>
        </w:rPr>
        <w:t xml:space="preserve">Kala II memanjang dinilai berdasarkan durasi mengejan tanpa kemajuan penurunan kepala setelah pembukaan lengkap: pada nulipara, lebih dari 3 jam dengan anestesi regional atau lebih dari 2 jam tanpa anestesi regional; pada multipara, lebih dari 2 jam dengan anestesi regional atau lebih dari 1 jam tanpa anestesi regional. Ambang operasional yang sejalan juga digunakan dalam Panduan EmONC (Emergency Obstetric and Newborn Care) WHO/UNFPA/UNICEF: penurunan bagian terbawah janin kurang dari 1 cm per jam pada nulipara, atau kurang dari 2 cm per jam pada multipara, sebagai indikator kala II memanjang.</w:t>
      </w:r>
    </w:p>
    <w:p>
      <w:pPr>
        <w:spacing w:after="160" w:line="300"/>
      </w:pPr>
      <w:r>
        <w:rPr>
          <w:rFonts w:ascii="IBM Plex Sans" w:cs="IBM Plex Sans" w:eastAsia="IBM Plex Sans" w:hAnsi="IBM Plex Sans"/>
          <w:color w:val="334155"/>
          <w:sz w:val="22"/>
          <w:szCs w:val="22"/>
        </w:rPr>
        <w:t xml:space="preserve">Diagnosis kerja akhir mengintegrasikan temuan pemantauan longitudinal, pemeriksaan dalam berkala, dan identifikasi faktor etiologi dominan (power, passage, atau passenger) — bukan berdasarkan satu titik waktu pemeriksaan saja.</w:t>
      </w:r>
    </w:p>
    <w:p>
      <w:pPr>
        <w:pStyle w:val="Heading1"/>
        <w:spacing w:after="140" w:before="32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334155"/>
          <w:sz w:val="22"/>
          <w:szCs w:val="22"/>
        </w:rPr>
        <w:t xml:space="preserve">Diagnosis kerja: Persalinan macet (dystocia), dispesifikasi menurut faktor etiologi dominan yang teridentifikasi:</w:t>
      </w:r>
    </w:p>
    <w:p>
      <w:pPr>
        <w:pStyle w:val="ListParagraph"/>
        <w:numPr>
          <w:ilvl w:val="0"/>
          <w:numId w:val="1"/>
        </w:numPr>
        <w:spacing w:after="90" w:line="290"/>
      </w:pPr>
      <w:r>
        <w:rPr>
          <w:rFonts w:ascii="IBM Plex Sans" w:cs="IBM Plex Sans" w:eastAsia="IBM Plex Sans" w:hAnsi="IBM Plex Sans"/>
          <w:color w:val="334155"/>
          <w:sz w:val="22"/>
          <w:szCs w:val="22"/>
        </w:rPr>
        <w:t xml:space="preserve">Kelainan tenaga (power): inersia uteri hipotonik (kontraksi lemah/jarang) atau hipertonik (kontraksi tidak terkoordinasi, sering nyeri hebat tanpa kemajuan efektif).</w:t>
      </w:r>
    </w:p>
    <w:p>
      <w:pPr>
        <w:pStyle w:val="ListParagraph"/>
        <w:numPr>
          <w:ilvl w:val="0"/>
          <w:numId w:val="1"/>
        </w:numPr>
        <w:spacing w:after="90" w:line="290"/>
      </w:pPr>
      <w:r>
        <w:rPr>
          <w:rFonts w:ascii="IBM Plex Sans" w:cs="IBM Plex Sans" w:eastAsia="IBM Plex Sans" w:hAnsi="IBM Plex Sans"/>
          <w:color w:val="334155"/>
          <w:sz w:val="22"/>
          <w:szCs w:val="22"/>
        </w:rPr>
        <w:t xml:space="preserve">Kelainan jalan lahir (passage): disproporsi sefalopelvik (CPD), kelainan struktur atau ukuran panggul, massa jalan lahir yang menghalangi.</w:t>
      </w:r>
    </w:p>
    <w:p>
      <w:pPr>
        <w:pStyle w:val="ListParagraph"/>
        <w:numPr>
          <w:ilvl w:val="0"/>
          <w:numId w:val="1"/>
        </w:numPr>
        <w:spacing w:after="90" w:line="290"/>
      </w:pPr>
      <w:r>
        <w:rPr>
          <w:rFonts w:ascii="IBM Plex Sans" w:cs="IBM Plex Sans" w:eastAsia="IBM Plex Sans" w:hAnsi="IBM Plex Sans"/>
          <w:color w:val="334155"/>
          <w:sz w:val="22"/>
          <w:szCs w:val="22"/>
        </w:rPr>
        <w:t xml:space="preserve">Kelainan janin (passenger): malpresentasi (sungsang, letak lintang), malposisi (oksiput posterior/transversal persisten), makrosomia, atau kelainan kongenital janin yang menghambat penurunan.</w:t>
      </w:r>
    </w:p>
    <w:p>
      <w:pPr>
        <w:spacing w:after="160" w:line="300"/>
      </w:pPr>
      <w:r>
        <w:rPr>
          <w:rFonts w:ascii="IBM Plex Sans" w:cs="IBM Plex Sans" w:eastAsia="IBM Plex Sans" w:hAnsi="IBM Plex Sans"/>
          <w:color w:val="334155"/>
          <w:sz w:val="22"/>
          <w:szCs w:val="22"/>
        </w:rPr>
        <w:t xml:space="preserve">Diagnosis banding yang wajib disingkirkan: persalinan palsu (false labor, kontraksi Braxton-Hicks yang disalahartikan sebagai persalinan aktif), distosia bahu (kegawatdaruratan terpisah yang terjadi setelah kepala lahir), ruptur uteri, serta gawat janin murni tanpa hambatan mekanis kemajuan persalinan yang dapat menyerupai gambaran klinis serupa pada pemantauan.</w:t>
      </w:r>
    </w:p>
    <w:p>
      <w:pPr>
        <w:pStyle w:val="Heading1"/>
        <w:spacing w:after="140" w:before="320"/>
      </w:pPr>
      <w:r>
        <w:rPr>
          <w:rFonts w:ascii="Source Serif 4" w:cs="Source Serif 4" w:eastAsia="Source Serif 4" w:hAnsi="Source Serif 4"/>
          <w:b/>
          <w:bCs/>
          <w:color w:val="4F46E5"/>
          <w:sz w:val="30"/>
          <w:szCs w:val="30"/>
        </w:rPr>
        <w:t xml:space="preserve">6. Pemeriksaan Penunjang</w:t>
      </w:r>
    </w:p>
    <w:p>
      <w:pPr>
        <w:spacing w:after="160" w:line="300"/>
      </w:pPr>
      <w:r>
        <w:rPr>
          <w:rFonts w:ascii="IBM Plex Sans" w:cs="IBM Plex Sans" w:eastAsia="IBM Plex Sans" w:hAnsi="IBM Plex Sans"/>
          <w:color w:val="334155"/>
          <w:sz w:val="22"/>
          <w:szCs w:val="22"/>
        </w:rPr>
        <w:t xml:space="preserve">Pemeriksaan penunjang bertujuan mengonfirmasi etiologi, menilai kesejahteraan janin, dan mempersiapkan kemungkinan tindakan operatif.</w:t>
      </w:r>
    </w:p>
    <w:p>
      <w:pPr>
        <w:pStyle w:val="ListParagraph"/>
        <w:numPr>
          <w:ilvl w:val="0"/>
          <w:numId w:val="1"/>
        </w:numPr>
        <w:spacing w:after="90" w:line="290"/>
      </w:pPr>
      <w:r>
        <w:rPr>
          <w:rFonts w:ascii="IBM Plex Sans" w:cs="IBM Plex Sans" w:eastAsia="IBM Plex Sans" w:hAnsi="IBM Plex Sans"/>
          <w:color w:val="334155"/>
          <w:sz w:val="22"/>
          <w:szCs w:val="22"/>
        </w:rPr>
        <w:t xml:space="preserve">WHO Labour Care Guide (LCG) — instrumen pemantauan longitudinal utama yang berlaku saat ini, menggantikan partograf konvensional sejak diperkenalkan WHO pada 2020 sebagai implementasi praktis rekomendasi intrapartum WHO 2018. LCG mencatat dilatasi serviks, penurunan kepala, pola his, DJJ, tanda vital ibu, serta elemen dukungan asuhan (mobilitas, asupan oral, pendampingan) secara terintegrasi per jam.</w:t>
      </w:r>
    </w:p>
    <w:p>
      <w:pPr>
        <w:pStyle w:val="ListParagraph"/>
        <w:numPr>
          <w:ilvl w:val="0"/>
          <w:numId w:val="1"/>
        </w:numPr>
        <w:spacing w:after="90" w:line="290"/>
      </w:pPr>
      <w:r>
        <w:rPr>
          <w:rFonts w:ascii="IBM Plex Sans" w:cs="IBM Plex Sans" w:eastAsia="IBM Plex Sans" w:hAnsi="IBM Plex Sans"/>
          <w:color w:val="334155"/>
          <w:sz w:val="22"/>
          <w:szCs w:val="22"/>
        </w:rPr>
        <w:t xml:space="preserve">Kardiotokografi (CTG) kontinu untuk menilai kesejahteraan janin bila tersedia dan terindikasi secara klinis.</w:t>
      </w:r>
    </w:p>
    <w:p>
      <w:pPr>
        <w:pStyle w:val="ListParagraph"/>
        <w:numPr>
          <w:ilvl w:val="0"/>
          <w:numId w:val="1"/>
        </w:numPr>
        <w:spacing w:after="90" w:line="290"/>
      </w:pPr>
      <w:r>
        <w:rPr>
          <w:rFonts w:ascii="IBM Plex Sans" w:cs="IBM Plex Sans" w:eastAsia="IBM Plex Sans" w:hAnsi="IBM Plex Sans"/>
          <w:color w:val="334155"/>
          <w:sz w:val="22"/>
          <w:szCs w:val="22"/>
        </w:rPr>
        <w:t xml:space="preserve">Ultrasonografi (USG) obstetri: estimasi berat janin, konfirmasi presentasi dan posisi kepala (oksiput), serta volume cairan ketuban.</w:t>
      </w:r>
    </w:p>
    <w:p>
      <w:pPr>
        <w:pStyle w:val="ListParagraph"/>
        <w:numPr>
          <w:ilvl w:val="0"/>
          <w:numId w:val="1"/>
        </w:numPr>
        <w:spacing w:after="90" w:line="290"/>
      </w:pPr>
      <w:r>
        <w:rPr>
          <w:rFonts w:ascii="IBM Plex Sans" w:cs="IBM Plex Sans" w:eastAsia="IBM Plex Sans" w:hAnsi="IBM Plex Sans"/>
          <w:color w:val="334155"/>
          <w:sz w:val="22"/>
          <w:szCs w:val="22"/>
        </w:rPr>
        <w:t xml:space="preserve">Pelvimetri klinis rutin pada setiap kasus dengan kecurigaan CPD; pelvimetri radiologis (CT/MRI) tidak direkomendasikan secara rutin dan hanya dipertimbangkan pada indikasi khusus mengingat keterbatasan nilai prediktif serta pertimbangan radiasi/biaya.</w:t>
      </w:r>
    </w:p>
    <w:p>
      <w:pPr>
        <w:pStyle w:val="ListParagraph"/>
        <w:numPr>
          <w:ilvl w:val="0"/>
          <w:numId w:val="1"/>
        </w:numPr>
        <w:spacing w:after="90" w:line="290"/>
      </w:pPr>
      <w:r>
        <w:rPr>
          <w:rFonts w:ascii="IBM Plex Sans" w:cs="IBM Plex Sans" w:eastAsia="IBM Plex Sans" w:hAnsi="IBM Plex Sans"/>
          <w:color w:val="334155"/>
          <w:sz w:val="22"/>
          <w:szCs w:val="22"/>
        </w:rPr>
        <w:t xml:space="preserve">Pemeriksaan laboratorium: darah perifer lengkap, golongan darah dan uji cocok silang sebagai antisipasi tindakan operatif atau perdarahan, profil koagulasi bila dicurigai komplikasi.</w:t>
      </w:r>
    </w:p>
    <w:p>
      <w:pPr>
        <w:pStyle w:val="Heading1"/>
        <w:spacing w:after="140" w:before="320"/>
      </w:pPr>
      <w:r>
        <w:rPr>
          <w:rFonts w:ascii="Source Serif 4" w:cs="Source Serif 4" w:eastAsia="Source Serif 4" w:hAnsi="Source Serif 4"/>
          <w:b/>
          <w:bCs/>
          <w:color w:val="4F46E5"/>
          <w:sz w:val="30"/>
          <w:szCs w:val="30"/>
        </w:rPr>
        <w:t xml:space="preserve">7. Tata Laksana</w:t>
      </w:r>
    </w:p>
    <w:p>
      <w:pPr>
        <w:pStyle w:val="Heading2"/>
        <w:spacing w:after="120" w:before="220"/>
      </w:pPr>
      <w:r>
        <w:rPr>
          <w:rFonts w:ascii="Source Serif 4" w:cs="Source Serif 4" w:eastAsia="Source Serif 4" w:hAnsi="Source Serif 4"/>
          <w:b/>
          <w:bCs/>
          <w:color w:val="4F46E5"/>
          <w:sz w:val="25"/>
          <w:szCs w:val="25"/>
        </w:rPr>
        <w:t xml:space="preserve">7.1 Tata Laksana Non-Farmakologis</w:t>
      </w:r>
    </w:p>
    <w:p>
      <w:pPr>
        <w:pStyle w:val="ListParagraph"/>
        <w:numPr>
          <w:ilvl w:val="0"/>
          <w:numId w:val="1"/>
        </w:numPr>
        <w:spacing w:after="90" w:line="290"/>
      </w:pPr>
      <w:r>
        <w:rPr>
          <w:rFonts w:ascii="IBM Plex Sans" w:cs="IBM Plex Sans" w:eastAsia="IBM Plex Sans" w:hAnsi="IBM Plex Sans"/>
          <w:color w:val="334155"/>
          <w:sz w:val="22"/>
          <w:szCs w:val="22"/>
        </w:rPr>
        <w:t xml:space="preserve">Mobilisasi dan perubahan posisi ibu secara berkala untuk memfasilitasi rotasi dan penurunan kepala janin.</w:t>
      </w:r>
    </w:p>
    <w:p>
      <w:pPr>
        <w:pStyle w:val="ListParagraph"/>
        <w:numPr>
          <w:ilvl w:val="0"/>
          <w:numId w:val="1"/>
        </w:numPr>
        <w:spacing w:after="90" w:line="290"/>
      </w:pPr>
      <w:r>
        <w:rPr>
          <w:rFonts w:ascii="IBM Plex Sans" w:cs="IBM Plex Sans" w:eastAsia="IBM Plex Sans" w:hAnsi="IBM Plex Sans"/>
          <w:color w:val="334155"/>
          <w:sz w:val="22"/>
          <w:szCs w:val="22"/>
        </w:rPr>
        <w:t xml:space="preserve">Dukungan persalinan berkesinambungan (continuous labor support) oleh pendamping terlatih — terbukti menurunkan angka seksio sesarea dan meningkatkan kepuasan ibu terhadap pengalaman melahirkan (lihat bagian 12).</w:t>
      </w:r>
    </w:p>
    <w:p>
      <w:pPr>
        <w:pStyle w:val="ListParagraph"/>
        <w:numPr>
          <w:ilvl w:val="0"/>
          <w:numId w:val="1"/>
        </w:numPr>
        <w:spacing w:after="90" w:line="290"/>
      </w:pPr>
      <w:r>
        <w:rPr>
          <w:rFonts w:ascii="IBM Plex Sans" w:cs="IBM Plex Sans" w:eastAsia="IBM Plex Sans" w:hAnsi="IBM Plex Sans"/>
          <w:color w:val="334155"/>
          <w:sz w:val="22"/>
          <w:szCs w:val="22"/>
        </w:rPr>
        <w:t xml:space="preserve">Amniotomi (pemecahan ketuban buatan) bila ketuban masih intak dan syarat klinis terpenuhi, untuk mempercepat kemajuan persalinan; tidak dilakukan secara rutin pada persalinan yang berjalan normal.</w:t>
      </w:r>
    </w:p>
    <w:p>
      <w:pPr>
        <w:pStyle w:val="ListParagraph"/>
        <w:numPr>
          <w:ilvl w:val="0"/>
          <w:numId w:val="1"/>
        </w:numPr>
        <w:spacing w:after="90" w:line="290"/>
      </w:pPr>
      <w:r>
        <w:rPr>
          <w:rFonts w:ascii="IBM Plex Sans" w:cs="IBM Plex Sans" w:eastAsia="IBM Plex Sans" w:hAnsi="IBM Plex Sans"/>
          <w:color w:val="334155"/>
          <w:sz w:val="22"/>
          <w:szCs w:val="22"/>
        </w:rPr>
        <w:t xml:space="preserve">Hidrasi dan asupan oral adekuat, serta manajemen nyeri non-farmakologis (perubahan posisi, pijat, teknik relaksasi napas).</w:t>
      </w:r>
    </w:p>
    <w:p>
      <w:pPr>
        <w:pStyle w:val="Heading2"/>
        <w:spacing w:after="120" w:before="220"/>
      </w:pPr>
      <w:r>
        <w:rPr>
          <w:rFonts w:ascii="Source Serif 4" w:cs="Source Serif 4" w:eastAsia="Source Serif 4" w:hAnsi="Source Serif 4"/>
          <w:b/>
          <w:bCs/>
          <w:color w:val="4F46E5"/>
          <w:sz w:val="25"/>
          <w:szCs w:val="25"/>
        </w:rPr>
        <w:t xml:space="preserve">7.2 Tata Laksana Farmakologis</w:t>
      </w:r>
    </w:p>
    <w:p>
      <w:pPr>
        <w:pStyle w:val="ListParagraph"/>
        <w:numPr>
          <w:ilvl w:val="0"/>
          <w:numId w:val="1"/>
        </w:numPr>
        <w:spacing w:after="90" w:line="290"/>
      </w:pPr>
      <w:r>
        <w:rPr>
          <w:rFonts w:ascii="IBM Plex Sans" w:cs="IBM Plex Sans" w:eastAsia="IBM Plex Sans" w:hAnsi="IBM Plex Sans"/>
          <w:color w:val="334155"/>
          <w:sz w:val="22"/>
          <w:szCs w:val="22"/>
        </w:rPr>
        <w:t xml:space="preserve">Augmentasi oksitosin intravena dengan titrasi bertahap sesuai protokol institusi: interval peningkatan dosis tidak lebih sering dari setiap 30 menit, dinaikkan hingga tercapai 4–5 kontraksi adekuat per 10 menit, disertai pemantauan DJJ ketat.</w:t>
      </w:r>
    </w:p>
    <w:p>
      <w:pPr>
        <w:pStyle w:val="ListParagraph"/>
        <w:numPr>
          <w:ilvl w:val="0"/>
          <w:numId w:val="1"/>
        </w:numPr>
        <w:spacing w:after="90" w:line="290"/>
      </w:pPr>
      <w:r>
        <w:rPr>
          <w:rFonts w:ascii="IBM Plex Sans" w:cs="IBM Plex Sans" w:eastAsia="IBM Plex Sans" w:hAnsi="IBM Plex Sans"/>
          <w:color w:val="334155"/>
          <w:sz w:val="22"/>
          <w:szCs w:val="22"/>
        </w:rPr>
        <w:t xml:space="preserve">Evaluasi ulang kemajuan serviks melalui pemeriksaan dalam sekitar 4 jam setelah augmentasi oksitosin dimulai pada persalinan yang telah mapan; bila kemajuan dilatasi kurang dari 2 cm dalam interval tersebut, dilakukan evaluasi obstetrik lanjutan untuk menilai kebutuhan tindakan operatif.</w:t>
      </w:r>
    </w:p>
    <w:p>
      <w:pPr>
        <w:pStyle w:val="ListParagraph"/>
        <w:numPr>
          <w:ilvl w:val="0"/>
          <w:numId w:val="1"/>
        </w:numPr>
        <w:spacing w:after="90" w:line="290"/>
      </w:pPr>
      <w:r>
        <w:rPr>
          <w:rFonts w:ascii="IBM Plex Sans" w:cs="IBM Plex Sans" w:eastAsia="IBM Plex Sans" w:hAnsi="IBM Plex Sans"/>
          <w:color w:val="334155"/>
          <w:sz w:val="22"/>
          <w:szCs w:val="22"/>
        </w:rPr>
        <w:t xml:space="preserve">Analgesia epidural sesuai indikasi klinis, preferensi pasien, dan ketersediaan fasilitas.</w:t>
      </w:r>
    </w:p>
    <w:p>
      <w:pPr>
        <w:pStyle w:val="ListParagraph"/>
        <w:numPr>
          <w:ilvl w:val="0"/>
          <w:numId w:val="1"/>
        </w:numPr>
        <w:spacing w:after="90" w:line="290"/>
      </w:pPr>
      <w:r>
        <w:rPr>
          <w:rFonts w:ascii="IBM Plex Sans" w:cs="IBM Plex Sans" w:eastAsia="IBM Plex Sans" w:hAnsi="IBM Plex Sans"/>
          <w:color w:val="334155"/>
          <w:sz w:val="22"/>
          <w:szCs w:val="22"/>
        </w:rPr>
        <w:t xml:space="preserve">Antibiotik profilaksis dipertimbangkan bila terdapat ketuban pecah lama untuk menurunkan risiko infeksi intrapartum.</w:t>
      </w:r>
    </w:p>
    <w:p>
      <w:pPr>
        <w:pStyle w:val="Heading2"/>
        <w:spacing w:after="120" w:before="220"/>
      </w:pPr>
      <w:r>
        <w:rPr>
          <w:rFonts w:ascii="Source Serif 4" w:cs="Source Serif 4" w:eastAsia="Source Serif 4" w:hAnsi="Source Serif 4"/>
          <w:b/>
          <w:bCs/>
          <w:color w:val="4F46E5"/>
          <w:sz w:val="25"/>
          <w:szCs w:val="25"/>
        </w:rPr>
        <w:t xml:space="preserve">7.3 Tata Laksana Bedah/Prosedural</w:t>
      </w:r>
    </w:p>
    <w:p>
      <w:pPr>
        <w:pStyle w:val="ListParagraph"/>
        <w:numPr>
          <w:ilvl w:val="0"/>
          <w:numId w:val="1"/>
        </w:numPr>
        <w:spacing w:after="90" w:line="290"/>
      </w:pPr>
      <w:r>
        <w:rPr>
          <w:rFonts w:ascii="IBM Plex Sans" w:cs="IBM Plex Sans" w:eastAsia="IBM Plex Sans" w:hAnsi="IBM Plex Sans"/>
          <w:color w:val="334155"/>
          <w:sz w:val="22"/>
          <w:szCs w:val="22"/>
        </w:rPr>
        <w:t xml:space="preserve">Seksio sesarea diindikasikan bila diagnosis arrested labor telah tegak sesuai kriteria bagian 4, terdapat tanda gawat janin, atau terdapat kontraindikasi augmentasi/persalinan pervaginam seperti CPD absolut atau malpresentasi yang tidak dapat dikoreksi.</w:t>
      </w:r>
    </w:p>
    <w:p>
      <w:pPr>
        <w:pStyle w:val="ListParagraph"/>
        <w:numPr>
          <w:ilvl w:val="0"/>
          <w:numId w:val="1"/>
        </w:numPr>
        <w:spacing w:after="90" w:line="290"/>
      </w:pPr>
      <w:r>
        <w:rPr>
          <w:rFonts w:ascii="IBM Plex Sans" w:cs="IBM Plex Sans" w:eastAsia="IBM Plex Sans" w:hAnsi="IBM Plex Sans"/>
          <w:color w:val="334155"/>
          <w:sz w:val="22"/>
          <w:szCs w:val="22"/>
        </w:rPr>
        <w:t xml:space="preserve">Ekstraksi vakum atau forsep dapat dipertimbangkan pada kala II memanjang bila syarat klinis terpenuhi (pembukaan lengkap, kepala telah engaged, tidak ada kecurigaan CPD) dan dilakukan oleh operator yang kompeten, dengan kesiapan konversi ke seksio sesarea bila gagal.</w:t>
      </w:r>
    </w:p>
    <w:p>
      <w:pPr>
        <w:pStyle w:val="Heading2"/>
        <w:spacing w:after="120" w:before="220"/>
      </w:pPr>
      <w:r>
        <w:rPr>
          <w:rFonts w:ascii="Source Serif 4" w:cs="Source Serif 4" w:eastAsia="Source Serif 4" w:hAnsi="Source Serif 4"/>
          <w:b/>
          <w:bCs/>
          <w:color w:val="4F46E5"/>
          <w:sz w:val="25"/>
          <w:szCs w:val="25"/>
        </w:rPr>
        <w:t xml:space="preserve">7.4 Kriteria Rujukan ke Subspesialis Fetomaternal</w:t>
      </w:r>
    </w:p>
    <w:p>
      <w:pPr>
        <w:pStyle w:val="ListParagraph"/>
        <w:numPr>
          <w:ilvl w:val="0"/>
          <w:numId w:val="1"/>
        </w:numPr>
        <w:spacing w:after="90" w:line="290"/>
      </w:pPr>
      <w:r>
        <w:rPr>
          <w:rFonts w:ascii="IBM Plex Sans" w:cs="IBM Plex Sans" w:eastAsia="IBM Plex Sans" w:hAnsi="IBM Plex Sans"/>
          <w:color w:val="334155"/>
          <w:sz w:val="22"/>
          <w:szCs w:val="22"/>
        </w:rPr>
        <w:t xml:space="preserve">Komorbiditas maternal berat yang menyertai (penyakit jantung, preeklamsia dengan gejala berat).</w:t>
      </w:r>
    </w:p>
    <w:p>
      <w:pPr>
        <w:pStyle w:val="ListParagraph"/>
        <w:numPr>
          <w:ilvl w:val="0"/>
          <w:numId w:val="1"/>
        </w:numPr>
        <w:spacing w:after="90" w:line="290"/>
      </w:pPr>
      <w:r>
        <w:rPr>
          <w:rFonts w:ascii="IBM Plex Sans" w:cs="IBM Plex Sans" w:eastAsia="IBM Plex Sans" w:hAnsi="IBM Plex Sans"/>
          <w:color w:val="334155"/>
          <w:sz w:val="22"/>
          <w:szCs w:val="22"/>
        </w:rPr>
        <w:t xml:space="preserve">Riwayat seksio sesarea berulang dengan kecurigaan tanda ruptur uteri.</w:t>
      </w:r>
    </w:p>
    <w:p>
      <w:pPr>
        <w:pStyle w:val="ListParagraph"/>
        <w:numPr>
          <w:ilvl w:val="0"/>
          <w:numId w:val="1"/>
        </w:numPr>
        <w:spacing w:after="90" w:line="290"/>
      </w:pPr>
      <w:r>
        <w:rPr>
          <w:rFonts w:ascii="IBM Plex Sans" w:cs="IBM Plex Sans" w:eastAsia="IBM Plex Sans" w:hAnsi="IBM Plex Sans"/>
          <w:color w:val="334155"/>
          <w:sz w:val="22"/>
          <w:szCs w:val="22"/>
        </w:rPr>
        <w:t xml:space="preserve">Kelainan struktur panggul kompleks yang memerlukan penilaian subspesialistik.</w:t>
      </w:r>
    </w:p>
    <w:p>
      <w:pPr>
        <w:pStyle w:val="ListParagraph"/>
        <w:numPr>
          <w:ilvl w:val="0"/>
          <w:numId w:val="1"/>
        </w:numPr>
        <w:spacing w:after="90" w:line="290"/>
      </w:pPr>
      <w:r>
        <w:rPr>
          <w:rFonts w:ascii="IBM Plex Sans" w:cs="IBM Plex Sans" w:eastAsia="IBM Plex Sans" w:hAnsi="IBM Plex Sans"/>
          <w:color w:val="334155"/>
          <w:sz w:val="22"/>
          <w:szCs w:val="22"/>
        </w:rPr>
        <w:t xml:space="preserve">Janin dengan kelainan kongenital yang mempersulit mekanisme persalinan.</w:t>
      </w:r>
    </w:p>
    <w:p>
      <w:pPr>
        <w:pStyle w:val="ListParagraph"/>
        <w:numPr>
          <w:ilvl w:val="0"/>
          <w:numId w:val="1"/>
        </w:numPr>
        <w:spacing w:after="90" w:line="290"/>
      </w:pPr>
      <w:r>
        <w:rPr>
          <w:rFonts w:ascii="IBM Plex Sans" w:cs="IBM Plex Sans" w:eastAsia="IBM Plex Sans" w:hAnsi="IBM Plex Sans"/>
          <w:color w:val="334155"/>
          <w:sz w:val="22"/>
          <w:szCs w:val="22"/>
        </w:rPr>
        <w:t xml:space="preserve">Fasilitas pelayanan tanpa kemampuan seksio sesarea emergensi segera — dirujuk sesuai sistem rujukan berjenjang sebelum kondisi memburuk.</w:t>
      </w:r>
    </w:p>
    <w:p>
      <w:pPr>
        <w:pStyle w:val="Heading1"/>
        <w:spacing w:after="14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90" w:line="290"/>
      </w:pPr>
      <w:r>
        <w:rPr>
          <w:rFonts w:ascii="IBM Plex Sans" w:cs="IBM Plex Sans" w:eastAsia="IBM Plex Sans" w:hAnsi="IBM Plex Sans"/>
          <w:color w:val="334155"/>
          <w:sz w:val="22"/>
          <w:szCs w:val="22"/>
        </w:rPr>
        <w:t xml:space="preserve">Menjelaskan proses persalinan macet dalam bahasa yang mudah dipahami, kemungkinan penyebab, serta pilihan tata laksana (augmentasi vs tindakan operatif) beserta risiko dan manfaatnya.</w:t>
      </w:r>
    </w:p>
    <w:p>
      <w:pPr>
        <w:pStyle w:val="ListParagraph"/>
        <w:numPr>
          <w:ilvl w:val="0"/>
          <w:numId w:val="1"/>
        </w:numPr>
        <w:spacing w:after="90" w:line="290"/>
      </w:pPr>
      <w:r>
        <w:rPr>
          <w:rFonts w:ascii="IBM Plex Sans" w:cs="IBM Plex Sans" w:eastAsia="IBM Plex Sans" w:hAnsi="IBM Plex Sans"/>
          <w:color w:val="334155"/>
          <w:sz w:val="22"/>
          <w:szCs w:val="22"/>
        </w:rPr>
        <w:t xml:space="preserve">Memperoleh persetujuan tindakan medis (informed consent) tertulis sebelum tindakan operatif atau instrumental.</w:t>
      </w:r>
    </w:p>
    <w:p>
      <w:pPr>
        <w:pStyle w:val="ListParagraph"/>
        <w:numPr>
          <w:ilvl w:val="0"/>
          <w:numId w:val="1"/>
        </w:numPr>
        <w:spacing w:after="90" w:line="290"/>
      </w:pPr>
      <w:r>
        <w:rPr>
          <w:rFonts w:ascii="IBM Plex Sans" w:cs="IBM Plex Sans" w:eastAsia="IBM Plex Sans" w:hAnsi="IBM Plex Sans"/>
          <w:color w:val="334155"/>
          <w:sz w:val="22"/>
          <w:szCs w:val="22"/>
        </w:rPr>
        <w:t xml:space="preserve">Edukasi tanda bahaya pascapersalinan — perdarahan dan infeksi — khususnya bila persalinan berujung trauma jalan lahir atau tindakan operatif.</w:t>
      </w:r>
    </w:p>
    <w:p>
      <w:pPr>
        <w:pStyle w:val="ListParagraph"/>
        <w:numPr>
          <w:ilvl w:val="0"/>
          <w:numId w:val="1"/>
        </w:numPr>
        <w:spacing w:after="90" w:line="290"/>
      </w:pPr>
      <w:r>
        <w:rPr>
          <w:rFonts w:ascii="IBM Plex Sans" w:cs="IBM Plex Sans" w:eastAsia="IBM Plex Sans" w:hAnsi="IBM Plex Sans"/>
          <w:color w:val="334155"/>
          <w:sz w:val="22"/>
          <w:szCs w:val="22"/>
        </w:rPr>
        <w:t xml:space="preserve">Memberikan dukungan psikologis, terutama pada kasus yang berujung seksio sesarea darurat, karena dapat memengaruhi persepsi pengalaman melahirkan ibu.</w:t>
      </w:r>
    </w:p>
    <w:p>
      <w:pPr>
        <w:pStyle w:val="Heading1"/>
        <w:spacing w:after="140" w:before="32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334155"/>
          <w:sz w:val="22"/>
          <w:szCs w:val="22"/>
        </w:rPr>
        <w:t xml:space="preserve">Prognosis maternal dan janin pada umumnya baik apabila dystocia dikenali dan ditangani tepat waktu. Keterlambatan diagnosis atau intervensi meningkatkan risiko ruptur uteri, perdarahan pascapersalinan, infeksi intrapartum/pascapersalinan, serta asfiksia dan trauma lahir pada neonatus.</w:t>
      </w:r>
    </w:p>
    <w:p>
      <w:pPr>
        <w:spacing w:after="160" w:line="300"/>
      </w:pPr>
      <w:r>
        <w:rPr>
          <w:rFonts w:ascii="IBM Plex Sans" w:cs="IBM Plex Sans" w:eastAsia="IBM Plex Sans" w:hAnsi="IBM Plex Sans"/>
          <w:color w:val="334155"/>
          <w:sz w:val="22"/>
          <w:szCs w:val="22"/>
        </w:rPr>
        <w:t xml:space="preserve">Riwayat persalinan macet pada kehamilan sebelumnya bukan merupakan indikasi mutlak untuk seksio sesarea elektif berulang; evaluasi dilakukan per kasus, dan persalinan pervaginam setelah seksio sesarea (VBAC) tetap dapat dipertimbangkan sesuai kriteria seleksi yang berlaku.</w:t>
      </w:r>
    </w:p>
    <w:p>
      <w:pPr>
        <w:spacing w:after="160" w:line="300"/>
      </w:pPr>
      <w:r>
        <w:rPr>
          <w:rFonts w:ascii="IBM Plex Sans" w:cs="IBM Plex Sans" w:eastAsia="IBM Plex Sans" w:hAnsi="IBM Plex Sans"/>
          <w:color w:val="334155"/>
          <w:sz w:val="22"/>
          <w:szCs w:val="22"/>
        </w:rPr>
        <w:t xml:space="preserve">[DATA: rujuk laporan/registri resmi terbaru — mis. Kemenkes, POGI] untuk angka morbiditas dan mortalitas maternal-perinatal nasional terkait persalinan macet.</w:t>
      </w:r>
    </w:p>
    <w:p>
      <w:pPr>
        <w:pStyle w:val="Heading1"/>
        <w:spacing w:after="140" w:before="320"/>
      </w:pPr>
      <w:r>
        <w:rPr>
          <w:rFonts w:ascii="Source Serif 4" w:cs="Source Serif 4" w:eastAsia="Source Serif 4" w:hAnsi="Source Serif 4"/>
          <w:b/>
          <w:bCs/>
          <w:color w:val="4F46E5"/>
          <w:sz w:val="30"/>
          <w:szCs w:val="30"/>
        </w:rPr>
        <w:t xml:space="preserve">10. Tingkat Evidens dan Rekomendasi</w:t>
      </w:r>
    </w:p>
    <w:p>
      <w:pPr>
        <w:spacing w:after="160" w:line="300"/>
      </w:pPr>
      <w:r>
        <w:rPr>
          <w:rFonts w:ascii="IBM Plex Sans" w:cs="IBM Plex Sans" w:eastAsia="IBM Plex Sans" w:hAnsi="IBM Plex Sans"/>
          <w:color w:val="334155"/>
          <w:sz w:val="22"/>
          <w:szCs w:val="22"/>
        </w:rPr>
        <w:t xml:space="preserve">Menggunakan skala evidens standar (GRADE/Oxford CEBM):</w:t>
      </w:r>
    </w:p>
    <w:p>
      <w:pPr>
        <w:pStyle w:val="ListParagraph"/>
        <w:numPr>
          <w:ilvl w:val="0"/>
          <w:numId w:val="1"/>
        </w:numPr>
        <w:spacing w:after="90" w:line="290"/>
      </w:pPr>
      <w:r>
        <w:rPr>
          <w:rFonts w:ascii="IBM Plex Sans" w:cs="IBM Plex Sans" w:eastAsia="IBM Plex Sans" w:hAnsi="IBM Plex Sans"/>
          <w:color w:val="334155"/>
          <w:sz w:val="22"/>
          <w:szCs w:val="22"/>
        </w:rPr>
        <w:t xml:space="preserve">Augmentasi oksitosin pada persalinan macet — Level evidens I, Rekomendasi A (terintegrasi dalam rekomendasi WHO 2018 dan konsensus ACOG/SMFM 2014).</w:t>
      </w:r>
    </w:p>
    <w:p>
      <w:pPr>
        <w:pStyle w:val="ListParagraph"/>
        <w:numPr>
          <w:ilvl w:val="0"/>
          <w:numId w:val="1"/>
        </w:numPr>
        <w:spacing w:after="90" w:line="290"/>
      </w:pPr>
      <w:r>
        <w:rPr>
          <w:rFonts w:ascii="IBM Plex Sans" w:cs="IBM Plex Sans" w:eastAsia="IBM Plex Sans" w:hAnsi="IBM Plex Sans"/>
          <w:color w:val="334155"/>
          <w:sz w:val="22"/>
          <w:szCs w:val="22"/>
        </w:rPr>
        <w:t xml:space="preserve">Dukungan persalinan berkesinambungan (continuous labor support) — Level evidens I, Rekomendasi A (tinjauan sistematis Cochrane, Bohren dkk. 2017).</w:t>
      </w:r>
    </w:p>
    <w:p>
      <w:pPr>
        <w:pStyle w:val="ListParagraph"/>
        <w:numPr>
          <w:ilvl w:val="0"/>
          <w:numId w:val="1"/>
        </w:numPr>
        <w:spacing w:after="90" w:line="290"/>
      </w:pPr>
      <w:r>
        <w:rPr>
          <w:rFonts w:ascii="IBM Plex Sans" w:cs="IBM Plex Sans" w:eastAsia="IBM Plex Sans" w:hAnsi="IBM Plex Sans"/>
          <w:color w:val="334155"/>
          <w:sz w:val="22"/>
          <w:szCs w:val="22"/>
        </w:rPr>
        <w:t xml:space="preserve">WHO Labour Care Guide sebagai instrumen pemantauan kemajuan persalinan — Level evidens II, Rekomendasi B (rekomendasi WHO 2018 dan manual implementasi 2020, berbasis evaluasi multisenter).</w:t>
      </w:r>
    </w:p>
    <w:p>
      <w:pPr>
        <w:pStyle w:val="ListParagraph"/>
        <w:numPr>
          <w:ilvl w:val="0"/>
          <w:numId w:val="1"/>
        </w:numPr>
        <w:spacing w:after="90" w:line="290"/>
      </w:pPr>
      <w:r>
        <w:rPr>
          <w:rFonts w:ascii="IBM Plex Sans" w:cs="IBM Plex Sans" w:eastAsia="IBM Plex Sans" w:hAnsi="IBM Plex Sans"/>
          <w:color w:val="334155"/>
          <w:sz w:val="22"/>
          <w:szCs w:val="22"/>
        </w:rPr>
        <w:t xml:space="preserve">Kriteria kuantitatif arrest of labor (ambang 6 cm, 4/6 jam) — Level evidens II, Rekomendasi B (konsensus ACOG/SMFM 2014 berbasis data Konsorsium Safe Labor).</w:t>
      </w:r>
    </w:p>
    <w:p>
      <w:pPr>
        <w:pStyle w:val="Heading1"/>
        <w:spacing w:after="14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90" w:line="290"/>
      </w:pPr>
      <w:r>
        <w:rPr>
          <w:rFonts w:ascii="IBM Plex Sans" w:cs="IBM Plex Sans" w:eastAsia="IBM Plex Sans" w:hAnsi="IBM Plex Sans"/>
          <w:color w:val="334155"/>
          <w:sz w:val="22"/>
          <w:szCs w:val="22"/>
        </w:rPr>
        <w:t xml:space="preserve">Persentase kasus persalinan dengan dokumentasi WHO Labour Care Guide lengkap dan tepat waktu.</w:t>
      </w:r>
    </w:p>
    <w:p>
      <w:pPr>
        <w:pStyle w:val="ListParagraph"/>
        <w:numPr>
          <w:ilvl w:val="0"/>
          <w:numId w:val="1"/>
        </w:numPr>
        <w:spacing w:after="90" w:line="290"/>
      </w:pPr>
      <w:r>
        <w:rPr>
          <w:rFonts w:ascii="IBM Plex Sans" w:cs="IBM Plex Sans" w:eastAsia="IBM Plex Sans" w:hAnsi="IBM Plex Sans"/>
          <w:color w:val="334155"/>
          <w:sz w:val="22"/>
          <w:szCs w:val="22"/>
        </w:rPr>
        <w:t xml:space="preserve">Interval waktu dari penegakan diagnosis arrested labor hingga keputusan tindakan definitif (target internal disarankan tercapai secepat kondisi klinis mengizinkan).</w:t>
      </w:r>
    </w:p>
    <w:p>
      <w:pPr>
        <w:pStyle w:val="ListParagraph"/>
        <w:numPr>
          <w:ilvl w:val="0"/>
          <w:numId w:val="1"/>
        </w:numPr>
        <w:spacing w:after="90" w:line="290"/>
      </w:pPr>
      <w:r>
        <w:rPr>
          <w:rFonts w:ascii="IBM Plex Sans" w:cs="IBM Plex Sans" w:eastAsia="IBM Plex Sans" w:hAnsi="IBM Plex Sans"/>
          <w:color w:val="334155"/>
          <w:sz w:val="22"/>
          <w:szCs w:val="22"/>
        </w:rPr>
        <w:t xml:space="preserve">Proporsi seksio sesarea dengan indikasi dystocia, dipantau dalam kerangka klasifikasi Robson untuk audit mutu berkelanjutan.</w:t>
      </w:r>
    </w:p>
    <w:p>
      <w:pPr>
        <w:pStyle w:val="ListParagraph"/>
        <w:numPr>
          <w:ilvl w:val="0"/>
          <w:numId w:val="1"/>
        </w:numPr>
        <w:spacing w:after="90" w:line="290"/>
      </w:pPr>
      <w:r>
        <w:rPr>
          <w:rFonts w:ascii="IBM Plex Sans" w:cs="IBM Plex Sans" w:eastAsia="IBM Plex Sans" w:hAnsi="IBM Plex Sans"/>
          <w:color w:val="334155"/>
          <w:sz w:val="22"/>
          <w:szCs w:val="22"/>
        </w:rPr>
        <w:t xml:space="preserve">Tidak terdapat keterlambatan rujukan pada kasus yang memenuhi kriteria rujukan ke subspesialis fetomaternal (bagian 7.4).</w:t>
      </w:r>
    </w:p>
    <w:p>
      <w:pPr>
        <w:pStyle w:val="Heading1"/>
        <w:spacing w:after="14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2"/>
          <w:szCs w:val="22"/>
        </w:rPr>
        <w:t xml:space="preserve">World Health Organization, dalam WHO Recommendations: Intrapartum Care for a Positive Childbirth Experience (2018), merevisi definisi awitan fase aktif kala I menjadi pembukaan 5 cm dan menekankan bahwa laju dilatasi 1 cm/jam tidak lagi dijadikan satu-satunya ambang diagnostik baku untuk protracted labor. Rekomendasi ini diimplementasikan secara praktis melalui WHO Labour Care Guide (2020), yang menggantikan partograf konvensional sebagai instrumen pemantauan standar WHO saat ini.</w:t>
      </w:r>
    </w:p>
    <w:p>
      <w:pPr>
        <w:spacing w:after="160" w:line="300"/>
      </w:pPr>
      <w:r>
        <w:rPr>
          <w:rFonts w:ascii="IBM Plex Sans" w:cs="IBM Plex Sans" w:eastAsia="IBM Plex Sans" w:hAnsi="IBM Plex Sans"/>
          <w:color w:val="334155"/>
          <w:sz w:val="22"/>
          <w:szCs w:val="22"/>
        </w:rPr>
        <w:t xml:space="preserve">American College of Obstetricians and Gynecologists bersama Society for Maternal-Fetal Medicine, dalam Obstetric Care Consensus No. 1 — Safe Prevention of the Primary Cesarean Delivery (2014, dikonfirmasi ulang 2019 dan masih menjadi acuan aktif hingga saat ini), menetapkan ambang pembukaan 6 cm sebagai batas awal penerapan standar kemajuan fase aktif, serta kriteria arrest of labor yang lebih ketat — tidak ada perubahan serviks pada pembukaan ≥6 cm dengan ketuban pecah, setelah kontraksi adekuat ≥4 jam atau kontraksi tidak adekuat ≥6 jam meski telah diaugmentasi — dengan tujuan eksplisit menurunkan angka seksio sesarea primer yang tidak perlu.</w:t>
      </w:r>
    </w:p>
    <w:p>
      <w:pPr>
        <w:spacing w:after="160" w:line="300"/>
      </w:pPr>
      <w:r>
        <w:rPr>
          <w:rFonts w:ascii="IBM Plex Sans" w:cs="IBM Plex Sans" w:eastAsia="IBM Plex Sans" w:hAnsi="IBM Plex Sans"/>
          <w:color w:val="334155"/>
          <w:sz w:val="22"/>
          <w:szCs w:val="22"/>
        </w:rPr>
        <w:t xml:space="preserve">National Institute for Health and Care Excellence (NICE) — pedoman Intrapartum Care, NICE Guideline NG235 (diterbitkan 2023, diperbarui bertahap hingga 2026, dikembangkan oleh National Guideline Alliance yang bernaung di bawah Royal College of Obstetricians and Gynaecologists/RCOG) — memberikan protokol operasional augmentasi oksitosin yang selaras: interval kenaikan dosis tidak lebih sering dari 30 menit hingga tercapai 4–5 kontraksi per 10 menit, dengan evaluasi dilatasi serviks 4 jam setelah oksitosin dimulai sebagai titik keputusan klinis.</w:t>
      </w:r>
    </w:p>
    <w:p>
      <w:pPr>
        <w:spacing w:after="160" w:line="300"/>
      </w:pPr>
      <w:r>
        <w:rPr>
          <w:rFonts w:ascii="IBM Plex Sans" w:cs="IBM Plex Sans" w:eastAsia="IBM Plex Sans" w:hAnsi="IBM Plex Sans"/>
          <w:color w:val="334155"/>
          <w:sz w:val="22"/>
          <w:szCs w:val="22"/>
        </w:rPr>
        <w:t xml:space="preserve">Tinjauan sistematis Cochrane (Bohren MA, Hofmeyr GJ, Sakala C, Fukuzawa RK, Cuthbert A. Continuous Support for Women during Childbirth, 2017) menunjukkan bahwa dukungan persalinan berkesinambungan menurunkan risiko seksio sesarea, mempersingkat durasi persalinan, dan meningkatkan kepuasan ibu terhadap pengalaman persalinan, tanpa bukti dampak merugikan.</w:t>
      </w:r>
    </w:p>
    <w:p>
      <w:pPr>
        <w:spacing w:after="160" w:line="300"/>
      </w:pPr>
      <w:r>
        <w:rPr>
          <w:rFonts w:ascii="IBM Plex Sans" w:cs="IBM Plex Sans" w:eastAsia="IBM Plex Sans" w:hAnsi="IBM Plex Sans"/>
          <w:color w:val="334155"/>
          <w:sz w:val="22"/>
          <w:szCs w:val="22"/>
        </w:rPr>
        <w:t xml:space="preserve">Pernyataan eksplisit perbedaan standar: Standar nasional (Kepkonsil) mendefinisikan persalinan macet (dystocia) secara umum sebagai hambatan kemajuan persalinan akibat faktor kekuatan, jalan lahir, atau janin (ICD-10 O66.9; ICD-11 JB06), tanpa mencantumkan ambang kuantitatif baku dalam Tabel 7; standar internasional (WHO, ACOG/SMFM, NICE) memberikan kriteria kuantitatif operasional yang lebih rinci dan telah direvisi seiring bukti terbaru untuk membedakan protracted versus arrested labor. Praktik di Indonesia mengikuti standar nasional sebagai acuan utama diagnosis, dengan kriteria kuantitatif internasional tersebut digunakan sebagai alat bantu operasional selama tidak bertentangan dengan penilaian klinis holistik yang disyaratkan Kepkonsil.</w:t>
      </w:r>
    </w:p>
    <w:p>
      <w:pPr>
        <w:pStyle w:val="Heading1"/>
        <w:spacing w:after="140" w:before="320"/>
      </w:pPr>
      <w:r>
        <w:rPr>
          <w:rFonts w:ascii="Source Serif 4" w:cs="Source Serif 4" w:eastAsia="Source Serif 4" w:hAnsi="Source Serif 4"/>
          <w:b/>
          <w:bCs/>
          <w:color w:val="4F46E5"/>
          <w:sz w:val="30"/>
          <w:szCs w:val="30"/>
        </w:rPr>
        <w:t xml:space="preserve">13. Kepustakaan</w:t>
      </w:r>
    </w:p>
    <w:p>
      <w:pPr>
        <w:pStyle w:val="ListParagraph"/>
        <w:numPr>
          <w:ilvl w:val="0"/>
          <w:numId w:val="1"/>
        </w:numPr>
        <w:spacing w:after="90" w:line="290"/>
      </w:pPr>
      <w:r>
        <w:rPr>
          <w:rFonts w:ascii="IBM Plex Sans" w:cs="IBM Plex Sans" w:eastAsia="IBM Plex Sans" w:hAnsi="IBM Plex Sans"/>
          <w:color w:val="334155"/>
          <w:sz w:val="22"/>
          <w:szCs w:val="22"/>
        </w:rPr>
        <w:t xml:space="preserve">Keputusan Ketua Konsil Kesehatan Indonesia Nomor HK.01.02/KKI/1318/2026 tentang Standar Kompetensi Dokter Spesialis dan Subspesialis Bidang Obstetri dan Ginekologi. Jakarta, 7 Mei 2026. Lampiran, Tabel 7 No. 20; Glosarium Istilah hal. 513.</w:t>
      </w:r>
    </w:p>
    <w:p>
      <w:pPr>
        <w:pStyle w:val="ListParagraph"/>
        <w:numPr>
          <w:ilvl w:val="0"/>
          <w:numId w:val="1"/>
        </w:numPr>
        <w:spacing w:after="90" w:line="290"/>
      </w:pPr>
      <w:r>
        <w:rPr>
          <w:rFonts w:ascii="IBM Plex Sans" w:cs="IBM Plex Sans" w:eastAsia="IBM Plex Sans" w:hAnsi="IBM Plex Sans"/>
          <w:color w:val="334155"/>
          <w:sz w:val="22"/>
          <w:szCs w:val="22"/>
        </w:rPr>
        <w:t xml:space="preserve">World Health Organization. WHO Recommendations: Intrapartum Care for a Positive Childbirth Experience. Geneva: WHO; 2018. Tersedia pada: https://iris.who.int/handle/10665/260178</w:t>
      </w:r>
    </w:p>
    <w:p>
      <w:pPr>
        <w:pStyle w:val="ListParagraph"/>
        <w:numPr>
          <w:ilvl w:val="0"/>
          <w:numId w:val="1"/>
        </w:numPr>
        <w:spacing w:after="90" w:line="290"/>
      </w:pPr>
      <w:r>
        <w:rPr>
          <w:rFonts w:ascii="IBM Plex Sans" w:cs="IBM Plex Sans" w:eastAsia="IBM Plex Sans" w:hAnsi="IBM Plex Sans"/>
          <w:color w:val="334155"/>
          <w:sz w:val="22"/>
          <w:szCs w:val="22"/>
        </w:rPr>
        <w:t xml:space="preserve">World Health Organization. WHO Labour Care Guide: User's Manual. Geneva: WHO; 2020. Tersedia pada: https://www.who.int/publications/i/item/9789240017566</w:t>
      </w:r>
    </w:p>
    <w:p>
      <w:pPr>
        <w:pStyle w:val="ListParagraph"/>
        <w:numPr>
          <w:ilvl w:val="0"/>
          <w:numId w:val="1"/>
        </w:numPr>
        <w:spacing w:after="90" w:line="290"/>
      </w:pPr>
      <w:r>
        <w:rPr>
          <w:rFonts w:ascii="IBM Plex Sans" w:cs="IBM Plex Sans" w:eastAsia="IBM Plex Sans" w:hAnsi="IBM Plex Sans"/>
          <w:color w:val="334155"/>
          <w:sz w:val="22"/>
          <w:szCs w:val="22"/>
        </w:rPr>
        <w:t xml:space="preserve">American College of Obstetricians and Gynecologists, Society for Maternal-Fetal Medicine. Obstetric Care Consensus No. 1: Safe Prevention of the Primary Cesarean Delivery. Obstet Gynecol. 2014;123(3):693–711.</w:t>
      </w:r>
    </w:p>
    <w:p>
      <w:pPr>
        <w:pStyle w:val="ListParagraph"/>
        <w:numPr>
          <w:ilvl w:val="0"/>
          <w:numId w:val="1"/>
        </w:numPr>
        <w:spacing w:after="90" w:line="290"/>
      </w:pPr>
      <w:r>
        <w:rPr>
          <w:rFonts w:ascii="IBM Plex Sans" w:cs="IBM Plex Sans" w:eastAsia="IBM Plex Sans" w:hAnsi="IBM Plex Sans"/>
          <w:color w:val="334155"/>
          <w:sz w:val="22"/>
          <w:szCs w:val="22"/>
        </w:rPr>
        <w:t xml:space="preserve">National Institute for Health and Care Excellence. Intrapartum Care. NICE Guideline NG235. London: NICE; 2023 (pembaruan berkala hingga 2026). Tersedia pada: https://www.nice.org.uk/guidance/ng235</w:t>
      </w:r>
    </w:p>
    <w:p>
      <w:pPr>
        <w:pStyle w:val="ListParagraph"/>
        <w:numPr>
          <w:ilvl w:val="0"/>
          <w:numId w:val="1"/>
        </w:numPr>
        <w:spacing w:after="90" w:line="290"/>
      </w:pPr>
      <w:r>
        <w:rPr>
          <w:rFonts w:ascii="IBM Plex Sans" w:cs="IBM Plex Sans" w:eastAsia="IBM Plex Sans" w:hAnsi="IBM Plex Sans"/>
          <w:color w:val="334155"/>
          <w:sz w:val="22"/>
          <w:szCs w:val="22"/>
        </w:rPr>
        <w:t xml:space="preserve">Bohren MA, Hofmeyr GJ, Sakala C, Fukuzawa RK, Cuthbert A. Continuous Support for Women during Childbirth. Cochrane Database Syst Rev. 2017;7:CD003766.</w:t>
      </w:r>
    </w:p>
    <w:p>
      <w:pPr>
        <w:pStyle w:val="ListParagraph"/>
        <w:numPr>
          <w:ilvl w:val="0"/>
          <w:numId w:val="1"/>
        </w:numPr>
        <w:spacing w:after="90" w:line="290"/>
      </w:pPr>
      <w:r>
        <w:rPr>
          <w:rFonts w:ascii="IBM Plex Sans" w:cs="IBM Plex Sans" w:eastAsia="IBM Plex Sans" w:hAnsi="IBM Plex Sans"/>
          <w:color w:val="334155"/>
          <w:sz w:val="22"/>
          <w:szCs w:val="22"/>
        </w:rPr>
        <w:t xml:space="preserve">World Health Organization, UNFPA, UNICEF. Operational Definitions of Major Direct Obstetric Complications and ICD-11 Codes — EmONC Guide. Edisi November 2024.</w:t>
      </w:r>
    </w:p>
    <w:p>
      <w:pPr>
        <w:pStyle w:val="ListParagraph"/>
        <w:numPr>
          <w:ilvl w:val="0"/>
          <w:numId w:val="1"/>
        </w:numPr>
        <w:spacing w:after="90" w:line="290"/>
      </w:pPr>
      <w:r>
        <w:rPr>
          <w:rFonts w:ascii="IBM Plex Sans" w:cs="IBM Plex Sans" w:eastAsia="IBM Plex Sans" w:hAnsi="IBM Plex Sans"/>
          <w:color w:val="334155"/>
          <w:sz w:val="22"/>
          <w:szCs w:val="22"/>
        </w:rPr>
        <w:t xml:space="preserve">World Health Organization. International Classification of Diseases, Eleventh Revision (ICD-11) — MMS Browser. Tersedia pada: https://icd.who.int/browse11</w:t>
      </w:r>
    </w:p>
    <w:p>
      <w:pPr>
        <w:pStyle w:val="Heading1"/>
        <w:spacing w:after="140" w:before="320"/>
      </w:pPr>
      <w:r>
        <w:rPr>
          <w:rFonts w:ascii="Source Serif 4" w:cs="Source Serif 4" w:eastAsia="Source Serif 4" w:hAnsi="Source Serif 4"/>
          <w:b/>
          <w:bCs/>
          <w:color w:val="4F46E5"/>
          <w:sz w:val="30"/>
          <w:szCs w:val="30"/>
        </w:rPr>
        <w:t xml:space="preserve">Glosarium</w:t>
      </w:r>
    </w:p>
    <w:p>
      <w:pPr>
        <w:spacing w:after="40" w:before="100"/>
      </w:pPr>
      <w:r>
        <w:rPr>
          <w:rFonts w:ascii="IBM Plex Sans" w:cs="IBM Plex Sans" w:eastAsia="IBM Plex Sans" w:hAnsi="IBM Plex Sans"/>
          <w:b/>
          <w:bCs/>
          <w:color w:val="334155"/>
          <w:sz w:val="22"/>
          <w:szCs w:val="22"/>
        </w:rPr>
        <w:t xml:space="preserve">Arrest of labor (kegagalan kemajuan persalinan)</w:t>
      </w:r>
    </w:p>
    <w:p>
      <w:pPr>
        <w:spacing w:after="120" w:line="280"/>
      </w:pPr>
      <w:r>
        <w:rPr>
          <w:rFonts w:ascii="IBM Plex Sans" w:cs="IBM Plex Sans" w:eastAsia="IBM Plex Sans" w:hAnsi="IBM Plex Sans"/>
          <w:color w:val="334155"/>
          <w:sz w:val="21"/>
          <w:szCs w:val="21"/>
        </w:rPr>
        <w:t xml:space="preserve">Terhentinya kemajuan dilatasi serviks atau penurunan kepala janin sama sekali meski kontraksi rahim dinilai adekuat dalam jangka waktu tertentu.</w:t>
      </w:r>
    </w:p>
    <w:p>
      <w:pPr>
        <w:spacing w:after="40" w:before="100"/>
      </w:pPr>
      <w:r>
        <w:rPr>
          <w:rFonts w:ascii="IBM Plex Sans" w:cs="IBM Plex Sans" w:eastAsia="IBM Plex Sans" w:hAnsi="IBM Plex Sans"/>
          <w:b/>
          <w:bCs/>
          <w:color w:val="334155"/>
          <w:sz w:val="22"/>
          <w:szCs w:val="22"/>
        </w:rPr>
        <w:t xml:space="preserve">Augmentasi persalinan</w:t>
      </w:r>
    </w:p>
    <w:p>
      <w:pPr>
        <w:spacing w:after="120" w:line="280"/>
      </w:pPr>
      <w:r>
        <w:rPr>
          <w:rFonts w:ascii="IBM Plex Sans" w:cs="IBM Plex Sans" w:eastAsia="IBM Plex Sans" w:hAnsi="IBM Plex Sans"/>
          <w:color w:val="334155"/>
          <w:sz w:val="21"/>
          <w:szCs w:val="21"/>
        </w:rPr>
        <w:t xml:space="preserve">Tindakan mempercepat kemajuan persalinan yang sudah berlangsung namun melambat, umumnya melalui pemberian oksitosin intravena atau amniotomi.</w:t>
      </w:r>
    </w:p>
    <w:p>
      <w:pPr>
        <w:spacing w:after="40" w:before="100"/>
      </w:pPr>
      <w:r>
        <w:rPr>
          <w:rFonts w:ascii="IBM Plex Sans" w:cs="IBM Plex Sans" w:eastAsia="IBM Plex Sans" w:hAnsi="IBM Plex Sans"/>
          <w:b/>
          <w:bCs/>
          <w:color w:val="334155"/>
          <w:sz w:val="22"/>
          <w:szCs w:val="22"/>
        </w:rPr>
        <w:t xml:space="preserve">CPD (Cephalopelvic Disproportion / disproporsi sefalopelvik)</w:t>
      </w:r>
    </w:p>
    <w:p>
      <w:pPr>
        <w:spacing w:after="120" w:line="280"/>
      </w:pPr>
      <w:r>
        <w:rPr>
          <w:rFonts w:ascii="IBM Plex Sans" w:cs="IBM Plex Sans" w:eastAsia="IBM Plex Sans" w:hAnsi="IBM Plex Sans"/>
          <w:color w:val="334155"/>
          <w:sz w:val="21"/>
          <w:szCs w:val="21"/>
        </w:rPr>
        <w:t xml:space="preserve">Ketidaksesuaian ukuran antara kepala janin dan panggul ibu sehingga janin sulit atau tidak dapat melewati jalan lahir secara alami.</w:t>
      </w:r>
    </w:p>
    <w:p>
      <w:pPr>
        <w:spacing w:after="40" w:before="100"/>
      </w:pPr>
      <w:r>
        <w:rPr>
          <w:rFonts w:ascii="IBM Plex Sans" w:cs="IBM Plex Sans" w:eastAsia="IBM Plex Sans" w:hAnsi="IBM Plex Sans"/>
          <w:b/>
          <w:bCs/>
          <w:color w:val="334155"/>
          <w:sz w:val="22"/>
          <w:szCs w:val="22"/>
        </w:rPr>
        <w:t xml:space="preserve">Distosia bahu (shoulder dystocia)</w:t>
      </w:r>
    </w:p>
    <w:p>
      <w:pPr>
        <w:spacing w:after="120" w:line="280"/>
      </w:pPr>
      <w:r>
        <w:rPr>
          <w:rFonts w:ascii="IBM Plex Sans" w:cs="IBM Plex Sans" w:eastAsia="IBM Plex Sans" w:hAnsi="IBM Plex Sans"/>
          <w:color w:val="334155"/>
          <w:sz w:val="21"/>
          <w:szCs w:val="21"/>
        </w:rPr>
        <w:t xml:space="preserve">Kegawatdaruratan obstetri saat kepala janin telah lahir namun bahu anterior tertahan di belakang simfisis pubis, memerlukan manuver obstetri segera.</w:t>
      </w:r>
    </w:p>
    <w:p>
      <w:pPr>
        <w:spacing w:after="40" w:before="100"/>
      </w:pPr>
      <w:r>
        <w:rPr>
          <w:rFonts w:ascii="IBM Plex Sans" w:cs="IBM Plex Sans" w:eastAsia="IBM Plex Sans" w:hAnsi="IBM Plex Sans"/>
          <w:b/>
          <w:bCs/>
          <w:color w:val="334155"/>
          <w:sz w:val="22"/>
          <w:szCs w:val="22"/>
        </w:rPr>
        <w:t xml:space="preserve">Ekstraksi vakum</w:t>
      </w:r>
    </w:p>
    <w:p>
      <w:pPr>
        <w:spacing w:after="120" w:line="280"/>
      </w:pPr>
      <w:r>
        <w:rPr>
          <w:rFonts w:ascii="IBM Plex Sans" w:cs="IBM Plex Sans" w:eastAsia="IBM Plex Sans" w:hAnsi="IBM Plex Sans"/>
          <w:color w:val="334155"/>
          <w:sz w:val="21"/>
          <w:szCs w:val="21"/>
        </w:rPr>
        <w:t xml:space="preserve">Tindakan bantuan kelahiran pervaginam menggunakan alat penghisap (vakum) yang dipasang pada kepala janin untuk membantu proses persalinan kala II.</w:t>
      </w:r>
    </w:p>
    <w:p>
      <w:pPr>
        <w:spacing w:after="40" w:before="100"/>
      </w:pPr>
      <w:r>
        <w:rPr>
          <w:rFonts w:ascii="IBM Plex Sans" w:cs="IBM Plex Sans" w:eastAsia="IBM Plex Sans" w:hAnsi="IBM Plex Sans"/>
          <w:b/>
          <w:bCs/>
          <w:color w:val="334155"/>
          <w:sz w:val="22"/>
          <w:szCs w:val="22"/>
        </w:rPr>
        <w:t xml:space="preserve">Fase aktif kala I</w:t>
      </w:r>
    </w:p>
    <w:p>
      <w:pPr>
        <w:spacing w:after="120" w:line="280"/>
      </w:pPr>
      <w:r>
        <w:rPr>
          <w:rFonts w:ascii="IBM Plex Sans" w:cs="IBM Plex Sans" w:eastAsia="IBM Plex Sans" w:hAnsi="IBM Plex Sans"/>
          <w:color w:val="334155"/>
          <w:sz w:val="21"/>
          <w:szCs w:val="21"/>
        </w:rPr>
        <w:t xml:space="preserve">Tahap persalinan kala I yang ditandai percepatan laju dilatasi serviks; menurut konsensus ACOG/SMFM dimulai pada pembukaan 6 cm.</w:t>
      </w:r>
    </w:p>
    <w:p>
      <w:pPr>
        <w:spacing w:after="40" w:before="100"/>
      </w:pPr>
      <w:r>
        <w:rPr>
          <w:rFonts w:ascii="IBM Plex Sans" w:cs="IBM Plex Sans" w:eastAsia="IBM Plex Sans" w:hAnsi="IBM Plex Sans"/>
          <w:b/>
          <w:bCs/>
          <w:color w:val="334155"/>
          <w:sz w:val="22"/>
          <w:szCs w:val="22"/>
        </w:rPr>
        <w:t xml:space="preserve">Forsep</w:t>
      </w:r>
    </w:p>
    <w:p>
      <w:pPr>
        <w:spacing w:after="120" w:line="280"/>
      </w:pPr>
      <w:r>
        <w:rPr>
          <w:rFonts w:ascii="IBM Plex Sans" w:cs="IBM Plex Sans" w:eastAsia="IBM Plex Sans" w:hAnsi="IBM Plex Sans"/>
          <w:color w:val="334155"/>
          <w:sz w:val="21"/>
          <w:szCs w:val="21"/>
        </w:rPr>
        <w:t xml:space="preserve">Instrumen obstetri berbentuk sepasang sendok logam yang digunakan untuk membantu kelahiran kepala janin pada persalinan kala II.</w:t>
      </w:r>
    </w:p>
    <w:p>
      <w:pPr>
        <w:spacing w:after="40" w:before="100"/>
      </w:pPr>
      <w:r>
        <w:rPr>
          <w:rFonts w:ascii="IBM Plex Sans" w:cs="IBM Plex Sans" w:eastAsia="IBM Plex Sans" w:hAnsi="IBM Plex Sans"/>
          <w:b/>
          <w:bCs/>
          <w:color w:val="334155"/>
          <w:sz w:val="22"/>
          <w:szCs w:val="22"/>
        </w:rPr>
        <w:t xml:space="preserve">GRADE</w:t>
      </w:r>
    </w:p>
    <w:p>
      <w:pPr>
        <w:spacing w:after="120" w:line="280"/>
      </w:pPr>
      <w:r>
        <w:rPr>
          <w:rFonts w:ascii="IBM Plex Sans" w:cs="IBM Plex Sans" w:eastAsia="IBM Plex Sans" w:hAnsi="IBM Plex Sans"/>
          <w:color w:val="334155"/>
          <w:sz w:val="21"/>
          <w:szCs w:val="21"/>
        </w:rPr>
        <w:t xml:space="preserve">Grading of Recommendations Assessment, Development and Evaluation — sistem penilaian mutu bukti ilmiah dan kekuatan rekomendasi klinis yang digunakan secara internasional.</w:t>
      </w:r>
    </w:p>
    <w:p>
      <w:pPr>
        <w:spacing w:after="40" w:before="100"/>
      </w:pPr>
      <w:r>
        <w:rPr>
          <w:rFonts w:ascii="IBM Plex Sans" w:cs="IBM Plex Sans" w:eastAsia="IBM Plex Sans" w:hAnsi="IBM Plex Sans"/>
          <w:b/>
          <w:bCs/>
          <w:color w:val="334155"/>
          <w:sz w:val="22"/>
          <w:szCs w:val="22"/>
        </w:rPr>
        <w:t xml:space="preserve">Inersia uteri</w:t>
      </w:r>
    </w:p>
    <w:p>
      <w:pPr>
        <w:spacing w:after="120" w:line="280"/>
      </w:pPr>
      <w:r>
        <w:rPr>
          <w:rFonts w:ascii="IBM Plex Sans" w:cs="IBM Plex Sans" w:eastAsia="IBM Plex Sans" w:hAnsi="IBM Plex Sans"/>
          <w:color w:val="334155"/>
          <w:sz w:val="21"/>
          <w:szCs w:val="21"/>
        </w:rPr>
        <w:t xml:space="preserve">Kontraksi rahim yang tidak efektif untuk mendorong kemajuan persalinan, dapat bersifat hipotonik (lemah) atau hipertonik (tidak terkoordinasi).</w:t>
      </w:r>
    </w:p>
    <w:p>
      <w:pPr>
        <w:spacing w:after="40" w:before="100"/>
      </w:pPr>
      <w:r>
        <w:rPr>
          <w:rFonts w:ascii="IBM Plex Sans" w:cs="IBM Plex Sans" w:eastAsia="IBM Plex Sans" w:hAnsi="IBM Plex Sans"/>
          <w:b/>
          <w:bCs/>
          <w:color w:val="334155"/>
          <w:sz w:val="22"/>
          <w:szCs w:val="22"/>
        </w:rPr>
        <w:t xml:space="preserve">Kala I dan Kala II persalinan</w:t>
      </w:r>
    </w:p>
    <w:p>
      <w:pPr>
        <w:spacing w:after="120" w:line="280"/>
      </w:pPr>
      <w:r>
        <w:rPr>
          <w:rFonts w:ascii="IBM Plex Sans" w:cs="IBM Plex Sans" w:eastAsia="IBM Plex Sans" w:hAnsi="IBM Plex Sans"/>
          <w:color w:val="334155"/>
          <w:sz w:val="21"/>
          <w:szCs w:val="21"/>
        </w:rPr>
        <w:t xml:space="preserve">Kala I adalah tahap sejak awitan persalinan hingga pembukaan serviks lengkap (10 cm); Kala II adalah tahap sejak pembukaan lengkap hingga bayi lahir.</w:t>
      </w:r>
    </w:p>
    <w:p>
      <w:pPr>
        <w:spacing w:after="40" w:before="100"/>
      </w:pPr>
      <w:r>
        <w:rPr>
          <w:rFonts w:ascii="IBM Plex Sans" w:cs="IBM Plex Sans" w:eastAsia="IBM Plex Sans" w:hAnsi="IBM Plex Sans"/>
          <w:b/>
          <w:bCs/>
          <w:color w:val="334155"/>
          <w:sz w:val="22"/>
          <w:szCs w:val="22"/>
        </w:rPr>
        <w:t xml:space="preserve">Klasifikasi Robson</w:t>
      </w:r>
    </w:p>
    <w:p>
      <w:pPr>
        <w:spacing w:after="120" w:line="280"/>
      </w:pPr>
      <w:r>
        <w:rPr>
          <w:rFonts w:ascii="IBM Plex Sans" w:cs="IBM Plex Sans" w:eastAsia="IBM Plex Sans" w:hAnsi="IBM Plex Sans"/>
          <w:color w:val="334155"/>
          <w:sz w:val="21"/>
          <w:szCs w:val="21"/>
        </w:rPr>
        <w:t xml:space="preserve">Sistem klasifikasi sepuluh kelompok kehamilan yang digunakan secara internasional untuk memantau dan membandingkan angka seksio sesarea secara terstandardisasi.</w:t>
      </w:r>
    </w:p>
    <w:p>
      <w:pPr>
        <w:spacing w:after="40" w:before="100"/>
      </w:pPr>
      <w:r>
        <w:rPr>
          <w:rFonts w:ascii="IBM Plex Sans" w:cs="IBM Plex Sans" w:eastAsia="IBM Plex Sans" w:hAnsi="IBM Plex Sans"/>
          <w:b/>
          <w:bCs/>
          <w:color w:val="334155"/>
          <w:sz w:val="22"/>
          <w:szCs w:val="22"/>
        </w:rPr>
        <w:t xml:space="preserve">Malposisi</w:t>
      </w:r>
    </w:p>
    <w:p>
      <w:pPr>
        <w:spacing w:after="120" w:line="280"/>
      </w:pPr>
      <w:r>
        <w:rPr>
          <w:rFonts w:ascii="IBM Plex Sans" w:cs="IBM Plex Sans" w:eastAsia="IBM Plex Sans" w:hAnsi="IBM Plex Sans"/>
          <w:color w:val="334155"/>
          <w:sz w:val="21"/>
          <w:szCs w:val="21"/>
        </w:rPr>
        <w:t xml:space="preserve">Posisi kepala janin yang tidak ideal terhadap panggul ibu, misalnya oksiput posterior atau transversal persisten, yang dapat menghambat kemajuan persalinan.</w:t>
      </w:r>
    </w:p>
    <w:p>
      <w:pPr>
        <w:spacing w:after="40" w:before="100"/>
      </w:pPr>
      <w:r>
        <w:rPr>
          <w:rFonts w:ascii="IBM Plex Sans" w:cs="IBM Plex Sans" w:eastAsia="IBM Plex Sans" w:hAnsi="IBM Plex Sans"/>
          <w:b/>
          <w:bCs/>
          <w:color w:val="334155"/>
          <w:sz w:val="22"/>
          <w:szCs w:val="22"/>
        </w:rPr>
        <w:t xml:space="preserve">Malpresentasi</w:t>
      </w:r>
    </w:p>
    <w:p>
      <w:pPr>
        <w:spacing w:after="120" w:line="280"/>
      </w:pPr>
      <w:r>
        <w:rPr>
          <w:rFonts w:ascii="IBM Plex Sans" w:cs="IBM Plex Sans" w:eastAsia="IBM Plex Sans" w:hAnsi="IBM Plex Sans"/>
          <w:color w:val="334155"/>
          <w:sz w:val="21"/>
          <w:szCs w:val="21"/>
        </w:rPr>
        <w:t xml:space="preserve">Bagian terbawah janin selain verteks (ubun-ubun kecil) yang memasuki jalan lahir, misalnya presentasi bokong (sungsang) atau letak lintang.</w:t>
      </w:r>
    </w:p>
    <w:p>
      <w:pPr>
        <w:spacing w:after="40" w:before="100"/>
      </w:pPr>
      <w:r>
        <w:rPr>
          <w:rFonts w:ascii="IBM Plex Sans" w:cs="IBM Plex Sans" w:eastAsia="IBM Plex Sans" w:hAnsi="IBM Plex Sans"/>
          <w:b/>
          <w:bCs/>
          <w:color w:val="334155"/>
          <w:sz w:val="22"/>
          <w:szCs w:val="22"/>
        </w:rPr>
        <w:t xml:space="preserve">Oksitosin</w:t>
      </w:r>
    </w:p>
    <w:p>
      <w:pPr>
        <w:spacing w:after="120" w:line="280"/>
      </w:pPr>
      <w:r>
        <w:rPr>
          <w:rFonts w:ascii="IBM Plex Sans" w:cs="IBM Plex Sans" w:eastAsia="IBM Plex Sans" w:hAnsi="IBM Plex Sans"/>
          <w:color w:val="334155"/>
          <w:sz w:val="21"/>
          <w:szCs w:val="21"/>
        </w:rPr>
        <w:t xml:space="preserve">Hormon yang juga digunakan sebagai obat untuk merangsang atau memperkuat kontraksi rahim pada induksi maupun augmentasi persalinan.</w:t>
      </w:r>
    </w:p>
    <w:p>
      <w:pPr>
        <w:spacing w:after="40" w:before="100"/>
      </w:pPr>
      <w:r>
        <w:rPr>
          <w:rFonts w:ascii="IBM Plex Sans" w:cs="IBM Plex Sans" w:eastAsia="IBM Plex Sans" w:hAnsi="IBM Plex Sans"/>
          <w:b/>
          <w:bCs/>
          <w:color w:val="334155"/>
          <w:sz w:val="22"/>
          <w:szCs w:val="22"/>
        </w:rPr>
        <w:t xml:space="preserve">Partograf</w:t>
      </w:r>
    </w:p>
    <w:p>
      <w:pPr>
        <w:spacing w:after="120" w:line="280"/>
      </w:pPr>
      <w:r>
        <w:rPr>
          <w:rFonts w:ascii="IBM Plex Sans" w:cs="IBM Plex Sans" w:eastAsia="IBM Plex Sans" w:hAnsi="IBM Plex Sans"/>
          <w:color w:val="334155"/>
          <w:sz w:val="21"/>
          <w:szCs w:val="21"/>
        </w:rPr>
        <w:t xml:space="preserve">Alat pemantauan grafis kemajuan persalinan yang telah digunakan sejak dekade 1970-an; sejak 2020 secara bertahap digantikan oleh WHO Labour Care Guide.</w:t>
      </w:r>
    </w:p>
    <w:p>
      <w:pPr>
        <w:spacing w:after="40" w:before="100"/>
      </w:pPr>
      <w:r>
        <w:rPr>
          <w:rFonts w:ascii="IBM Plex Sans" w:cs="IBM Plex Sans" w:eastAsia="IBM Plex Sans" w:hAnsi="IBM Plex Sans"/>
          <w:b/>
          <w:bCs/>
          <w:color w:val="334155"/>
          <w:sz w:val="22"/>
          <w:szCs w:val="22"/>
        </w:rPr>
        <w:t xml:space="preserve">Protracted labor (persalinan memanjang)</w:t>
      </w:r>
    </w:p>
    <w:p>
      <w:pPr>
        <w:spacing w:after="120" w:line="280"/>
      </w:pPr>
      <w:r>
        <w:rPr>
          <w:rFonts w:ascii="IBM Plex Sans" w:cs="IBM Plex Sans" w:eastAsia="IBM Plex Sans" w:hAnsi="IBM Plex Sans"/>
          <w:color w:val="334155"/>
          <w:sz w:val="21"/>
          <w:szCs w:val="21"/>
        </w:rPr>
        <w:t xml:space="preserve">Kemajuan dilatasi serviks atau penurunan kepala janin yang berlangsung lebih lambat dari batas normal populasi, namun belum sepenuhnya berhenti.</w:t>
      </w:r>
    </w:p>
    <w:p>
      <w:pPr>
        <w:spacing w:after="40" w:before="100"/>
      </w:pPr>
      <w:r>
        <w:rPr>
          <w:rFonts w:ascii="IBM Plex Sans" w:cs="IBM Plex Sans" w:eastAsia="IBM Plex Sans" w:hAnsi="IBM Plex Sans"/>
          <w:b/>
          <w:bCs/>
          <w:color w:val="334155"/>
          <w:sz w:val="22"/>
          <w:szCs w:val="22"/>
        </w:rPr>
        <w:t xml:space="preserve">VBAC (Vaginal Birth After Cesarean)</w:t>
      </w:r>
    </w:p>
    <w:p>
      <w:pPr>
        <w:spacing w:after="120" w:line="280"/>
      </w:pPr>
      <w:r>
        <w:rPr>
          <w:rFonts w:ascii="IBM Plex Sans" w:cs="IBM Plex Sans" w:eastAsia="IBM Plex Sans" w:hAnsi="IBM Plex Sans"/>
          <w:color w:val="334155"/>
          <w:sz w:val="21"/>
          <w:szCs w:val="21"/>
        </w:rPr>
        <w:t xml:space="preserve">Persalinan pervaginam yang dilakukan pada perempuan dengan riwayat seksio sesarea sebelumnya, setelah memenuhi kriteria seleksi tertentu.</w:t>
      </w:r>
    </w:p>
    <w:p>
      <w:pPr>
        <w:spacing w:after="40" w:before="100"/>
      </w:pPr>
      <w:r>
        <w:rPr>
          <w:rFonts w:ascii="IBM Plex Sans" w:cs="IBM Plex Sans" w:eastAsia="IBM Plex Sans" w:hAnsi="IBM Plex Sans"/>
          <w:b/>
          <w:bCs/>
          <w:color w:val="334155"/>
          <w:sz w:val="22"/>
          <w:szCs w:val="22"/>
        </w:rPr>
        <w:t xml:space="preserve">WHO Labour Care Guide (LCG)</w:t>
      </w:r>
    </w:p>
    <w:p>
      <w:pPr>
        <w:spacing w:after="120" w:line="280"/>
      </w:pPr>
      <w:r>
        <w:rPr>
          <w:rFonts w:ascii="IBM Plex Sans" w:cs="IBM Plex Sans" w:eastAsia="IBM Plex Sans" w:hAnsi="IBM Plex Sans"/>
          <w:color w:val="334155"/>
          <w:sz w:val="21"/>
          <w:szCs w:val="21"/>
        </w:rPr>
        <w:t xml:space="preserve">Instrumen pemantauan persalinan resmi WHO yang diluncurkan tahun 2020, menggantikan partograf konvensional, mengintegrasikan pemantauan klinis dengan elemen asuhan suportif dan pengambilan keputusan bersama.</w:t>
      </w:r>
    </w:p>
    <w:p>
      <w:pPr>
        <w:pBdr>
          <w:top w:val="single" w:color="CBD5E1" w:sz="6"/>
        </w:pBdr>
        <w:spacing w:after="60" w:before="300"/>
      </w:pPr>
    </w:p>
    <w:p>
      <w:pPr>
        <w:spacing w:before="120"/>
      </w:pPr>
      <w:r>
        <w:rPr>
          <w:rFonts w:ascii="IBM Plex Mono" w:cs="IBM Plex Mono" w:eastAsia="IBM Plex Mono" w:hAnsi="IBM Plex Mono"/>
          <w:color w:val="64748B"/>
          <w:sz w:val="18"/>
          <w:szCs w:val="18"/>
        </w:rPr>
        <w:t xml:space="preserve">« PPK No. 19: Robekan Serviks (Cervical Tear)</w:t>
      </w:r>
    </w:p>
    <w:p>
      <w:r>
        <w:rPr>
          <w:rFonts w:ascii="IBM Plex Mono" w:cs="IBM Plex Mono" w:eastAsia="IBM Plex Mono" w:hAnsi="IBM Plex Mono"/>
          <w:color w:val="64748B"/>
          <w:sz w:val="18"/>
          <w:szCs w:val="18"/>
        </w:rPr>
        <w:t xml:space="preserve">PPK No. 21: Persalinan Preterm (Preterm Labor) »</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6"/>
        <w:szCs w:val="16"/>
      </w:rPr>
      <w:t xml:space="preserve">Halaman </w:t>
    </w:r>
    <w:r>
      <w:rPr>
        <w:rFonts w:ascii="IBM Plex Mono" w:cs="IBM Plex Mono" w:eastAsia="IBM Plex Mono" w:hAnsi="IBM Plex Mono"/>
        <w:color w:val="64748B"/>
        <w:sz w:val="16"/>
        <w:szCs w:val="16"/>
      </w:rPr>
      <w:fldChar w:fldCharType="begin"/>
      <w:instrText xml:space="preserve">PAGE</w:instrText>
      <w:fldChar w:fldCharType="separate"/>
      <w:fldChar w:fldCharType="end"/>
    </w:r>
    <w:r>
      <w:rPr>
        <w:rFonts w:ascii="IBM Plex Mono" w:cs="IBM Plex Mono" w:eastAsia="IBM Plex Mono" w:hAnsi="IBM Plex Mono"/>
        <w:color w:val="64748B"/>
        <w:sz w:val="16"/>
        <w:szCs w:val="16"/>
      </w:rPr>
      <w:t xml:space="preserve"> / </w:t>
    </w:r>
    <w:r>
      <w:rPr>
        <w:rFonts w:ascii="IBM Plex Mono" w:cs="IBM Plex Mono" w:eastAsia="IBM Plex Mono" w:hAnsi="IBM Plex Mono"/>
        <w:color w:val="64748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6"/>
        <w:szCs w:val="16"/>
      </w:rPr>
      <w:t xml:space="preserve">PPK No. 20 dari 73 — Persalinan Macet (Dystocia)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2026-08-17T00:25:29.430Z</dcterms:created>
  <dcterms:modified xsi:type="dcterms:W3CDTF">2026-08-17T00:25:29.443Z</dcterms:modified>
</cp:coreProperties>
</file>

<file path=docProps/custom.xml><?xml version="1.0" encoding="utf-8"?>
<Properties xmlns="http://schemas.openxmlformats.org/officeDocument/2006/custom-properties" xmlns:vt="http://schemas.openxmlformats.org/officeDocument/2006/docPropsVTypes"/>
</file>