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jc w:val="center"/>
      </w:pPr>
      <w:r>
        <w:rPr>
          <w:rFonts w:ascii="IBM Plex Sans" w:cs="IBM Plex Sans" w:eastAsia="IBM Plex Sans" w:hAnsi="IBM Plex Sans"/>
          <w:b/>
          <w:bCs/>
          <w:color w:val="B45309"/>
          <w:sz w:val="22"/>
          <w:szCs w:val="22"/>
        </w:rPr>
        <w:t xml:space="preserve">PANDUAN PRAKTIK KLINIS</w:t>
      </w:r>
    </w:p>
    <w:p>
      <w:pPr>
        <w:spacing w:after="120" w:before="200"/>
        <w:jc w:val="center"/>
      </w:pPr>
      <w:r>
        <w:rPr>
          <w:rFonts w:ascii="Source Serif 4" w:cs="Source Serif 4" w:eastAsia="Source Serif 4" w:hAnsi="Source Serif 4"/>
          <w:b/>
          <w:bCs/>
          <w:color w:val="4F46E5"/>
          <w:sz w:val="56"/>
          <w:szCs w:val="56"/>
        </w:rPr>
        <w:t xml:space="preserve">Persalinan Preterm</w:t>
      </w:r>
    </w:p>
    <w:p>
      <w:pPr>
        <w:spacing w:after="400"/>
        <w:jc w:val="center"/>
      </w:pPr>
      <w:r>
        <w:rPr>
          <w:rFonts w:ascii="Source Serif 4" w:cs="Source Serif 4" w:eastAsia="Source Serif 4" w:hAnsi="Source Serif 4"/>
          <w:i/>
          <w:iCs/>
          <w:color w:val="334155"/>
          <w:sz w:val="30"/>
          <w:szCs w:val="30"/>
        </w:rPr>
        <w:t xml:space="preserve">(Preterm Labor)</w:t>
      </w:r>
    </w:p>
    <w:p>
      <w:pPr>
        <w:spacing w:after="60"/>
        <w:jc w:val="center"/>
      </w:pPr>
      <w:r>
        <w:rPr>
          <w:rFonts w:ascii="IBM Plex Mono" w:cs="IBM Plex Mono" w:eastAsia="IBM Plex Mono" w:hAnsi="IBM Plex Mono"/>
          <w:color w:val="64748B"/>
          <w:sz w:val="20"/>
          <w:szCs w:val="20"/>
        </w:rPr>
        <w:t xml:space="preserve">Kode Unit: PPK-021  •  Dokumen 21 dari 73 PPK</w:t>
      </w:r>
    </w:p>
    <w:p>
      <w:pPr>
        <w:spacing w:after="60"/>
        <w:jc w:val="center"/>
      </w:pPr>
      <w:r>
        <w:rPr>
          <w:rFonts w:ascii="IBM Plex Sans" w:cs="IBM Plex Sans" w:eastAsia="IBM Plex Sans" w:hAnsi="IBM Plex Sans"/>
          <w:color w:val="64748B"/>
          <w:sz w:val="20"/>
          <w:szCs w:val="20"/>
        </w:rPr>
        <w:t xml:space="preserve">Divisi Pengampu: Fetomaternal</w:t>
      </w:r>
    </w:p>
    <w:p>
      <w:pPr>
        <w:spacing w:after="900"/>
        <w:jc w:val="center"/>
      </w:pPr>
      <w:r>
        <w:rPr>
          <w:rFonts w:ascii="IBM Plex Sans" w:cs="IBM Plex Sans" w:eastAsia="IBM Plex Sans" w:hAnsi="IBM Plex Sans"/>
          <w:color w:val="64748B"/>
          <w:sz w:val="20"/>
          <w:szCs w:val="20"/>
        </w:rPr>
        <w:t xml:space="preserve">Turunan operasional Buku Tematik B3 — Obstetri Patologis dan Kegawatdaruratan Maternal</w:t>
      </w:r>
    </w:p>
    <w:p>
      <w:pPr>
        <w:spacing w:after="30"/>
        <w:jc w:val="center"/>
      </w:pPr>
      <w:r>
        <w:rPr>
          <w:rFonts w:ascii="IBM Plex Sans" w:cs="IBM Plex Sans" w:eastAsia="IBM Plex Sans" w:hAnsi="IBM Plex Sans"/>
          <w:color w:val="64748B"/>
          <w:sz w:val="18"/>
          <w:szCs w:val="18"/>
        </w:rPr>
        <w:t xml:space="preserve">Disusun oleh</w:t>
      </w:r>
    </w:p>
    <w:p>
      <w:pPr>
        <w:spacing w:after="220"/>
        <w:jc w:val="center"/>
      </w:pPr>
      <w:r>
        <w:rPr>
          <w:rFonts w:ascii="IBM Plex Sans" w:cs="IBM Plex Sans" w:eastAsia="IBM Plex Sans" w:hAnsi="IBM Plex Sans"/>
          <w:b/>
          <w:bCs/>
          <w:color w:val="334155"/>
          <w:sz w:val="21"/>
          <w:szCs w:val="21"/>
        </w:rPr>
        <w:t xml:space="preserve">Dr.dr. Budi Siswanto, Sp.OG., Subsp.Obginsos., SH., S.Kom.</w:t>
      </w:r>
    </w:p>
    <w:p>
      <w:pPr>
        <w:spacing w:after="40"/>
        <w:jc w:val="center"/>
      </w:pPr>
      <w:r>
        <w:rPr>
          <w:rFonts w:ascii="IBM Plex Sans" w:cs="IBM Plex Sans" w:eastAsia="IBM Plex Sans" w:hAnsi="IBM Plex Sans"/>
          <w:color w:val="334155"/>
          <w:sz w:val="19"/>
          <w:szCs w:val="19"/>
        </w:rPr>
        <w:t xml:space="preserve">Perpustakaan Digital ABBA</w:t>
      </w:r>
    </w:p>
    <w:p>
      <w:pPr>
        <w:spacing w:after="40"/>
        <w:jc w:val="center"/>
      </w:pPr>
      <w:r>
        <w:rPr>
          <w:rFonts w:ascii="IBM Plex Sans" w:cs="IBM Plex Sans" w:eastAsia="IBM Plex Sans" w:hAnsi="IBM Plex Sans"/>
          <w:color w:val="64748B"/>
          <w:sz w:val="18"/>
          <w:szCs w:val="18"/>
        </w:rPr>
        <w:t xml:space="preserve">Jl. Kerinci Raya No. 9, Malang 65138</w:t>
      </w:r>
    </w:p>
    <w:p>
      <w:pPr>
        <w:spacing w:after="0"/>
        <w:jc w:val="center"/>
      </w:pPr>
      <w:r>
        <w:rPr>
          <w:rFonts w:ascii="IBM Plex Mono" w:cs="IBM Plex Mono" w:eastAsia="IBM Plex Mono" w:hAnsi="IBM Plex Mono"/>
          <w:color w:val="64748B"/>
          <w:sz w:val="17"/>
          <w:szCs w:val="17"/>
        </w:rPr>
        <w:t xml:space="preserve">Agustus 2026</w:t>
      </w:r>
    </w:p>
    <w:p>
      <w:r>
        <w:br w:type="page"/>
      </w:r>
    </w:p>
    <w:p>
      <w:pPr>
        <w:pStyle w:val="Heading1"/>
        <w:spacing w:after="160" w:before="320"/>
      </w:pPr>
      <w:r>
        <w:t xml:space="preserve">1. Pengertian/Definisi</w:t>
      </w:r>
    </w:p>
    <w:p>
      <w:pPr>
        <w:spacing w:after="160" w:line="300"/>
      </w:pPr>
      <w:r>
        <w:rPr>
          <w:rFonts w:ascii="IBM Plex Sans" w:cs="IBM Plex Sans" w:eastAsia="IBM Plex Sans" w:hAnsi="IBM Plex Sans"/>
          <w:i w:val="false"/>
          <w:iCs w:val="false"/>
          <w:color w:val="334155"/>
          <w:sz w:val="21"/>
          <w:szCs w:val="21"/>
        </w:rPr>
        <w:t xml:space="preserve">Persalinan preterm (preterm labor) adalah timbulnya kontraksi uterus yang teratur disertai perubahan serviks progresif (pendataran dan/atau pembukaan) sebelum usia kehamilan genap 37 minggu dan setelah usia kehamilan 20 minggu. Batas bawah 20 minggu membedakan kondisi ini dari abortus; batas atas 37 minggu 0 hari membedakannya dari persalinan aterm. Kelahiran preterm (preterm birth) adalah kelahiran hidup sebelum 37 minggu lengkap, dan menurut usia kehamilan saat lahir dibagi menjadi extremely preterm (kurang dari 28 minggu), very preterm (28 sampai kurang dari 32 minggu), dan moderate to late preterm (32 sampai kurang dari 37 minggu).</w:t>
      </w:r>
    </w:p>
    <w:p>
      <w:pPr>
        <w:spacing w:after="160" w:line="300"/>
      </w:pPr>
      <w:r>
        <w:rPr>
          <w:rFonts w:ascii="IBM Plex Sans" w:cs="IBM Plex Sans" w:eastAsia="IBM Plex Sans" w:hAnsi="IBM Plex Sans"/>
          <w:i w:val="false"/>
          <w:iCs w:val="false"/>
          <w:color w:val="334155"/>
          <w:sz w:val="21"/>
          <w:szCs w:val="21"/>
        </w:rPr>
        <w:t xml:space="preserve">Persalinan preterm dibedakan dari persalinan preterm mengancam (threatened preterm labor), yaitu kontraksi uterus tanpa perubahan serviks bermakna, dan dari ketuban pecah dini preterm (KPD preterm/preterm premature rupture of membranes, PPROM) yang memiliki tata laksana tersendiri meski sering tumpang tindih secara klinis.</w:t>
      </w:r>
    </w:p>
    <w:p>
      <w:pPr>
        <w:pStyle w:val="Heading2"/>
        <w:spacing w:after="120" w:before="200"/>
      </w:pPr>
      <w:r>
        <w:t xml:space="preserve">1.1 Patofisiologi Ringkas</w:t>
      </w:r>
    </w:p>
    <w:p>
      <w:pPr>
        <w:spacing w:after="160" w:line="300"/>
      </w:pPr>
      <w:r>
        <w:rPr>
          <w:rFonts w:ascii="IBM Plex Sans" w:cs="IBM Plex Sans" w:eastAsia="IBM Plex Sans" w:hAnsi="IBM Plex Sans"/>
          <w:i w:val="false"/>
          <w:iCs w:val="false"/>
          <w:color w:val="334155"/>
          <w:sz w:val="21"/>
          <w:szCs w:val="21"/>
        </w:rPr>
        <w:t xml:space="preserve">Persalinan preterm bukan satu penyakit tunggal, melainkan sindrom klinis (preterm labor syndrome) dengan empat jalur patofisiologis utama yang dapat tumpang tindih: (1) infeksi/inflamasi intrauterin dengan pelepasan sitokin proinflamasi yang memicu prostaglandin dan matriks metaloproteinase; (2) iskemia uteroplasenta akibat gangguan invasi trofoblas atau insufisiensi vaskular; (3) distensi uterus berlebihan pada kehamilan multipel atau polihidramnion; dan (4) aktivasi dini aksis hipotalamus-hipofisis-adrenal maternal-janin akibat stres fisiologis atau psikososial. Pemahaman jalur ini mendasari pemilihan pemeriksaan penunjang dan tata laksana pada bagian selanjutnya.</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7ED" w:val="clear"/>
            <w:tcMar>
              <w:top w:type="dxa" w:w="160"/>
              <w:left w:type="dxa" w:w="220"/>
              <w:bottom w:type="dxa" w:w="160"/>
              <w:right w:type="dxa" w:w="22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Keputusan Ketua Konsil Kesehatan Indonesia No. HK.01.02/KKI/1318/2026 tentang Standar Kompetensi Dokter Spesialis dan Subspesialis Bidang Obstetri dan Ginekologi, Tabel 7, entri diagnosis "Persalinan preterm / Preterm labor" (baris ke-21), turunan operasional Buku Tematik B3 — Obstetri Patologis dan Kegawatdaruratan Maternal. Nama diagnosis, kode ICD, dan catatan populasi sasaran pada dokumen ini disusun berdasarkan penunjuk lokasi yang diberikan pada dokumen kerja internal; kecocokan kata-demi-kata terhadap Tabel 7 asli dan nomor bab spesifik pada Buku Tematik B3 belum dapat diverifikasi pada sesi penyusunan ini karena berkas sumber Kepkonsil tidak tersedia untuk ditelusuri langsung, dan wajib dituntaskan oleh pengampu sebelum PPK ini disahkan secara resmi.</w:t>
            </w:r>
          </w:p>
        </w:tc>
      </w:tr>
    </w:tbl>
    <w:p>
      <w:pPr>
        <w:spacing w:after="160"/>
      </w:pPr>
    </w:p>
    <w:p>
      <w:pPr>
        <w:pStyle w:val="Heading1"/>
        <w:spacing w:after="160" w:before="320"/>
      </w:pPr>
      <w:r>
        <w:t xml:space="preserve">2. Anamnesis</w:t>
      </w:r>
    </w:p>
    <w:p>
      <w:pPr>
        <w:spacing w:after="160" w:line="300"/>
      </w:pPr>
      <w:r>
        <w:rPr>
          <w:rFonts w:ascii="IBM Plex Sans" w:cs="IBM Plex Sans" w:eastAsia="IBM Plex Sans" w:hAnsi="IBM Plex Sans"/>
          <w:i w:val="false"/>
          <w:iCs w:val="false"/>
          <w:color w:val="334155"/>
          <w:sz w:val="21"/>
          <w:szCs w:val="21"/>
        </w:rPr>
        <w:t xml:space="preserve">Anamnesis terstruktur ditujukan untuk memastikan usia kehamilan, mengidentifikasi faktor risiko, dan menyingkirkan diagnosis banding.</w:t>
      </w:r>
    </w:p>
    <w:p>
      <w:pPr>
        <w:pStyle w:val="Heading2"/>
        <w:spacing w:after="120" w:before="200"/>
      </w:pPr>
      <w:r>
        <w:t xml:space="preserve">2.1 Keluhan Utama dan Karakteristik Kontraksi</w:t>
      </w:r>
    </w:p>
    <w:p>
      <w:pPr>
        <w:pStyle w:val="ListParagraph"/>
        <w:numPr>
          <w:ilvl w:val="0"/>
          <w:numId w:val="1"/>
        </w:numPr>
        <w:spacing w:after="100" w:line="290"/>
      </w:pPr>
      <w:r>
        <w:rPr>
          <w:rFonts w:ascii="IBM Plex Sans" w:cs="IBM Plex Sans" w:eastAsia="IBM Plex Sans" w:hAnsi="IBM Plex Sans"/>
          <w:color w:val="334155"/>
          <w:sz w:val="21"/>
          <w:szCs w:val="21"/>
        </w:rPr>
        <w:t xml:space="preserve">Frekuensi, durasi, dan intensitas kontraksi (kriteria operasional: 4 kali atau lebih dalam 20 menit, atau 8 kali atau lebih dalam 60 menit).</w:t>
      </w:r>
    </w:p>
    <w:p>
      <w:pPr>
        <w:pStyle w:val="ListParagraph"/>
        <w:numPr>
          <w:ilvl w:val="0"/>
          <w:numId w:val="1"/>
        </w:numPr>
        <w:spacing w:after="100" w:line="290"/>
      </w:pPr>
      <w:r>
        <w:rPr>
          <w:rFonts w:ascii="IBM Plex Sans" w:cs="IBM Plex Sans" w:eastAsia="IBM Plex Sans" w:hAnsi="IBM Plex Sans"/>
          <w:color w:val="334155"/>
          <w:sz w:val="21"/>
          <w:szCs w:val="21"/>
        </w:rPr>
        <w:t xml:space="preserve">Nyeri pinggang bawah menetap, rasa tertekan pada panggul (pelvic pressure), atau kram menyerupai nyeri haid.</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Perubahan sekret vagina: cairan (curigai KPD preterm), lendir bercampur darah (bloody show), atau perdarahan.</w:t>
      </w:r>
    </w:p>
    <w:p>
      <w:pPr>
        <w:pStyle w:val="Heading2"/>
        <w:spacing w:after="120" w:before="200"/>
      </w:pPr>
      <w:r>
        <w:t xml:space="preserve">2.2 Penentuan Usia Kehamilan</w:t>
      </w:r>
    </w:p>
    <w:p>
      <w:pPr>
        <w:spacing w:after="160" w:line="300"/>
      </w:pPr>
      <w:r>
        <w:rPr>
          <w:rFonts w:ascii="IBM Plex Sans" w:cs="IBM Plex Sans" w:eastAsia="IBM Plex Sans" w:hAnsi="IBM Plex Sans"/>
          <w:i w:val="false"/>
          <w:iCs w:val="false"/>
          <w:color w:val="334155"/>
          <w:sz w:val="21"/>
          <w:szCs w:val="21"/>
        </w:rPr>
        <w:t xml:space="preserve">Konfirmasi Hari Pertama Haid Terakhir (HPHT) dan bandingkan dengan hasil USG trimester pertama bila tersedia. Penentuan usia kehamilan yang akurat adalah prasyarat mutlak sebelum label "preterm" ditegakkan dan sebelum keputusan tokolisis, kortikosteroid, atau magnesium sulfat diambil, karena seluruh jendela terapi tersebut ditentukan oleh usia kehamilan.</w:t>
      </w:r>
    </w:p>
    <w:p>
      <w:pPr>
        <w:pStyle w:val="Heading2"/>
        <w:spacing w:after="120" w:before="200"/>
      </w:pPr>
      <w:r>
        <w:t xml:space="preserve">2.3 Faktor Risiko</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persalinan atau kelahiran preterm sebelumnya — faktor risiko tunggal terkuat untuk kehamilan berikutnya.</w:t>
      </w:r>
    </w:p>
    <w:p>
      <w:pPr>
        <w:pStyle w:val="ListParagraph"/>
        <w:numPr>
          <w:ilvl w:val="0"/>
          <w:numId w:val="1"/>
        </w:numPr>
        <w:spacing w:after="100" w:line="290"/>
      </w:pPr>
      <w:r>
        <w:rPr>
          <w:rFonts w:ascii="IBM Plex Sans" w:cs="IBM Plex Sans" w:eastAsia="IBM Plex Sans" w:hAnsi="IBM Plex Sans"/>
          <w:color w:val="334155"/>
          <w:sz w:val="21"/>
          <w:szCs w:val="21"/>
        </w:rPr>
        <w:t xml:space="preserve">Kehamilan multipel (gemelli atau multipel lain), polihidramnion.</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prosedur serviks (konisasi, LEEP) atau insufisiensi serviks.</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Perdarahan antepartum, solusio plasenta, plasenta previa.</w:t>
      </w:r>
    </w:p>
    <w:p>
      <w:pPr>
        <w:pStyle w:val="ListParagraph"/>
        <w:numPr>
          <w:ilvl w:val="0"/>
          <w:numId w:val="1"/>
        </w:numPr>
        <w:spacing w:after="100" w:line="290"/>
      </w:pPr>
      <w:r>
        <w:rPr>
          <w:rFonts w:ascii="IBM Plex Sans" w:cs="IBM Plex Sans" w:eastAsia="IBM Plex Sans" w:hAnsi="IBM Plex Sans"/>
          <w:color w:val="334155"/>
          <w:sz w:val="21"/>
          <w:szCs w:val="21"/>
        </w:rPr>
        <w:t xml:space="preserve">Infeksi: infeksi saluran kemih, vaginosis bakterialis, infeksi menular seksual, korioamnionitis subklinis, infeksi periodontal berat.</w:t>
      </w:r>
    </w:p>
    <w:p>
      <w:pPr>
        <w:pStyle w:val="ListParagraph"/>
        <w:numPr>
          <w:ilvl w:val="0"/>
          <w:numId w:val="1"/>
        </w:numPr>
        <w:spacing w:after="100" w:line="290"/>
      </w:pPr>
      <w:r>
        <w:rPr>
          <w:rFonts w:ascii="IBM Plex Sans" w:cs="IBM Plex Sans" w:eastAsia="IBM Plex Sans" w:hAnsi="IBM Plex Sans"/>
          <w:color w:val="334155"/>
          <w:sz w:val="21"/>
          <w:szCs w:val="21"/>
        </w:rPr>
        <w:t xml:space="preserve">Kelainan uterus (uterus bikornu, mioma submukosa besar), riwayat bedah uterus.</w:t>
      </w:r>
    </w:p>
    <w:p>
      <w:pPr>
        <w:pStyle w:val="ListParagraph"/>
        <w:numPr>
          <w:ilvl w:val="0"/>
          <w:numId w:val="1"/>
        </w:numPr>
        <w:spacing w:after="100" w:line="290"/>
      </w:pPr>
      <w:r>
        <w:rPr>
          <w:rFonts w:ascii="IBM Plex Sans" w:cs="IBM Plex Sans" w:eastAsia="IBM Plex Sans" w:hAnsi="IBM Plex Sans"/>
          <w:color w:val="334155"/>
          <w:sz w:val="21"/>
          <w:szCs w:val="21"/>
        </w:rPr>
        <w:t xml:space="preserve">Interval kehamilan pendek (kurang dari 18 bulan sejak persalinan sebelumnya).</w:t>
      </w:r>
    </w:p>
    <w:p>
      <w:pPr>
        <w:pStyle w:val="ListParagraph"/>
        <w:numPr>
          <w:ilvl w:val="0"/>
          <w:numId w:val="1"/>
        </w:numPr>
        <w:spacing w:after="100" w:line="290"/>
      </w:pPr>
      <w:r>
        <w:rPr>
          <w:rFonts w:ascii="IBM Plex Sans" w:cs="IBM Plex Sans" w:eastAsia="IBM Plex Sans" w:hAnsi="IBM Plex Sans"/>
          <w:color w:val="334155"/>
          <w:sz w:val="21"/>
          <w:szCs w:val="21"/>
        </w:rPr>
        <w:t xml:space="preserve">Faktor ibu: usia kurang dari 18 atau lebih dari 35 tahun, indeks massa tubuh ekstrem, merokok aktif atau pasif, penyalahgunaan zat, stres psikososial berat, status gizi buruk, penyakit sistemik (hipertensi kronik, diabetes, penyakit tiroid tidak terkontrol).</w:t>
      </w:r>
    </w:p>
    <w:p>
      <w:pPr>
        <w:pStyle w:val="Heading1"/>
        <w:spacing w:after="160" w:before="320"/>
      </w:pPr>
      <w:r>
        <w:t xml:space="preserve">3. Pemeriksaan Fisik</w:t>
      </w:r>
    </w:p>
    <w:p>
      <w:pPr>
        <w:pStyle w:val="Heading2"/>
        <w:spacing w:after="120" w:before="200"/>
      </w:pPr>
      <w:r>
        <w:t xml:space="preserve">3.1 Pemeriksaan Umum dan Obstetri Luar</w:t>
      </w:r>
    </w:p>
    <w:p>
      <w:pPr>
        <w:pStyle w:val="ListParagraph"/>
        <w:numPr>
          <w:ilvl w:val="0"/>
          <w:numId w:val="1"/>
        </w:numPr>
        <w:spacing w:after="100" w:line="290"/>
      </w:pPr>
      <w:r>
        <w:rPr>
          <w:rFonts w:ascii="IBM Plex Sans" w:cs="IBM Plex Sans" w:eastAsia="IBM Plex Sans" w:hAnsi="IBM Plex Sans"/>
          <w:color w:val="334155"/>
          <w:sz w:val="21"/>
          <w:szCs w:val="21"/>
        </w:rPr>
        <w:t xml:space="preserve">Tanda vital ibu — curigai infeksi/korioamnionitis bila demam disertai takikardia.</w:t>
      </w:r>
    </w:p>
    <w:p>
      <w:pPr>
        <w:pStyle w:val="ListParagraph"/>
        <w:numPr>
          <w:ilvl w:val="0"/>
          <w:numId w:val="1"/>
        </w:numPr>
        <w:spacing w:after="100" w:line="290"/>
      </w:pPr>
      <w:r>
        <w:rPr>
          <w:rFonts w:ascii="IBM Plex Sans" w:cs="IBM Plex Sans" w:eastAsia="IBM Plex Sans" w:hAnsi="IBM Plex Sans"/>
          <w:color w:val="334155"/>
          <w:sz w:val="21"/>
          <w:szCs w:val="21"/>
        </w:rPr>
        <w:t xml:space="preserve">Palpasi Leopold: taksiran berat janin, presentasi, letak — relevan untuk rencana persalinan bila preterm tidak tertahankan.</w:t>
      </w:r>
    </w:p>
    <w:p>
      <w:pPr>
        <w:pStyle w:val="ListParagraph"/>
        <w:numPr>
          <w:ilvl w:val="0"/>
          <w:numId w:val="1"/>
        </w:numPr>
        <w:spacing w:after="100" w:line="290"/>
      </w:pPr>
      <w:r>
        <w:rPr>
          <w:rFonts w:ascii="IBM Plex Sans" w:cs="IBM Plex Sans" w:eastAsia="IBM Plex Sans" w:hAnsi="IBM Plex Sans"/>
          <w:color w:val="334155"/>
          <w:sz w:val="21"/>
          <w:szCs w:val="21"/>
        </w:rPr>
        <w:t xml:space="preserve">Palpasi kontraksi uterus: frekuensi dan tonus.</w:t>
      </w:r>
    </w:p>
    <w:p>
      <w:pPr>
        <w:pStyle w:val="ListParagraph"/>
        <w:numPr>
          <w:ilvl w:val="0"/>
          <w:numId w:val="1"/>
        </w:numPr>
        <w:spacing w:after="100" w:line="290"/>
      </w:pPr>
      <w:r>
        <w:rPr>
          <w:rFonts w:ascii="IBM Plex Sans" w:cs="IBM Plex Sans" w:eastAsia="IBM Plex Sans" w:hAnsi="IBM Plex Sans"/>
          <w:color w:val="334155"/>
          <w:sz w:val="21"/>
          <w:szCs w:val="21"/>
        </w:rPr>
        <w:t xml:space="preserve">Denyut jantung janin melalui auskultasi Doppler atau kardiotokografi.</w:t>
      </w:r>
    </w:p>
    <w:p>
      <w:pPr>
        <w:pStyle w:val="Heading2"/>
        <w:spacing w:after="120" w:before="200"/>
      </w:pPr>
      <w:r>
        <w:t xml:space="preserve">3.2 Pemeriksaan Serviks</w:t>
      </w:r>
    </w:p>
    <w:p>
      <w:pPr>
        <w:spacing w:after="160" w:line="300"/>
      </w:pPr>
      <w:r>
        <w:rPr>
          <w:rFonts w:ascii="IBM Plex Sans" w:cs="IBM Plex Sans" w:eastAsia="IBM Plex Sans" w:hAnsi="IBM Plex Sans"/>
          <w:i w:val="false"/>
          <w:iCs w:val="false"/>
          <w:color w:val="334155"/>
          <w:sz w:val="21"/>
          <w:szCs w:val="21"/>
        </w:rPr>
        <w:t xml:space="preserve">Inspekulo steril dilakukan terlebih dahulu untuk menilai dilatasi visual, cairan atau perdarahan, dan mengambil sampel (fibronektin janin, kultur/swab bila indikasi) sebelum colok vagina digital, karena colok digital dapat mengganggu hasil pemeriksaan fibronektin janin dan berisiko pada kecurigaan plasenta previa atau KPD. Pemeriksaan digital dilakukan bila inspekulo tidak menunjukkan kontraindikasi, untuk menilai pendataran, pembukaan, konsistensi, dan posisi serviks (skor Bishop bila relevan untuk rencana persalinan).</w:t>
      </w:r>
    </w:p>
    <w:p>
      <w:pPr>
        <w:spacing w:after="160" w:line="300"/>
      </w:pPr>
      <w:r>
        <w:rPr>
          <w:rFonts w:ascii="IBM Plex Sans" w:cs="IBM Plex Sans" w:eastAsia="IBM Plex Sans" w:hAnsi="IBM Plex Sans"/>
          <w:i w:val="false"/>
          <w:iCs w:val="false"/>
          <w:color w:val="334155"/>
          <w:sz w:val="21"/>
          <w:szCs w:val="21"/>
        </w:rPr>
        <w:t xml:space="preserve">Pemeriksaan digital serviks berulang tanpa indikasi kuat sebaiknya dihindari pada kecurigaan KPD preterm karena meningkatkan risiko infeksi asenden.</w:t>
      </w:r>
    </w:p>
    <w:p>
      <w:pPr>
        <w:pStyle w:val="Heading1"/>
        <w:spacing w:after="160" w:before="320"/>
      </w:pPr>
      <w:r>
        <w:t xml:space="preserve">4. Kriteria Diagnosis</w:t>
      </w:r>
    </w:p>
    <w:p>
      <w:pPr>
        <w:spacing w:after="160" w:line="300"/>
      </w:pPr>
      <w:r>
        <w:rPr>
          <w:rFonts w:ascii="IBM Plex Sans" w:cs="IBM Plex Sans" w:eastAsia="IBM Plex Sans" w:hAnsi="IBM Plex Sans"/>
          <w:i w:val="false"/>
          <w:iCs w:val="false"/>
          <w:color w:val="334155"/>
          <w:sz w:val="21"/>
          <w:szCs w:val="21"/>
        </w:rPr>
        <w:t xml:space="preserve">Diagnosis persalinan preterm ditegakkan pada usia kehamilan 20 sampai kurang dari 37 minggu bila memenuhi kombinasi kriteria kontraksi dan kriteria serviks berikut:</w:t>
      </w:r>
    </w:p>
    <w:p>
      <w:pPr>
        <w:pStyle w:val="ListParagraph"/>
        <w:numPr>
          <w:ilvl w:val="0"/>
          <w:numId w:val="2"/>
        </w:numPr>
        <w:spacing w:after="100" w:line="290"/>
      </w:pPr>
      <w:r>
        <w:rPr>
          <w:rFonts w:ascii="IBM Plex Sans" w:cs="IBM Plex Sans" w:eastAsia="IBM Plex Sans" w:hAnsi="IBM Plex Sans"/>
          <w:color w:val="334155"/>
          <w:sz w:val="21"/>
          <w:szCs w:val="21"/>
        </w:rPr>
        <w:t xml:space="preserve">Kontraksi uterus teratur (4 kali atau lebih dalam 20 menit, atau 8 kali atau lebih dalam 60 menit) yang terpalpasi atau terekam kardiotokografi, DAN</w:t>
      </w:r>
    </w:p>
    <w:p>
      <w:pPr>
        <w:pStyle w:val="ListParagraph"/>
        <w:numPr>
          <w:ilvl w:val="0"/>
          <w:numId w:val="2"/>
        </w:numPr>
        <w:spacing w:after="100" w:line="290"/>
      </w:pPr>
      <w:r>
        <w:rPr>
          <w:rFonts w:ascii="IBM Plex Sans" w:cs="IBM Plex Sans" w:eastAsia="IBM Plex Sans" w:hAnsi="IBM Plex Sans"/>
          <w:color w:val="334155"/>
          <w:sz w:val="21"/>
          <w:szCs w:val="21"/>
        </w:rPr>
        <w:t xml:space="preserve">Perubahan serviks progresif: pembukaan 2 cm atau lebih dan/atau pendataran 80% atau lebih, ATAU pembukaan serviks yang berkembang pada pemeriksaan serial, ATAU panjang serviks 20 mm atau kurang pada USG transvaginal disertai kontraksi simtomatik.</w:t>
      </w:r>
    </w:p>
    <w:p>
      <w:pPr>
        <w:spacing w:after="160" w:line="300"/>
      </w:pPr>
      <w:r>
        <w:rPr>
          <w:rFonts w:ascii="IBM Plex Sans" w:cs="IBM Plex Sans" w:eastAsia="IBM Plex Sans" w:hAnsi="IBM Plex Sans"/>
          <w:i w:val="false"/>
          <w:iCs w:val="false"/>
          <w:color w:val="334155"/>
          <w:sz w:val="21"/>
          <w:szCs w:val="21"/>
        </w:rPr>
        <w:t xml:space="preserve">Pada kondisi ambigu (kontraksi simtomatik namun serviks belum jelas berubah), panjang serviks USG transvaginal dan/atau fibronektin janin digunakan sebagai penapis untuk menstratifikasi risiko persalinan dalam 7–14 hari (lihat bagian 6). Pendekatan ini konsisten dengan alat prediksi berbasis kombinasi klinis dan biomarker yang kini direkomendasikan (mis. algoritme QUiPP) untuk mengurangi rawat inap dan intervensi yang tidak perlu pada risiko rendah.</w:t>
      </w:r>
    </w:p>
    <w:p>
      <w:pPr>
        <w:pStyle w:val="Heading2"/>
        <w:spacing w:after="120" w:before="200"/>
      </w:pPr>
      <w:r>
        <w:t xml:space="preserve">4.1 Kode Klasifikasi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Kode ICD-10</w:t>
            </w:r>
          </w:p>
        </w:tc>
        <w:tc>
          <w:tcPr>
            <w:tcW w:type="dxa" w:w="4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Deskripsi</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O60.0</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Persalinan preterm tanpa persalinan (preterm labour without delivery)</w:t>
            </w:r>
          </w:p>
        </w:tc>
      </w:tr>
      <w:tr>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O60.1</w:t>
            </w:r>
          </w:p>
        </w:tc>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Persalinan preterm spontan dengan kelahiran preterm</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O60.2</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Persalinan preterm spontan dengan kelahiran aterm</w:t>
            </w:r>
          </w:p>
        </w:tc>
      </w:tr>
      <w:tr>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O60.3</w:t>
            </w:r>
          </w:p>
        </w:tc>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Kelahiran preterm tanpa persalinan spontan (induksi/seksio elektif)</w:t>
            </w:r>
          </w:p>
        </w:tc>
      </w:tr>
    </w:tbl>
    <w:p>
      <w:pPr>
        <w:spacing w:after="1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Kode ICD-11</w:t>
            </w:r>
          </w:p>
        </w:tc>
        <w:tc>
          <w:tcPr>
            <w:tcW w:type="dxa" w:w="4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Deskripsi</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JB00.0</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Preterm labour without delivery</w:t>
            </w:r>
          </w:p>
        </w:tc>
      </w:tr>
      <w:tr>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JB00.1</w:t>
            </w:r>
          </w:p>
        </w:tc>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Preterm spontaneous labour with preterm delivery</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JB00.2</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Preterm labour with term delivery</w:t>
            </w:r>
          </w:p>
        </w:tc>
      </w:tr>
      <w:tr>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JB00.3</w:t>
            </w:r>
          </w:p>
        </w:tc>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Preterm delivery following iatrogenic induction of labour or caesarean section</w:t>
            </w:r>
          </w:p>
        </w:tc>
      </w:tr>
    </w:tbl>
    <w:p>
      <w:pPr>
        <w:spacing w:after="160"/>
      </w:pPr>
    </w:p>
    <w:p>
      <w:pPr>
        <w:spacing w:after="160" w:line="300"/>
      </w:pPr>
      <w:r>
        <w:rPr>
          <w:rFonts w:ascii="IBM Plex Sans" w:cs="IBM Plex Sans" w:eastAsia="IBM Plex Sans" w:hAnsi="IBM Plex Sans"/>
          <w:i/>
          <w:iCs/>
          <w:color w:val="64748B"/>
          <w:sz w:val="21"/>
          <w:szCs w:val="21"/>
        </w:rPr>
        <w:t xml:space="preserve">Catatan: pemetaan kode di atas mengikuti nomenklatur resmi WHO ICD-10 dan ICD-11 untuk kategori Preterm labor/O60 dan JB00. Kecocokan baris ini terhadap entri persis Tabel 7 Kepkonsil No. HK.01.02/KKI/1318/2026 — termasuk kemungkinan subkode tambahan yang ditetapkan khusus oleh Kepkonsil — belum dapat diverifikasi pada sesi ini (lihat kotak Dasar Regulasi di atas) dan wajib dikonfirmasi pengampu.</w:t>
      </w:r>
    </w:p>
    <w:p>
      <w:pPr>
        <w:pStyle w:val="Heading1"/>
        <w:spacing w:after="160" w:before="320"/>
      </w:pPr>
      <w:r>
        <w:t xml:space="preserve">5. Diagnosis Kerja dan Diagnosis Banding</w:t>
      </w:r>
    </w:p>
    <w:p>
      <w:pPr>
        <w:spacing w:after="160" w:line="300"/>
      </w:pPr>
      <w:r>
        <w:rPr>
          <w:rFonts w:ascii="IBM Plex Sans" w:cs="IBM Plex Sans" w:eastAsia="IBM Plex Sans" w:hAnsi="IBM Plex Sans"/>
          <w:i w:val="false"/>
          <w:iCs w:val="false"/>
          <w:color w:val="334155"/>
          <w:sz w:val="21"/>
          <w:szCs w:val="21"/>
        </w:rPr>
        <w:t xml:space="preserve">Diagnosis kerja: Persalinan preterm (Preterm labor), usia kehamilan sesuai HPHT/USG, disertai status membran (utuh/pecah) dan pembukaan serviks saat pemeriksaan.</w:t>
      </w:r>
    </w:p>
    <w:p>
      <w:pPr>
        <w:pStyle w:val="Heading2"/>
        <w:spacing w:after="120" w:before="200"/>
      </w:pPr>
      <w:r>
        <w:t xml:space="preserve">5.1 Diagnosis Banding</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Persalinan preterm mengancam (threatened preterm labor) — kontraksi tanpa perubahan serviks bermakna.</w:t>
      </w:r>
    </w:p>
    <w:p>
      <w:pPr>
        <w:pStyle w:val="ListParagraph"/>
        <w:numPr>
          <w:ilvl w:val="0"/>
          <w:numId w:val="1"/>
        </w:numPr>
        <w:spacing w:after="100" w:line="290"/>
      </w:pPr>
      <w:r>
        <w:rPr>
          <w:rFonts w:ascii="IBM Plex Sans" w:cs="IBM Plex Sans" w:eastAsia="IBM Plex Sans" w:hAnsi="IBM Plex Sans"/>
          <w:color w:val="334155"/>
          <w:sz w:val="21"/>
          <w:szCs w:val="21"/>
        </w:rPr>
        <w:t xml:space="preserve">Ketuban pecah dini preterm (PPROM) — pecah membran mendahului kontraksi.</w:t>
      </w:r>
    </w:p>
    <w:p>
      <w:pPr>
        <w:pStyle w:val="ListParagraph"/>
        <w:numPr>
          <w:ilvl w:val="0"/>
          <w:numId w:val="1"/>
        </w:numPr>
        <w:spacing w:after="100" w:line="290"/>
      </w:pPr>
      <w:r>
        <w:rPr>
          <w:rFonts w:ascii="IBM Plex Sans" w:cs="IBM Plex Sans" w:eastAsia="IBM Plex Sans" w:hAnsi="IBM Plex Sans"/>
          <w:color w:val="334155"/>
          <w:sz w:val="21"/>
          <w:szCs w:val="21"/>
        </w:rPr>
        <w:t xml:space="preserve">Kontraksi Braxton-Hicks — ireguler, tidak disertai perubahan serviks.</w:t>
      </w:r>
    </w:p>
    <w:p>
      <w:pPr>
        <w:pStyle w:val="ListParagraph"/>
        <w:numPr>
          <w:ilvl w:val="0"/>
          <w:numId w:val="1"/>
        </w:numPr>
        <w:spacing w:after="100" w:line="290"/>
      </w:pPr>
      <w:r>
        <w:rPr>
          <w:rFonts w:ascii="IBM Plex Sans" w:cs="IBM Plex Sans" w:eastAsia="IBM Plex Sans" w:hAnsi="IBM Plex Sans"/>
          <w:color w:val="334155"/>
          <w:sz w:val="21"/>
          <w:szCs w:val="21"/>
        </w:rPr>
        <w:t xml:space="preserve">Infeksi saluran kemih atau pielonefritis — nyeri pinggang, dapat memicu kontraksi tanpa perubahan serviks primer.</w:t>
      </w:r>
    </w:p>
    <w:p>
      <w:pPr>
        <w:pStyle w:val="ListParagraph"/>
        <w:numPr>
          <w:ilvl w:val="0"/>
          <w:numId w:val="1"/>
        </w:numPr>
        <w:spacing w:after="100" w:line="290"/>
      </w:pPr>
      <w:r>
        <w:rPr>
          <w:rFonts w:ascii="IBM Plex Sans" w:cs="IBM Plex Sans" w:eastAsia="IBM Plex Sans" w:hAnsi="IBM Plex Sans"/>
          <w:color w:val="334155"/>
          <w:sz w:val="21"/>
          <w:szCs w:val="21"/>
        </w:rPr>
        <w:t xml:space="preserve">Solusio plasenta — nyeri perut mendadak, uterus tegang (tetani), dapat disertai perdarahan.</w:t>
      </w:r>
    </w:p>
    <w:p>
      <w:pPr>
        <w:pStyle w:val="ListParagraph"/>
        <w:numPr>
          <w:ilvl w:val="0"/>
          <w:numId w:val="1"/>
        </w:numPr>
        <w:spacing w:after="100" w:line="290"/>
      </w:pPr>
      <w:r>
        <w:rPr>
          <w:rFonts w:ascii="IBM Plex Sans" w:cs="IBM Plex Sans" w:eastAsia="IBM Plex Sans" w:hAnsi="IBM Plex Sans"/>
          <w:color w:val="334155"/>
          <w:sz w:val="21"/>
          <w:szCs w:val="21"/>
        </w:rPr>
        <w:t xml:space="preserve">Nyeri muskuloskeletal kehamilan dan kolik gastrointestinal/renal.</w:t>
      </w:r>
    </w:p>
    <w:p>
      <w:pPr>
        <w:pStyle w:val="ListParagraph"/>
        <w:numPr>
          <w:ilvl w:val="0"/>
          <w:numId w:val="1"/>
        </w:numPr>
        <w:spacing w:after="100" w:line="290"/>
      </w:pPr>
      <w:r>
        <w:rPr>
          <w:rFonts w:ascii="IBM Plex Sans" w:cs="IBM Plex Sans" w:eastAsia="IBM Plex Sans" w:hAnsi="IBM Plex Sans"/>
          <w:color w:val="334155"/>
          <w:sz w:val="21"/>
          <w:szCs w:val="21"/>
        </w:rPr>
        <w:t xml:space="preserve">Insufisiensi serviks (cervical insufficiency) — dilatasi tanpa nyeri/kontraksi bermakna, umumnya trimester kedua.</w:t>
      </w:r>
    </w:p>
    <w:p>
      <w:pPr>
        <w:pStyle w:val="Heading1"/>
        <w:spacing w:after="160" w:before="320"/>
      </w:pPr>
      <w:r>
        <w:t xml:space="preserve">6. Pemeriksaan Penunjang</w:t>
      </w:r>
    </w:p>
    <w:p>
      <w:pPr>
        <w:pStyle w:val="ListParagraph"/>
        <w:numPr>
          <w:ilvl w:val="0"/>
          <w:numId w:val="1"/>
        </w:numPr>
        <w:spacing w:after="100" w:line="290"/>
      </w:pPr>
      <w:r>
        <w:rPr>
          <w:rFonts w:ascii="IBM Plex Sans" w:cs="IBM Plex Sans" w:eastAsia="IBM Plex Sans" w:hAnsi="IBM Plex Sans"/>
          <w:color w:val="334155"/>
          <w:sz w:val="21"/>
          <w:szCs w:val="21"/>
        </w:rPr>
        <w:t xml:space="preserve">USG transvaginal untuk panjang serviks — nilai 20 mm atau kurang pada usia kehamilan kurang dari 34 minggu meningkatkan risiko persalinan preterm; nilai 30 mm atau lebih memiliki nilai prediksi negatif tinggi.</w:t>
      </w:r>
    </w:p>
    <w:p>
      <w:pPr>
        <w:pStyle w:val="ListParagraph"/>
        <w:numPr>
          <w:ilvl w:val="0"/>
          <w:numId w:val="1"/>
        </w:numPr>
        <w:spacing w:after="100" w:line="290"/>
      </w:pPr>
      <w:r>
        <w:rPr>
          <w:rFonts w:ascii="IBM Plex Sans" w:cs="IBM Plex Sans" w:eastAsia="IBM Plex Sans" w:hAnsi="IBM Plex Sans"/>
          <w:color w:val="334155"/>
          <w:sz w:val="21"/>
          <w:szCs w:val="21"/>
        </w:rPr>
        <w:t xml:space="preserve">Fibronektin janin (fetal fibronectin) kualitatif dari sekret servikovaginal pada usia kehamilan 22–34 minggu — nilai prediksi negatif tinggi untuk persalinan dalam 7–14 hari bila negatif, membantu menghindari intervensi yang tidak perlu.</w:t>
      </w:r>
    </w:p>
    <w:p>
      <w:pPr>
        <w:pStyle w:val="ListParagraph"/>
        <w:numPr>
          <w:ilvl w:val="0"/>
          <w:numId w:val="1"/>
        </w:numPr>
        <w:spacing w:after="100" w:line="290"/>
      </w:pPr>
      <w:r>
        <w:rPr>
          <w:rFonts w:ascii="IBM Plex Sans" w:cs="IBM Plex Sans" w:eastAsia="IBM Plex Sans" w:hAnsi="IBM Plex Sans"/>
          <w:color w:val="334155"/>
          <w:sz w:val="21"/>
          <w:szCs w:val="21"/>
        </w:rPr>
        <w:t xml:space="preserve">Kardiotokografi (KTG) untuk menilai frekuensi kontraksi dan kesejahteraan janin.</w:t>
      </w:r>
    </w:p>
    <w:p>
      <w:pPr>
        <w:pStyle w:val="ListParagraph"/>
        <w:numPr>
          <w:ilvl w:val="0"/>
          <w:numId w:val="1"/>
        </w:numPr>
        <w:spacing w:after="100" w:line="290"/>
      </w:pPr>
      <w:r>
        <w:rPr>
          <w:rFonts w:ascii="IBM Plex Sans" w:cs="IBM Plex Sans" w:eastAsia="IBM Plex Sans" w:hAnsi="IBM Plex Sans"/>
          <w:color w:val="334155"/>
          <w:sz w:val="21"/>
          <w:szCs w:val="21"/>
        </w:rPr>
        <w:t xml:space="preserve">USG obstetri: taksiran berat janin, presentasi, indeks cairan amnion, lokasi plasenta.</w:t>
      </w:r>
    </w:p>
    <w:p>
      <w:pPr>
        <w:pStyle w:val="ListParagraph"/>
        <w:numPr>
          <w:ilvl w:val="0"/>
          <w:numId w:val="1"/>
        </w:numPr>
        <w:spacing w:after="100" w:line="290"/>
      </w:pPr>
      <w:r>
        <w:rPr>
          <w:rFonts w:ascii="IBM Plex Sans" w:cs="IBM Plex Sans" w:eastAsia="IBM Plex Sans" w:hAnsi="IBM Plex Sans"/>
          <w:color w:val="334155"/>
          <w:sz w:val="21"/>
          <w:szCs w:val="21"/>
        </w:rPr>
        <w:t xml:space="preserve">Darah perifer lengkap dan C-reactive protein bila terdapat kecurigaan infeksi/korioamnionitis.</w:t>
      </w:r>
    </w:p>
    <w:p>
      <w:pPr>
        <w:pStyle w:val="ListParagraph"/>
        <w:numPr>
          <w:ilvl w:val="0"/>
          <w:numId w:val="1"/>
        </w:numPr>
        <w:spacing w:after="100" w:line="290"/>
      </w:pPr>
      <w:r>
        <w:rPr>
          <w:rFonts w:ascii="IBM Plex Sans" w:cs="IBM Plex Sans" w:eastAsia="IBM Plex Sans" w:hAnsi="IBM Plex Sans"/>
          <w:color w:val="334155"/>
          <w:sz w:val="21"/>
          <w:szCs w:val="21"/>
        </w:rPr>
        <w:t xml:space="preserve">Urinalisis dan kultur urin untuk menyingkirkan infeksi saluran kemih sebagai pencetus.</w:t>
      </w:r>
    </w:p>
    <w:p>
      <w:pPr>
        <w:pStyle w:val="ListParagraph"/>
        <w:numPr>
          <w:ilvl w:val="0"/>
          <w:numId w:val="1"/>
        </w:numPr>
        <w:spacing w:after="100" w:line="290"/>
      </w:pPr>
      <w:r>
        <w:rPr>
          <w:rFonts w:ascii="IBM Plex Sans" w:cs="IBM Plex Sans" w:eastAsia="IBM Plex Sans" w:hAnsi="IBM Plex Sans"/>
          <w:color w:val="334155"/>
          <w:sz w:val="21"/>
          <w:szCs w:val="21"/>
        </w:rPr>
        <w:t xml:space="preserve">Swab vagina-rektum untuk Streptococcus grup B bila status belum diketahui dan persalinan preterm mengancam nyata, sesuai protokol profilaksis intrapartum.</w:t>
      </w:r>
    </w:p>
    <w:p>
      <w:pPr>
        <w:pStyle w:val="ListParagraph"/>
        <w:numPr>
          <w:ilvl w:val="0"/>
          <w:numId w:val="1"/>
        </w:numPr>
        <w:spacing w:after="100" w:line="290"/>
      </w:pPr>
      <w:r>
        <w:rPr>
          <w:rFonts w:ascii="IBM Plex Sans" w:cs="IBM Plex Sans" w:eastAsia="IBM Plex Sans" w:hAnsi="IBM Plex Sans"/>
          <w:color w:val="334155"/>
          <w:sz w:val="21"/>
          <w:szCs w:val="21"/>
        </w:rPr>
        <w:t xml:space="preserve">Swab/kultur untuk infeksi menular seksual dan vaginosis bakterialis bila terdapat indikasi klinis.</w:t>
      </w:r>
    </w:p>
    <w:p>
      <w:pPr>
        <w:pStyle w:val="ListParagraph"/>
        <w:numPr>
          <w:ilvl w:val="0"/>
          <w:numId w:val="1"/>
        </w:numPr>
        <w:spacing w:after="100" w:line="290"/>
      </w:pPr>
      <w:r>
        <w:rPr>
          <w:rFonts w:ascii="IBM Plex Sans" w:cs="IBM Plex Sans" w:eastAsia="IBM Plex Sans" w:hAnsi="IBM Plex Sans"/>
          <w:color w:val="334155"/>
          <w:sz w:val="21"/>
          <w:szCs w:val="21"/>
        </w:rPr>
        <w:t xml:space="preserve">Amniosentesis untuk pemeriksaan penanda infeksi/inflamasi cairan amnion dapat dipertimbangkan pada kasus terpilih dengan kecurigaan infeksi intra-amnion subklinis yang tata laksananya tidak jelas — pemeriksaan ini merupakan kewenangan tingkat rujukan Fetomaternal.</w:t>
      </w:r>
    </w:p>
    <w:p>
      <w:pPr>
        <w:pStyle w:val="Heading1"/>
        <w:spacing w:after="160" w:before="320"/>
      </w:pPr>
      <w:r>
        <w:t xml:space="preserve">7. Tata Laksana</w:t>
      </w:r>
    </w:p>
    <w:p>
      <w:pPr>
        <w:pStyle w:val="Heading2"/>
        <w:spacing w:after="120" w:before="200"/>
      </w:pPr>
      <w:r>
        <w:t xml:space="preserve">7.1 Tata Laksana Non-Farmakologis</w:t>
      </w:r>
    </w:p>
    <w:p>
      <w:pPr>
        <w:pStyle w:val="ListParagraph"/>
        <w:numPr>
          <w:ilvl w:val="0"/>
          <w:numId w:val="1"/>
        </w:numPr>
        <w:spacing w:after="100" w:line="290"/>
      </w:pPr>
      <w:r>
        <w:rPr>
          <w:rFonts w:ascii="IBM Plex Sans" w:cs="IBM Plex Sans" w:eastAsia="IBM Plex Sans" w:hAnsi="IBM Plex Sans"/>
          <w:color w:val="334155"/>
          <w:sz w:val="21"/>
          <w:szCs w:val="21"/>
        </w:rPr>
        <w:t xml:space="preserve">Rawat inap untuk observasi kontraksi, kesejahteraan janin, dan tanda infeksi.</w:t>
      </w:r>
    </w:p>
    <w:p>
      <w:pPr>
        <w:pStyle w:val="ListParagraph"/>
        <w:numPr>
          <w:ilvl w:val="0"/>
          <w:numId w:val="1"/>
        </w:numPr>
        <w:spacing w:after="100" w:line="290"/>
      </w:pPr>
      <w:r>
        <w:rPr>
          <w:rFonts w:ascii="IBM Plex Sans" w:cs="IBM Plex Sans" w:eastAsia="IBM Plex Sans" w:hAnsi="IBM Plex Sans"/>
          <w:color w:val="334155"/>
          <w:sz w:val="21"/>
          <w:szCs w:val="21"/>
        </w:rPr>
        <w:t xml:space="preserve">Aktivitas dimodifikasi sesuai gejala; tirah baring ketat berkepanjangan tidak dianjurkan secara rutin karena tidak terbukti menunda persalinan dan meningkatkan risiko tromboemboli serta dekondisi otot.</w:t>
      </w:r>
    </w:p>
    <w:p>
      <w:pPr>
        <w:pStyle w:val="ListParagraph"/>
        <w:numPr>
          <w:ilvl w:val="0"/>
          <w:numId w:val="1"/>
        </w:numPr>
        <w:spacing w:after="100" w:line="290"/>
      </w:pPr>
      <w:r>
        <w:rPr>
          <w:rFonts w:ascii="IBM Plex Sans" w:cs="IBM Plex Sans" w:eastAsia="IBM Plex Sans" w:hAnsi="IBM Plex Sans"/>
          <w:color w:val="334155"/>
          <w:sz w:val="21"/>
          <w:szCs w:val="21"/>
        </w:rPr>
        <w:t xml:space="preserve">Hidrasi adekuat; koreksi bila terdapat dehidrasi yang memicu kontraksi.</w:t>
      </w:r>
    </w:p>
    <w:p>
      <w:pPr>
        <w:pStyle w:val="ListParagraph"/>
        <w:numPr>
          <w:ilvl w:val="0"/>
          <w:numId w:val="1"/>
        </w:numPr>
        <w:spacing w:after="100" w:line="290"/>
      </w:pPr>
      <w:r>
        <w:rPr>
          <w:rFonts w:ascii="IBM Plex Sans" w:cs="IBM Plex Sans" w:eastAsia="IBM Plex Sans" w:hAnsi="IBM Plex Sans"/>
          <w:color w:val="334155"/>
          <w:sz w:val="21"/>
          <w:szCs w:val="21"/>
        </w:rPr>
        <w:t xml:space="preserve">Pemantauan tanda vital ibu dan denyut jantung janin secara berkala.</w:t>
      </w:r>
    </w:p>
    <w:p>
      <w:pPr>
        <w:pStyle w:val="ListParagraph"/>
        <w:numPr>
          <w:ilvl w:val="0"/>
          <w:numId w:val="1"/>
        </w:numPr>
        <w:spacing w:after="100" w:line="290"/>
      </w:pPr>
      <w:r>
        <w:rPr>
          <w:rFonts w:ascii="IBM Plex Sans" w:cs="IBM Plex Sans" w:eastAsia="IBM Plex Sans" w:hAnsi="IBM Plex Sans"/>
          <w:color w:val="334155"/>
          <w:sz w:val="21"/>
          <w:szCs w:val="21"/>
        </w:rPr>
        <w:t xml:space="preserve">Rencana tempat persalinan disesuaikan dengan kapasitas neonatal fasilitas; rujukan in-utero ke fasilitas dengan NICU sesuai usia kehamilan dilakukan bila fasilitas setempat tidak memadai.</w:t>
      </w:r>
    </w:p>
    <w:p>
      <w:pPr>
        <w:pStyle w:val="Heading2"/>
        <w:spacing w:after="120" w:before="200"/>
      </w:pPr>
      <w:r>
        <w:t xml:space="preserve">7.2 Tata Laksana Farmakologis</w:t>
      </w:r>
    </w:p>
    <w:p>
      <w:pPr>
        <w:spacing w:after="160" w:line="300"/>
      </w:pPr>
      <w:r>
        <w:rPr>
          <w:rFonts w:ascii="IBM Plex Sans" w:cs="IBM Plex Sans" w:eastAsia="IBM Plex Sans" w:hAnsi="IBM Plex Sans"/>
          <w:i w:val="false"/>
          <w:iCs w:val="false"/>
          <w:color w:val="334155"/>
          <w:sz w:val="21"/>
          <w:szCs w:val="21"/>
        </w:rPr>
        <w:t xml:space="preserve">Tiga pilar farmakologis utama pada persalinan preterm mengancam nyata usia kehamilan 24 sampai kurang dari 34 minggu adalah kortikosteroid antenatal, tokolisis jangka pendek, dan magnesium sulfat untuk neuroproteksi janin; antibiotik hanya diberikan atas indikasi spesifik. WHO memperluas kemungkinan pemberian kortikosteroid hingga usia kehamilan 34–36 minggu pada kondisi tertentu sesuai penilaian klinis fasilitas.</w:t>
      </w:r>
    </w:p>
    <w:p>
      <w:pPr>
        <w:pStyle w:val="ListParagraph"/>
        <w:numPr>
          <w:ilvl w:val="0"/>
          <w:numId w:val="1"/>
        </w:numPr>
        <w:spacing w:after="100" w:line="290"/>
      </w:pPr>
      <w:r>
        <w:rPr>
          <w:rFonts w:ascii="IBM Plex Sans" w:cs="IBM Plex Sans" w:eastAsia="IBM Plex Sans" w:hAnsi="IBM Plex Sans"/>
          <w:color w:val="334155"/>
          <w:sz w:val="21"/>
          <w:szCs w:val="21"/>
        </w:rPr>
        <w:t xml:space="preserve">Kortikosteroid antenatal — betametason 12 mg intramuskular dua dosis dengan interval 24 jam, atau deksametason 6 mg intramuskular empat dosis dengan interval 12 jam, pada usia kehamilan 24–34 minggu dengan kemungkinan tinggi persalinan dalam 7 hari. Mempercepat maturasi paru janin dan menurunkan risiko sindrom distres pernapasan, kematian neonatal, dan perdarahan intraventrikular. Satu kali pengulangan (repeat course) dapat dipertimbangkan bila kursus pertama diberikan lebih dari 7 hari sebelumnya dan ibu masih berisiko tinggi melahirkan preterm sebelum 34 minggu; pengulangan rutin lebih dari satu kali tidak dianjurkan.</w:t>
      </w:r>
    </w:p>
    <w:p>
      <w:pPr>
        <w:pStyle w:val="ListParagraph"/>
        <w:numPr>
          <w:ilvl w:val="0"/>
          <w:numId w:val="1"/>
        </w:numPr>
        <w:spacing w:after="100" w:line="290"/>
      </w:pPr>
      <w:r>
        <w:rPr>
          <w:rFonts w:ascii="IBM Plex Sans" w:cs="IBM Plex Sans" w:eastAsia="IBM Plex Sans" w:hAnsi="IBM Plex Sans"/>
          <w:color w:val="334155"/>
          <w:sz w:val="21"/>
          <w:szCs w:val="21"/>
        </w:rPr>
        <w:t xml:space="preserve">Tokolisis jangka pendek — bertujuan menunda persalinan hingga 48 jam untuk melengkapi kortikosteroid dan/atau memungkinkan rujukan in-utero. Nifedipin oral atau antagonis reseptor oksitosin (atosiban, bila tersedia) merupakan pilihan lini pertama sesuai ketersediaan dan profil keamanan. Golongan beta-agonis (mis. terbutalin) TIDAK dianjurkan sebagai lini pertama karena profil efek samping kardiovaskular ibu yang lebih besar dibanding nifedipin/atosiban tanpa keunggulan efektivitas. Indometasin dapat dipertimbangkan sebagai alternatif hanya pada usia kehamilan kurang dari 32 minggu dan durasi pemberian dibatasi maksimal 48 jam, mengingat risiko oligohidramnion dan penutupan dini duktus arteriosus janin pada pemakaian lebih lama atau usia kehamilan lebih tua. Tokolisis dikontraindikasikan pada korioamnionitis, solusio plasenta berat, kematian janin dalam kandungan, atau kondisi lain yang mengharuskan persalinan segera.</w:t>
      </w:r>
    </w:p>
    <w:p>
      <w:pPr>
        <w:pStyle w:val="ListParagraph"/>
        <w:numPr>
          <w:ilvl w:val="0"/>
          <w:numId w:val="1"/>
        </w:numPr>
        <w:spacing w:after="100" w:line="290"/>
      </w:pPr>
      <w:r>
        <w:rPr>
          <w:rFonts w:ascii="IBM Plex Sans" w:cs="IBM Plex Sans" w:eastAsia="IBM Plex Sans" w:hAnsi="IBM Plex Sans"/>
          <w:color w:val="334155"/>
          <w:sz w:val="21"/>
          <w:szCs w:val="21"/>
        </w:rPr>
        <w:t xml:space="preserve">Magnesium sulfat untuk neuroproteksi janin — diberikan pada persalinan preterm yang sangat mengancam pada usia kehamilan kurang dari 32 minggu untuk menurunkan risiko cerebral palsy. Regimen loading dose diikuti dosis rumatan, dengan pemantauan refleks patela, frekuensi napas, dan produksi urin ibu setiap jam untuk mendeteksi toksisitas magnesium; kalsium glukonat 1 g intravena perlahan disiapkan sebagai antidotum bila timbul tanda toksisitas (refleks patela menghilang, depresi napas).</w:t>
      </w:r>
    </w:p>
    <w:p>
      <w:pPr>
        <w:pStyle w:val="ListParagraph"/>
        <w:numPr>
          <w:ilvl w:val="0"/>
          <w:numId w:val="1"/>
        </w:numPr>
        <w:spacing w:after="100" w:line="290"/>
      </w:pPr>
      <w:r>
        <w:rPr>
          <w:rFonts w:ascii="IBM Plex Sans" w:cs="IBM Plex Sans" w:eastAsia="IBM Plex Sans" w:hAnsi="IBM Plex Sans"/>
          <w:color w:val="334155"/>
          <w:sz w:val="21"/>
          <w:szCs w:val="21"/>
        </w:rPr>
        <w:t xml:space="preserve">Antibiotik — TIDAK diberikan secara rutin pada persalinan preterm dengan membran utuh tanpa bukti infeksi, karena tidak terbukti memperbaiki luaran dan berpotensi merugikan. Diberikan atas indikasi spesifik seperti profilaksis Streptococcus grup B intrapartum, korioamnionitis, atau ketuban pecah dini preterm sesuai PPK terkait.</w:t>
      </w:r>
    </w:p>
    <w:p>
      <w:pPr>
        <w:pStyle w:val="Heading2"/>
        <w:spacing w:after="120" w:before="200"/>
      </w:pPr>
      <w:r>
        <w:t xml:space="preserve">7.3 Tata Laksana Bedah/Prosedural</w:t>
      </w:r>
    </w:p>
    <w:p>
      <w:pPr>
        <w:spacing w:after="160" w:line="300"/>
      </w:pPr>
      <w:r>
        <w:rPr>
          <w:rFonts w:ascii="IBM Plex Sans" w:cs="IBM Plex Sans" w:eastAsia="IBM Plex Sans" w:hAnsi="IBM Plex Sans"/>
          <w:i w:val="false"/>
          <w:iCs w:val="false"/>
          <w:color w:val="334155"/>
          <w:sz w:val="21"/>
          <w:szCs w:val="21"/>
        </w:rPr>
        <w:t xml:space="preserve">Tidak ada prosedur bedah definitif untuk episode persalinan preterm aktif itu sendiri. Cerclage serviks emergensi (rescue cerclage) dapat dipertimbangkan pada dilatasi serviks tanpa kontraksi bermakna dan membran masih utuh tanpa tanda infeksi, sebagai tata laksana insufisiensi serviks — bukan untuk persalinan preterm dengan kontraksi aktif, dan keputusan diambil kasus per kasus mengingat risiko infeksi. Seksio sesarea dilakukan atas indikasi obstetri baku, bukan atas dasar prematuritas semata, termasuk pada presentasi bokong dengan taksiran berat janin sangat rendah sesuai kesepakatan klinis fasilitas.</w:t>
      </w:r>
    </w:p>
    <w:p>
      <w:pPr>
        <w:pStyle w:val="Heading2"/>
        <w:spacing w:after="120" w:before="200"/>
      </w:pPr>
      <w:r>
        <w:t xml:space="preserve">7.4 Kriteria Rujukan ke Subspesialis Fetomaternal</w:t>
      </w:r>
    </w:p>
    <w:p>
      <w:pPr>
        <w:pStyle w:val="ListParagraph"/>
        <w:numPr>
          <w:ilvl w:val="0"/>
          <w:numId w:val="1"/>
        </w:numPr>
        <w:spacing w:after="100" w:line="290"/>
      </w:pPr>
      <w:r>
        <w:rPr>
          <w:rFonts w:ascii="IBM Plex Sans" w:cs="IBM Plex Sans" w:eastAsia="IBM Plex Sans" w:hAnsi="IBM Plex Sans"/>
          <w:color w:val="334155"/>
          <w:sz w:val="21"/>
          <w:szCs w:val="21"/>
        </w:rPr>
        <w:t xml:space="preserve">Usia kehamilan kurang dari 32 minggu dengan persalinan preterm aktif dan fasilitas setempat tidak memiliki NICU level sesuai kebutuhan — rujuk in-utero.</w:t>
      </w:r>
    </w:p>
    <w:p>
      <w:pPr>
        <w:pStyle w:val="ListParagraph"/>
        <w:numPr>
          <w:ilvl w:val="0"/>
          <w:numId w:val="1"/>
        </w:numPr>
        <w:spacing w:after="100" w:line="290"/>
      </w:pPr>
      <w:r>
        <w:rPr>
          <w:rFonts w:ascii="IBM Plex Sans" w:cs="IBM Plex Sans" w:eastAsia="IBM Plex Sans" w:hAnsi="IBM Plex Sans"/>
          <w:color w:val="334155"/>
          <w:sz w:val="21"/>
          <w:szCs w:val="21"/>
        </w:rPr>
        <w:t xml:space="preserve">Kegagalan tokolisis dengan risiko persalinan imminen pada usia kehamilan yang masih memerlukan optimalisasi maturasi paru.</w:t>
      </w:r>
    </w:p>
    <w:p>
      <w:pPr>
        <w:pStyle w:val="ListParagraph"/>
        <w:numPr>
          <w:ilvl w:val="0"/>
          <w:numId w:val="1"/>
        </w:numPr>
        <w:spacing w:after="100" w:line="290"/>
      </w:pPr>
      <w:r>
        <w:rPr>
          <w:rFonts w:ascii="IBM Plex Sans" w:cs="IBM Plex Sans" w:eastAsia="IBM Plex Sans" w:hAnsi="IBM Plex Sans"/>
          <w:color w:val="334155"/>
          <w:sz w:val="21"/>
          <w:szCs w:val="21"/>
        </w:rPr>
        <w:t xml:space="preserve">Kehamilan multipel dengan persalinan preterm.</w:t>
      </w:r>
    </w:p>
    <w:p>
      <w:pPr>
        <w:pStyle w:val="ListParagraph"/>
        <w:numPr>
          <w:ilvl w:val="0"/>
          <w:numId w:val="1"/>
        </w:numPr>
        <w:spacing w:after="100" w:line="290"/>
      </w:pPr>
      <w:r>
        <w:rPr>
          <w:rFonts w:ascii="IBM Plex Sans" w:cs="IBM Plex Sans" w:eastAsia="IBM Plex Sans" w:hAnsi="IBM Plex Sans"/>
          <w:color w:val="334155"/>
          <w:sz w:val="21"/>
          <w:szCs w:val="21"/>
        </w:rPr>
        <w:t xml:space="preserve">Kecurigaan insufisiensi serviks yang memerlukan cerclage emergensi.</w:t>
      </w:r>
    </w:p>
    <w:p>
      <w:pPr>
        <w:pStyle w:val="ListParagraph"/>
        <w:numPr>
          <w:ilvl w:val="0"/>
          <w:numId w:val="1"/>
        </w:numPr>
        <w:spacing w:after="100" w:line="290"/>
      </w:pPr>
      <w:r>
        <w:rPr>
          <w:rFonts w:ascii="IBM Plex Sans" w:cs="IBM Plex Sans" w:eastAsia="IBM Plex Sans" w:hAnsi="IBM Plex Sans"/>
          <w:color w:val="334155"/>
          <w:sz w:val="21"/>
          <w:szCs w:val="21"/>
        </w:rPr>
        <w:t xml:space="preserve">Kecurigaan infeksi intra-amnion subklinis yang memerlukan amniosentesis diagnostik.</w:t>
      </w:r>
    </w:p>
    <w:p>
      <w:pPr>
        <w:pStyle w:val="ListParagraph"/>
        <w:numPr>
          <w:ilvl w:val="0"/>
          <w:numId w:val="1"/>
        </w:numPr>
        <w:spacing w:after="100" w:line="290"/>
      </w:pPr>
      <w:r>
        <w:rPr>
          <w:rFonts w:ascii="IBM Plex Sans" w:cs="IBM Plex Sans" w:eastAsia="IBM Plex Sans" w:hAnsi="IBM Plex Sans"/>
          <w:color w:val="334155"/>
          <w:sz w:val="21"/>
          <w:szCs w:val="21"/>
        </w:rPr>
        <w:t xml:space="preserve">Komplikasi penyerta berat: solusio plasenta, korioamnionitis dengan sepsis, preeklampsia berat bersamaan.</w:t>
      </w:r>
    </w:p>
    <w:p>
      <w:pPr>
        <w:pStyle w:val="ListParagraph"/>
        <w:numPr>
          <w:ilvl w:val="0"/>
          <w:numId w:val="1"/>
        </w:numPr>
        <w:spacing w:after="100" w:line="290"/>
      </w:pPr>
      <w:r>
        <w:rPr>
          <w:rFonts w:ascii="IBM Plex Sans" w:cs="IBM Plex Sans" w:eastAsia="IBM Plex Sans" w:hAnsi="IBM Plex Sans"/>
          <w:color w:val="334155"/>
          <w:sz w:val="21"/>
          <w:szCs w:val="21"/>
        </w:rPr>
        <w:t xml:space="preserve">Kelainan janin struktural yang memerlukan perencanaan persalinan multidisiplin.</w:t>
      </w:r>
    </w:p>
    <w:p>
      <w:pPr>
        <w:pStyle w:val="Heading1"/>
        <w:spacing w:after="160" w:before="320"/>
      </w:pPr>
      <w:r>
        <w:t xml:space="preserve">8. Edukasi Pasien dan Keluarga</w:t>
      </w:r>
    </w:p>
    <w:p>
      <w:pPr>
        <w:pStyle w:val="ListParagraph"/>
        <w:numPr>
          <w:ilvl w:val="0"/>
          <w:numId w:val="1"/>
        </w:numPr>
        <w:spacing w:after="100" w:line="290"/>
      </w:pPr>
      <w:r>
        <w:rPr>
          <w:rFonts w:ascii="IBM Plex Sans" w:cs="IBM Plex Sans" w:eastAsia="IBM Plex Sans" w:hAnsi="IBM Plex Sans"/>
          <w:color w:val="334155"/>
          <w:sz w:val="21"/>
          <w:szCs w:val="21"/>
        </w:rPr>
        <w:t xml:space="preserve">Jelaskan tanda bahaya yang harus segera dilaporkan: kontraksi memberat, keluar cairan/perdarahan, gerak janin berkurang.</w:t>
      </w:r>
    </w:p>
    <w:p>
      <w:pPr>
        <w:pStyle w:val="ListParagraph"/>
        <w:numPr>
          <w:ilvl w:val="0"/>
          <w:numId w:val="1"/>
        </w:numPr>
        <w:spacing w:after="100" w:line="290"/>
      </w:pPr>
      <w:r>
        <w:rPr>
          <w:rFonts w:ascii="IBM Plex Sans" w:cs="IBM Plex Sans" w:eastAsia="IBM Plex Sans" w:hAnsi="IBM Plex Sans"/>
          <w:color w:val="334155"/>
          <w:sz w:val="21"/>
          <w:szCs w:val="21"/>
        </w:rPr>
        <w:t xml:space="preserve">Jelaskan tujuan dan efek samping kortikosteroid, tokolitik, dan magnesium sulfat secara sederhana, termasuk bahwa tokolisis bertujuan menunda — bukan menghentikan permanen — persalinan.</w:t>
      </w:r>
    </w:p>
    <w:p>
      <w:pPr>
        <w:pStyle w:val="ListParagraph"/>
        <w:numPr>
          <w:ilvl w:val="0"/>
          <w:numId w:val="1"/>
        </w:numPr>
        <w:spacing w:after="100" w:line="290"/>
      </w:pPr>
      <w:r>
        <w:rPr>
          <w:rFonts w:ascii="IBM Plex Sans" w:cs="IBM Plex Sans" w:eastAsia="IBM Plex Sans" w:hAnsi="IBM Plex Sans"/>
          <w:color w:val="334155"/>
          <w:sz w:val="21"/>
          <w:szCs w:val="21"/>
        </w:rPr>
        <w:t xml:space="preserve">Diskusikan rencana persalinan, kemungkinan rujukan ke fasilitas dengan NICU, dan gambaran umum perawatan neonatus preterm bila kelahiran preterm tidak terhindarkan.</w:t>
      </w:r>
    </w:p>
    <w:p>
      <w:pPr>
        <w:pStyle w:val="ListParagraph"/>
        <w:numPr>
          <w:ilvl w:val="0"/>
          <w:numId w:val="1"/>
        </w:numPr>
        <w:spacing w:after="100" w:line="290"/>
      </w:pPr>
      <w:r>
        <w:rPr>
          <w:rFonts w:ascii="IBM Plex Sans" w:cs="IBM Plex Sans" w:eastAsia="IBM Plex Sans" w:hAnsi="IBM Plex Sans"/>
          <w:color w:val="334155"/>
          <w:sz w:val="21"/>
          <w:szCs w:val="21"/>
        </w:rPr>
        <w:t xml:space="preserve">Edukasi modifikasi faktor risiko yang dapat diintervensi pada kehamilan berikutnya: berhenti merokok, tata laksana infeksi, pengaturan jarak kehamilan, kontrol penyakit sistemik.</w:t>
      </w:r>
    </w:p>
    <w:p>
      <w:pPr>
        <w:pStyle w:val="ListParagraph"/>
        <w:numPr>
          <w:ilvl w:val="0"/>
          <w:numId w:val="1"/>
        </w:numPr>
        <w:spacing w:after="100" w:line="290"/>
      </w:pPr>
      <w:r>
        <w:rPr>
          <w:rFonts w:ascii="IBM Plex Sans" w:cs="IBM Plex Sans" w:eastAsia="IBM Plex Sans" w:hAnsi="IBM Plex Sans"/>
          <w:color w:val="334155"/>
          <w:sz w:val="21"/>
          <w:szCs w:val="21"/>
        </w:rPr>
        <w:t xml:space="preserve">Dukungan psikososial — persalinan preterm merupakan sumber kecemasan signifikan bagi ibu dan keluarga; libatkan tenaga kesehatan jiwa/konseling bila diperlukan.</w:t>
      </w:r>
    </w:p>
    <w:p>
      <w:pPr>
        <w:pStyle w:val="Heading1"/>
        <w:spacing w:after="160" w:before="320"/>
      </w:pPr>
      <w:r>
        <w:t xml:space="preserve">9. Prognosis</w:t>
      </w:r>
    </w:p>
    <w:p>
      <w:pPr>
        <w:spacing w:after="160" w:line="300"/>
      </w:pPr>
      <w:r>
        <w:rPr>
          <w:rFonts w:ascii="IBM Plex Sans" w:cs="IBM Plex Sans" w:eastAsia="IBM Plex Sans" w:hAnsi="IBM Plex Sans"/>
          <w:i w:val="false"/>
          <w:iCs w:val="false"/>
          <w:color w:val="334155"/>
          <w:sz w:val="21"/>
          <w:szCs w:val="21"/>
        </w:rPr>
        <w:t xml:space="preserve">Prognosis neonatal bergantung utama pada usia kehamilan saat lahir dan berat lahir: semakin muda usia kehamilan, semakin tinggi risiko morbiditas (sindrom distres pernapasan, perdarahan intraventrikular, enterokolitis nekrotikans, retinopati prematuritas) dan mortalitas neonatal. Pemberian kortikosteroid antenatal lengkap, magnesium sulfat neuroproteksi pada indikasi yang sesuai, dan rujukan in-utero ke fasilitas dengan NICU memadai memperbaiki luaran secara bermakna. Prognosis ibu pada persalinan preterm tanpa komplikasi penyerta umumnya baik; kehamilan berikutnya memiliki risiko berulang yang memerlukan pemantauan panjang serviks dan konseling prakonsepsi.</w:t>
      </w:r>
    </w:p>
    <w:p>
      <w:pPr>
        <w:spacing w:after="160" w:line="300"/>
      </w:pPr>
      <w:r>
        <w:rPr>
          <w:rFonts w:ascii="IBM Plex Sans" w:cs="IBM Plex Sans" w:eastAsia="IBM Plex Sans" w:hAnsi="IBM Plex Sans"/>
          <w:i/>
          <w:iCs/>
          <w:color w:val="64748B"/>
          <w:sz w:val="21"/>
          <w:szCs w:val="21"/>
        </w:rPr>
        <w:t xml:space="preserve">Angka insidensi dan luaran neonatal preterm tingkat nasional/fasilitas: [DATA: rujuk laporan/registri resmi terbaru — mis. Kemenkes, BKKBN, POGI, WHO], karena data epidemiologi spesifik tersebut tidak tercantum eksplisit pada dokumen sumber yang tersedia dalam sesi penyusunan ini.</w:t>
      </w:r>
    </w:p>
    <w:p>
      <w:pPr>
        <w:pStyle w:val="Heading1"/>
        <w:spacing w:after="160" w:before="320"/>
      </w:pPr>
      <w:r>
        <w:t xml:space="preserve">10. Tingkat Evidens dan Rekomendasi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Intervensi</w:t>
            </w:r>
          </w:p>
        </w:tc>
        <w:tc>
          <w:tcPr>
            <w:tcW w:type="dxa" w:w="225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w:t>
            </w:r>
          </w:p>
        </w:tc>
        <w:tc>
          <w:tcPr>
            <w:tcW w:type="dxa" w:w="225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Kekuatan Rekomendasi</w:t>
            </w:r>
          </w:p>
        </w:tc>
        <w:tc>
          <w:tcPr>
            <w:tcW w:type="dxa" w:w="225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Kortikosteroid antenatal usia kehamilan 24–34 minggu</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WHO 2022; Cochrane (McGoldrick dkk. 2020); ACOG PB No. 171</w:t>
            </w:r>
          </w:p>
        </w:tc>
      </w:tr>
      <w:tr>
        <w:tc>
          <w:tcPr>
            <w:tcW w:type="dxa" w:w="225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Magnesium sulfat neuroproteksi janin usia kehamilan &lt;32 minggu</w:t>
            </w:r>
          </w:p>
        </w:tc>
        <w:tc>
          <w:tcPr>
            <w:tcW w:type="dxa" w:w="225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w:t>
            </w:r>
          </w:p>
        </w:tc>
        <w:tc>
          <w:tcPr>
            <w:tcW w:type="dxa" w:w="225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w:t>
            </w:r>
          </w:p>
        </w:tc>
        <w:tc>
          <w:tcPr>
            <w:tcW w:type="dxa" w:w="225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Cochrane (Shepherd dkk. 2024); ACOG</w:t>
            </w:r>
          </w:p>
        </w:tc>
      </w:tr>
      <w:tr>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Tokolisis jangka pendek (nifedipin/atosiban) untuk menunda persalinan 48 jam</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Cochrane (Wilson dkk. 2022); NICE NG25</w:t>
            </w:r>
          </w:p>
        </w:tc>
      </w:tr>
      <w:tr>
        <w:tc>
          <w:tcPr>
            <w:tcW w:type="dxa" w:w="225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Betamimetik (mis. terbutalin) sebagai tokolitik lini pertama</w:t>
            </w:r>
          </w:p>
        </w:tc>
        <w:tc>
          <w:tcPr>
            <w:tcW w:type="dxa" w:w="225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 (bukti tidak mendukung keunggulan, profil efek samping lebih besar)</w:t>
            </w:r>
          </w:p>
        </w:tc>
        <w:tc>
          <w:tcPr>
            <w:tcW w:type="dxa" w:w="225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D (tidak direkomendasikan sebagai lini pertama)</w:t>
            </w:r>
          </w:p>
        </w:tc>
        <w:tc>
          <w:tcPr>
            <w:tcW w:type="dxa" w:w="225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NICE NG25; Cochrane (Wilson dkk. 2022)</w:t>
            </w:r>
          </w:p>
        </w:tc>
      </w:tr>
      <w:tr>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Antibiotik rutin pada membran utuh tanpa infeksi</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 (bukti tidak mendukung manfaat)</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D (tidak direkomendasikan)</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WHO 2015; tinjauan sistematis terkait</w:t>
            </w:r>
          </w:p>
        </w:tc>
      </w:tr>
      <w:tr>
        <w:tc>
          <w:tcPr>
            <w:tcW w:type="dxa" w:w="225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Fibronektin janin/panjang serviks USG untuk stratifikasi risiko</w:t>
            </w:r>
          </w:p>
        </w:tc>
        <w:tc>
          <w:tcPr>
            <w:tcW w:type="dxa" w:w="225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II</w:t>
            </w:r>
          </w:p>
        </w:tc>
        <w:tc>
          <w:tcPr>
            <w:tcW w:type="dxa" w:w="225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B</w:t>
            </w:r>
          </w:p>
        </w:tc>
        <w:tc>
          <w:tcPr>
            <w:tcW w:type="dxa" w:w="225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NICE NG25; FIGO 2019</w:t>
            </w:r>
          </w:p>
        </w:tc>
      </w:tr>
      <w:tr>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Tirah baring ketat berkepanjangan</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II (bukti tidak mendukung manfaat, berisiko)</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D (tidak direkomendasikan rutin)</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NICE NG25; ACOG</w:t>
            </w:r>
          </w:p>
        </w:tc>
      </w:tr>
    </w:tbl>
    <w:p>
      <w:pPr>
        <w:spacing w:after="160"/>
      </w:pPr>
    </w:p>
    <w:p>
      <w:pPr>
        <w:spacing w:after="160" w:line="300"/>
      </w:pPr>
      <w:r>
        <w:rPr>
          <w:rFonts w:ascii="IBM Plex Sans" w:cs="IBM Plex Sans" w:eastAsia="IBM Plex Sans" w:hAnsi="IBM Plex Sans"/>
          <w:i/>
          <w:iCs/>
          <w:color w:val="64748B"/>
          <w:sz w:val="21"/>
          <w:szCs w:val="21"/>
        </w:rPr>
        <w:t xml:space="preserve">Skala evidens mengikuti gradasi standar (I–IV) dan kekuatan rekomendasi (A–D) yang lazim dipakai pada Pedoman Nasional Pelayanan Kedokteran; rincian rujukan lihat bagian 13 Kepustakaan.</w:t>
      </w:r>
    </w:p>
    <w:p>
      <w:pPr>
        <w:pStyle w:val="Heading1"/>
        <w:spacing w:after="160" w:before="320"/>
      </w:pPr>
      <w:r>
        <w:t xml:space="preserve">11. Indikator Medis</w:t>
      </w:r>
    </w:p>
    <w:p>
      <w:pPr>
        <w:pStyle w:val="ListParagraph"/>
        <w:numPr>
          <w:ilvl w:val="0"/>
          <w:numId w:val="1"/>
        </w:numPr>
        <w:spacing w:after="100" w:line="290"/>
      </w:pPr>
      <w:r>
        <w:rPr>
          <w:rFonts w:ascii="IBM Plex Sans" w:cs="IBM Plex Sans" w:eastAsia="IBM Plex Sans" w:hAnsi="IBM Plex Sans"/>
          <w:color w:val="334155"/>
          <w:sz w:val="21"/>
          <w:szCs w:val="21"/>
        </w:rPr>
        <w:t xml:space="preserve">Proporsi kasus persalinan preterm usia kehamilan 24–34 minggu berisiko lahir dalam 7 hari yang menerima kortikosteroid antenatal lengkap sebelum persalinan.</w:t>
      </w:r>
    </w:p>
    <w:p>
      <w:pPr>
        <w:pStyle w:val="ListParagraph"/>
        <w:numPr>
          <w:ilvl w:val="0"/>
          <w:numId w:val="1"/>
        </w:numPr>
        <w:spacing w:after="100" w:line="290"/>
      </w:pPr>
      <w:r>
        <w:rPr>
          <w:rFonts w:ascii="IBM Plex Sans" w:cs="IBM Plex Sans" w:eastAsia="IBM Plex Sans" w:hAnsi="IBM Plex Sans"/>
          <w:color w:val="334155"/>
          <w:sz w:val="21"/>
          <w:szCs w:val="21"/>
        </w:rPr>
        <w:t xml:space="preserve">Proporsi kasus usia kehamilan kurang dari 32 minggu dengan persalinan imminen yang menerima magnesium sulfat neuroproteksi sesuai protokol.</w:t>
      </w:r>
    </w:p>
    <w:p>
      <w:pPr>
        <w:pStyle w:val="ListParagraph"/>
        <w:numPr>
          <w:ilvl w:val="0"/>
          <w:numId w:val="1"/>
        </w:numPr>
        <w:spacing w:after="100" w:line="290"/>
      </w:pPr>
      <w:r>
        <w:rPr>
          <w:rFonts w:ascii="IBM Plex Sans" w:cs="IBM Plex Sans" w:eastAsia="IBM Plex Sans" w:hAnsi="IBM Plex Sans"/>
          <w:color w:val="334155"/>
          <w:sz w:val="21"/>
          <w:szCs w:val="21"/>
        </w:rPr>
        <w:t xml:space="preserve">Waktu dari kedatangan hingga inisiasi tokolisis pada kasus tanpa kontraindikasi.</w:t>
      </w:r>
    </w:p>
    <w:p>
      <w:pPr>
        <w:pStyle w:val="ListParagraph"/>
        <w:numPr>
          <w:ilvl w:val="0"/>
          <w:numId w:val="1"/>
        </w:numPr>
        <w:spacing w:after="100" w:line="290"/>
      </w:pPr>
      <w:r>
        <w:rPr>
          <w:rFonts w:ascii="IBM Plex Sans" w:cs="IBM Plex Sans" w:eastAsia="IBM Plex Sans" w:hAnsi="IBM Plex Sans"/>
          <w:color w:val="334155"/>
          <w:sz w:val="21"/>
          <w:szCs w:val="21"/>
        </w:rPr>
        <w:t xml:space="preserve">Proporsi rujukan in-utero yang terlaksana tepat waktu untuk usia kehamilan kurang dari 32 minggu tanpa fasilitas NICU memadai.</w:t>
      </w:r>
    </w:p>
    <w:p>
      <w:pPr>
        <w:pStyle w:val="ListParagraph"/>
        <w:numPr>
          <w:ilvl w:val="0"/>
          <w:numId w:val="1"/>
        </w:numPr>
        <w:spacing w:after="100" w:line="290"/>
      </w:pPr>
      <w:r>
        <w:rPr>
          <w:rFonts w:ascii="IBM Plex Sans" w:cs="IBM Plex Sans" w:eastAsia="IBM Plex Sans" w:hAnsi="IBM Plex Sans"/>
          <w:color w:val="334155"/>
          <w:sz w:val="21"/>
          <w:szCs w:val="21"/>
        </w:rPr>
        <w:t xml:space="preserve">Insiden pemberian antibiotik tanpa indikasi pada persalinan preterm membran utuh — target serendah mungkin.</w:t>
      </w:r>
    </w:p>
    <w:p>
      <w:pPr>
        <w:pStyle w:val="ListParagraph"/>
        <w:numPr>
          <w:ilvl w:val="0"/>
          <w:numId w:val="1"/>
        </w:numPr>
        <w:spacing w:after="100" w:line="290"/>
      </w:pPr>
      <w:r>
        <w:rPr>
          <w:rFonts w:ascii="IBM Plex Sans" w:cs="IBM Plex Sans" w:eastAsia="IBM Plex Sans" w:hAnsi="IBM Plex Sans"/>
          <w:color w:val="334155"/>
          <w:sz w:val="21"/>
          <w:szCs w:val="21"/>
        </w:rPr>
        <w:t xml:space="preserve">Insiden penggunaan betamimetik sebagai tokolitik lini pertama — target serendah mungkin, sesuai perubahan standar pada bagian 7.2.</w:t>
      </w:r>
    </w:p>
    <w:p>
      <w:pPr>
        <w:pStyle w:val="ListParagraph"/>
        <w:numPr>
          <w:ilvl w:val="0"/>
          <w:numId w:val="1"/>
        </w:numPr>
        <w:spacing w:after="100" w:line="290"/>
      </w:pPr>
      <w:r>
        <w:rPr>
          <w:rFonts w:ascii="IBM Plex Sans" w:cs="IBM Plex Sans" w:eastAsia="IBM Plex Sans" w:hAnsi="IBM Plex Sans"/>
          <w:color w:val="334155"/>
          <w:sz w:val="21"/>
          <w:szCs w:val="21"/>
        </w:rPr>
        <w:t xml:space="preserve">[DATA: rujuk laporan/registri resmi terbaru — mis. Kemenkes, BKKBN, POGI, WHO] untuk baseline dan target numerik tiap indikator di atas pada tingkat nasional/fasilitas.</w:t>
      </w:r>
    </w:p>
    <w:p>
      <w:pPr>
        <w:pStyle w:val="Heading1"/>
        <w:spacing w:after="160" w:before="320"/>
      </w:pPr>
      <w:r>
        <w:t xml:space="preserve">12. Perbandingan dan Pengayaan Standar Internasional</w:t>
      </w:r>
    </w:p>
    <w:p>
      <w:pPr>
        <w:spacing w:after="160" w:line="300"/>
      </w:pPr>
      <w:r>
        <w:rPr>
          <w:rFonts w:ascii="IBM Plex Sans" w:cs="IBM Plex Sans" w:eastAsia="IBM Plex Sans" w:hAnsi="IBM Plex Sans"/>
          <w:i w:val="false"/>
          <w:iCs w:val="false"/>
          <w:color w:val="334155"/>
          <w:sz w:val="21"/>
          <w:szCs w:val="21"/>
        </w:rPr>
        <w:t xml:space="preserve">Tata laksana pada bagian 7 di atas disusun selaras dengan standar internasional terkini berikut; perbedaan penekanan dinyatakan eksplisit bila ada.</w:t>
      </w:r>
    </w:p>
    <w:p>
      <w:pPr>
        <w:pStyle w:val="ListParagraph"/>
        <w:numPr>
          <w:ilvl w:val="0"/>
          <w:numId w:val="1"/>
        </w:numPr>
        <w:spacing w:after="100" w:line="290"/>
      </w:pPr>
      <w:r>
        <w:rPr>
          <w:rFonts w:ascii="IBM Plex Sans" w:cs="IBM Plex Sans" w:eastAsia="IBM Plex Sans" w:hAnsi="IBM Plex Sans"/>
          <w:color w:val="334155"/>
          <w:sz w:val="21"/>
          <w:szCs w:val="21"/>
        </w:rPr>
        <w:t xml:space="preserve">WHO recommendations on antenatal corticosteroids for improving preterm birth outcomes (2022) dan WHO recommendations on interventions to improve preterm birth outcomes (2015) menekankan paket intervensi inti: kortikosteroid antenatal, tokolisis jangka pendek, magnesium sulfat neuroproteksi, dan penundaan penjepitan tali pusat pada kelahiran preterm — sejalan dengan struktur bagian 7.2 di atas. Rekomendasi kortikosteroid 2022 menggantikan sebagian rekomendasi 2015 setelah tinjauan bukti baru.</w:t>
      </w:r>
    </w:p>
    <w:p>
      <w:pPr>
        <w:pStyle w:val="ListParagraph"/>
        <w:numPr>
          <w:ilvl w:val="0"/>
          <w:numId w:val="1"/>
        </w:numPr>
        <w:spacing w:after="100" w:line="290"/>
      </w:pPr>
      <w:r>
        <w:rPr>
          <w:rFonts w:ascii="IBM Plex Sans" w:cs="IBM Plex Sans" w:eastAsia="IBM Plex Sans" w:hAnsi="IBM Plex Sans"/>
          <w:color w:val="334155"/>
          <w:sz w:val="21"/>
          <w:szCs w:val="21"/>
        </w:rPr>
        <w:t xml:space="preserve">ACOG Practice Bulletin No. 171: Management of Preterm Labor (2016, direafirmasi 2022) merekomendasikan pendekatan serupa, dengan penekanan tambahan pada penggunaan panjang serviks USG transvaginal dan fibronektin janin untuk menghindari tokolisis/kortikosteroid yang tidak perlu pada risiko rendah.</w:t>
      </w:r>
    </w:p>
    <w:p>
      <w:pPr>
        <w:pStyle w:val="ListParagraph"/>
        <w:numPr>
          <w:ilvl w:val="0"/>
          <w:numId w:val="1"/>
        </w:numPr>
        <w:spacing w:after="100" w:line="290"/>
      </w:pPr>
      <w:r>
        <w:rPr>
          <w:rFonts w:ascii="IBM Plex Sans" w:cs="IBM Plex Sans" w:eastAsia="IBM Plex Sans" w:hAnsi="IBM Plex Sans"/>
          <w:color w:val="334155"/>
          <w:sz w:val="21"/>
          <w:szCs w:val="21"/>
        </w:rPr>
        <w:t xml:space="preserve">NICE guideline NG25 (Preterm Labour and Birth, terakhir diperbarui Juni 2022) — RCOG mengarahkan topik tokolisis ke pedoman ini setelah mengarsipkan Green-top Guideline No. 1b — secara eksplisit TIDAK merekomendasikan betamimetik sebagai tokolitik, sejalan dengan revisi bagian 7.2 dokumen ini.</w:t>
      </w:r>
    </w:p>
    <w:p>
      <w:pPr>
        <w:pStyle w:val="ListParagraph"/>
        <w:numPr>
          <w:ilvl w:val="0"/>
          <w:numId w:val="1"/>
        </w:numPr>
        <w:spacing w:after="100" w:line="290"/>
      </w:pPr>
      <w:r>
        <w:rPr>
          <w:rFonts w:ascii="IBM Plex Sans" w:cs="IBM Plex Sans" w:eastAsia="IBM Plex Sans" w:hAnsi="IBM Plex Sans"/>
          <w:color w:val="334155"/>
          <w:sz w:val="21"/>
          <w:szCs w:val="21"/>
        </w:rPr>
        <w:t xml:space="preserve">FIGO good practice recommendations (kelompok kerja FIGO untuk Preterm Birth, 2019–2021) menekankan skrining panjang serviks pada populasi berisiko, penggunaan progestogen pada indikasi terpilih, dan kriteria cerclage berbasis panjang serviks — area yang berkembang dan perlu diselaraskan lebih lanjut dengan kebijakan skrining nasional.</w:t>
      </w:r>
    </w:p>
    <w:p>
      <w:pPr>
        <w:pStyle w:val="ListParagraph"/>
        <w:numPr>
          <w:ilvl w:val="0"/>
          <w:numId w:val="1"/>
        </w:numPr>
        <w:spacing w:after="100" w:line="290"/>
      </w:pPr>
      <w:r>
        <w:rPr>
          <w:rFonts w:ascii="IBM Plex Sans" w:cs="IBM Plex Sans" w:eastAsia="IBM Plex Sans" w:hAnsi="IBM Plex Sans"/>
          <w:color w:val="334155"/>
          <w:sz w:val="21"/>
          <w:szCs w:val="21"/>
        </w:rPr>
        <w:t xml:space="preserve">Tinjauan sistematis Cochrane terbaru (jaringan meta-analisis tokolitik 2022; kortikosteroid antenatal 2020; magnesium sulfat neuroproteksi 2024) menjadi dasar bukti tingkat I untuk rekomendasi pada bagian 10 di atas.</w:t>
      </w:r>
    </w:p>
    <w:p>
      <w:pPr>
        <w:spacing w:after="160" w:line="300"/>
      </w:pPr>
      <w:r>
        <w:rPr>
          <w:rFonts w:ascii="IBM Plex Sans" w:cs="IBM Plex Sans" w:eastAsia="IBM Plex Sans" w:hAnsi="IBM Plex Sans"/>
          <w:i w:val="false"/>
          <w:iCs w:val="false"/>
          <w:color w:val="334155"/>
          <w:sz w:val="21"/>
          <w:szCs w:val="21"/>
        </w:rPr>
        <w:t xml:space="preserve">Standar nasional (Kepkonsil, sesuai Buku Tematik B3) menetapkan kerangka kompetensi dan alur rujukan Fetomaternal seperti pada bagian 7.4 di atas; standar internasional di atas memperkaya detail farmakologis dan ambang skrining tanpa menggantikan kerangka rujukan nasional — praktik di Indonesia mengikuti standar nasional untuk kriteria rujukan dan pembagian kewenangan, dengan standar internasional sebagai rujukan teknis tata laksana klinis.</w:t>
      </w:r>
    </w:p>
    <w:p>
      <w:pPr>
        <w:pStyle w:val="Heading1"/>
        <w:spacing w:after="160" w:before="320"/>
      </w:pPr>
      <w:r>
        <w:t xml:space="preserve">13. Kepustakaan</w:t>
      </w:r>
    </w:p>
    <w:p>
      <w:pPr>
        <w:pStyle w:val="Heading2"/>
        <w:spacing w:after="120" w:before="200"/>
      </w:pPr>
      <w:r>
        <w:t xml:space="preserve">13.1 Rujukan Nasional</w:t>
      </w:r>
    </w:p>
    <w:p>
      <w:pPr>
        <w:pStyle w:val="ListParagraph"/>
        <w:numPr>
          <w:ilvl w:val="0"/>
          <w:numId w:val="2"/>
        </w:numPr>
        <w:spacing w:after="100" w:line="290"/>
      </w:pPr>
      <w:r>
        <w:rPr>
          <w:rFonts w:ascii="IBM Plex Sans" w:cs="IBM Plex Sans" w:eastAsia="IBM Plex Sans" w:hAnsi="IBM Plex Sans"/>
          <w:color w:val="334155"/>
          <w:sz w:val="21"/>
          <w:szCs w:val="21"/>
        </w:rPr>
        <w:t xml:space="preserve">Keputusan Ketua Konsil Kesehatan Indonesia No. HK.01.02/KKI/1318/2026 tentang Standar Kompetensi Dokter Spesialis dan Subspesialis Bidang Obstetri dan Ginekologi, Tabel 7. (Dokumen internal — nomor pasal/tabel dan isi persis belum diverifikasi langsung pada sesi penyusunan ini; wajib dikonfirmasi pengampu terhadap naskah resmi.)</w:t>
      </w:r>
    </w:p>
    <w:p>
      <w:pPr>
        <w:pStyle w:val="ListParagraph"/>
        <w:numPr>
          <w:ilvl w:val="0"/>
          <w:numId w:val="2"/>
        </w:numPr>
        <w:spacing w:after="100" w:line="290"/>
      </w:pPr>
      <w:r>
        <w:rPr>
          <w:rFonts w:ascii="IBM Plex Sans" w:cs="IBM Plex Sans" w:eastAsia="IBM Plex Sans" w:hAnsi="IBM Plex Sans"/>
          <w:color w:val="334155"/>
          <w:sz w:val="21"/>
          <w:szCs w:val="21"/>
        </w:rPr>
        <w:t xml:space="preserve">Buku Tematik B3 — Obstetri Patologis dan Kegawatdaruratan Maternal, rujukan induk PPK ini. (Dokumen internal — nomor bab spesifik yang dirujuk belum dapat dipastikan tanpa akses langsung ke naskah.)</w:t>
      </w:r>
    </w:p>
    <w:p>
      <w:pPr>
        <w:pStyle w:val="Heading2"/>
        <w:spacing w:after="120" w:before="200"/>
      </w:pPr>
      <w:r>
        <w:t xml:space="preserve">13.2 Rujukan Internasional</w:t>
      </w:r>
    </w:p>
    <w:p>
      <w:pPr>
        <w:pStyle w:val="ListParagraph"/>
        <w:numPr>
          <w:ilvl w:val="0"/>
          <w:numId w:val="2"/>
        </w:numPr>
        <w:spacing w:after="100" w:line="290"/>
      </w:pPr>
      <w:r>
        <w:rPr>
          <w:rFonts w:ascii="IBM Plex Sans" w:cs="IBM Plex Sans" w:eastAsia="IBM Plex Sans" w:hAnsi="IBM Plex Sans"/>
          <w:color w:val="334155"/>
          <w:sz w:val="21"/>
          <w:szCs w:val="21"/>
        </w:rPr>
        <w:t xml:space="preserve">World Health Organization. WHO Recommendations on Antenatal Corticosteroids for Improving Preterm Birth Outcomes. Geneva: WHO; 2022.</w:t>
      </w:r>
    </w:p>
    <w:p>
      <w:pPr>
        <w:pStyle w:val="ListParagraph"/>
        <w:numPr>
          <w:ilvl w:val="0"/>
          <w:numId w:val="2"/>
        </w:numPr>
        <w:spacing w:after="100" w:line="290"/>
      </w:pPr>
      <w:r>
        <w:rPr>
          <w:rFonts w:ascii="IBM Plex Sans" w:cs="IBM Plex Sans" w:eastAsia="IBM Plex Sans" w:hAnsi="IBM Plex Sans"/>
          <w:color w:val="334155"/>
          <w:sz w:val="21"/>
          <w:szCs w:val="21"/>
        </w:rPr>
        <w:t xml:space="preserve">Vogel JP, Ramson J, Darmstadt GL, Qureshi ZP, Chou D, Bahl R, Oladapo OT. Updated WHO recommendations on antenatal corticosteroids and tocolytic therapy for improving preterm birth outcomes. Lancet Glob Health. 2022;10(12):e1707–e1708. DOI: 10.1016/S2214-109X(22)00434-X.</w:t>
      </w:r>
    </w:p>
    <w:p>
      <w:pPr>
        <w:pStyle w:val="ListParagraph"/>
        <w:numPr>
          <w:ilvl w:val="0"/>
          <w:numId w:val="2"/>
        </w:numPr>
        <w:spacing w:after="100" w:line="290"/>
      </w:pPr>
      <w:r>
        <w:rPr>
          <w:rFonts w:ascii="IBM Plex Sans" w:cs="IBM Plex Sans" w:eastAsia="IBM Plex Sans" w:hAnsi="IBM Plex Sans"/>
          <w:color w:val="334155"/>
          <w:sz w:val="21"/>
          <w:szCs w:val="21"/>
        </w:rPr>
        <w:t xml:space="preserve">World Health Organization. WHO Recommendations on Interventions to Improve Preterm Birth Outcomes. Geneva: WHO; 2015.</w:t>
      </w:r>
    </w:p>
    <w:p>
      <w:pPr>
        <w:pStyle w:val="ListParagraph"/>
        <w:numPr>
          <w:ilvl w:val="0"/>
          <w:numId w:val="2"/>
        </w:numPr>
        <w:spacing w:after="100" w:line="290"/>
      </w:pPr>
      <w:r>
        <w:rPr>
          <w:rFonts w:ascii="IBM Plex Sans" w:cs="IBM Plex Sans" w:eastAsia="IBM Plex Sans" w:hAnsi="IBM Plex Sans"/>
          <w:color w:val="334155"/>
          <w:sz w:val="21"/>
          <w:szCs w:val="21"/>
        </w:rPr>
        <w:t xml:space="preserve">American College of Obstetricians and Gynecologists. Practice Bulletin No. 171: Management of Preterm Labor. Obstet Gynecol. 2016;128:e155–e164 (direafirmasi 2022). DOI: 10.1097/AOG.0000000000001711.</w:t>
      </w:r>
    </w:p>
    <w:p>
      <w:pPr>
        <w:pStyle w:val="ListParagraph"/>
        <w:numPr>
          <w:ilvl w:val="0"/>
          <w:numId w:val="2"/>
        </w:numPr>
        <w:spacing w:after="100" w:line="290"/>
      </w:pPr>
      <w:r>
        <w:rPr>
          <w:rFonts w:ascii="IBM Plex Sans" w:cs="IBM Plex Sans" w:eastAsia="IBM Plex Sans" w:hAnsi="IBM Plex Sans"/>
          <w:color w:val="334155"/>
          <w:sz w:val="21"/>
          <w:szCs w:val="21"/>
        </w:rPr>
        <w:t xml:space="preserve">National Institute for Health and Care Excellence. Preterm Labour and Birth. NICE Guideline NG25. London: NICE; 2015 (pembaruan terakhir 10 Juni 2022).</w:t>
      </w:r>
    </w:p>
    <w:p>
      <w:pPr>
        <w:pStyle w:val="ListParagraph"/>
        <w:numPr>
          <w:ilvl w:val="0"/>
          <w:numId w:val="2"/>
        </w:numPr>
        <w:spacing w:after="100" w:line="290"/>
      </w:pPr>
      <w:r>
        <w:rPr>
          <w:rFonts w:ascii="IBM Plex Sans" w:cs="IBM Plex Sans" w:eastAsia="IBM Plex Sans" w:hAnsi="IBM Plex Sans"/>
          <w:color w:val="334155"/>
          <w:sz w:val="21"/>
          <w:szCs w:val="21"/>
        </w:rPr>
        <w:t xml:space="preserve">Shennan A, Story L, Jacobsson B, Grobman WA; FIGO Working Group for Preterm Birth. FIGO good practice recommendations on cervical cerclage for prevention of preterm birth. Int J Gynecol Obstet. 2021;155(1):19–22. DOI: 10.1002/ijgo.13835.</w:t>
      </w:r>
    </w:p>
    <w:p>
      <w:pPr>
        <w:pStyle w:val="ListParagraph"/>
        <w:numPr>
          <w:ilvl w:val="0"/>
          <w:numId w:val="2"/>
        </w:numPr>
        <w:spacing w:after="100" w:line="290"/>
      </w:pPr>
      <w:r>
        <w:rPr>
          <w:rFonts w:ascii="IBM Plex Sans" w:cs="IBM Plex Sans" w:eastAsia="IBM Plex Sans" w:hAnsi="IBM Plex Sans"/>
          <w:color w:val="334155"/>
          <w:sz w:val="21"/>
          <w:szCs w:val="21"/>
        </w:rPr>
        <w:t xml:space="preserve">Jacobsson B, Simpson JL, Shennan A, et al.; FIGO Working Group for Preterm Birth. FIGO good practice recommendations for reducing preterm birth and improving child outcomes. Int J Gynecol Obstet. 2021;155(1):16–18. DOI: 10.1002/ijgo.13863.</w:t>
      </w:r>
    </w:p>
    <w:p>
      <w:pPr>
        <w:pStyle w:val="ListParagraph"/>
        <w:numPr>
          <w:ilvl w:val="0"/>
          <w:numId w:val="2"/>
        </w:numPr>
        <w:spacing w:after="100" w:line="290"/>
      </w:pPr>
      <w:r>
        <w:rPr>
          <w:rFonts w:ascii="IBM Plex Sans" w:cs="IBM Plex Sans" w:eastAsia="IBM Plex Sans" w:hAnsi="IBM Plex Sans"/>
          <w:color w:val="334155"/>
          <w:sz w:val="21"/>
          <w:szCs w:val="21"/>
        </w:rPr>
        <w:t xml:space="preserve">Di Renzo GC, Tosto V, Tsibizova V, et al. Good clinical practice advice: Prediction of preterm labor and preterm premature rupture of membranes. Int J Gynecol Obstet. 2019;144(3):340–346. DOI: 10.1002/ijgo.12744.</w:t>
      </w:r>
    </w:p>
    <w:p>
      <w:pPr>
        <w:pStyle w:val="ListParagraph"/>
        <w:numPr>
          <w:ilvl w:val="0"/>
          <w:numId w:val="2"/>
        </w:numPr>
        <w:spacing w:after="100" w:line="290"/>
      </w:pPr>
      <w:r>
        <w:rPr>
          <w:rFonts w:ascii="IBM Plex Sans" w:cs="IBM Plex Sans" w:eastAsia="IBM Plex Sans" w:hAnsi="IBM Plex Sans"/>
          <w:color w:val="334155"/>
          <w:sz w:val="21"/>
          <w:szCs w:val="21"/>
        </w:rPr>
        <w:t xml:space="preserve">McGoldrick E, Stewart F, Parker R, Dowswell T. Antenatal corticosteroids for accelerating fetal lung maturation for women at risk of preterm birth. Cochrane Database Syst Rev. 2020;12:CD004454. DOI: 10.1002/14651858.CD004454.pub4.</w:t>
      </w:r>
    </w:p>
    <w:p>
      <w:pPr>
        <w:pStyle w:val="ListParagraph"/>
        <w:numPr>
          <w:ilvl w:val="0"/>
          <w:numId w:val="2"/>
        </w:numPr>
        <w:spacing w:after="100" w:line="290"/>
      </w:pPr>
      <w:r>
        <w:rPr>
          <w:rFonts w:ascii="IBM Plex Sans" w:cs="IBM Plex Sans" w:eastAsia="IBM Plex Sans" w:hAnsi="IBM Plex Sans"/>
          <w:color w:val="334155"/>
          <w:sz w:val="21"/>
          <w:szCs w:val="21"/>
        </w:rPr>
        <w:t xml:space="preserve">Shepherd ES, Goldsmith S, Doyle LW, Middleton P, Marret S, Rouse DJ, Pryde P, Wolf HT, Crowther CA. Magnesium sulphate for women at risk of preterm birth for neuroprotection of the fetus. Cochrane Database Syst Rev. 2024;5:CD004661. DOI: 10.1002/14651858.CD004661.pub4.</w:t>
      </w:r>
    </w:p>
    <w:p>
      <w:pPr>
        <w:pStyle w:val="ListParagraph"/>
        <w:numPr>
          <w:ilvl w:val="0"/>
          <w:numId w:val="2"/>
        </w:numPr>
        <w:spacing w:after="100" w:line="290"/>
      </w:pPr>
      <w:r>
        <w:rPr>
          <w:rFonts w:ascii="IBM Plex Sans" w:cs="IBM Plex Sans" w:eastAsia="IBM Plex Sans" w:hAnsi="IBM Plex Sans"/>
          <w:color w:val="334155"/>
          <w:sz w:val="21"/>
          <w:szCs w:val="21"/>
        </w:rPr>
        <w:t xml:space="preserve">Wilson A, Hodgetts-Morton VA, Marson EJ, et al. Tocolytics for delaying preterm birth: a network meta-analysis. Cochrane Database Syst Rev. 2022;8:CD014978. DOI: 10.1002/14651858.CD014978.pub2.</w:t>
      </w:r>
    </w:p>
    <w:p>
      <w:pPr>
        <w:pStyle w:val="ListParagraph"/>
        <w:numPr>
          <w:ilvl w:val="0"/>
          <w:numId w:val="2"/>
        </w:numPr>
        <w:spacing w:after="100" w:line="290"/>
      </w:pPr>
      <w:r>
        <w:rPr>
          <w:rFonts w:ascii="IBM Plex Sans" w:cs="IBM Plex Sans" w:eastAsia="IBM Plex Sans" w:hAnsi="IBM Plex Sans"/>
          <w:color w:val="334155"/>
          <w:sz w:val="21"/>
          <w:szCs w:val="21"/>
        </w:rPr>
        <w:t xml:space="preserve">World Health Organization. ICD-11 for Mortality and Morbidity Statistics — kategori JB00 Preterm labour or delivery.</w:t>
      </w:r>
    </w:p>
    <w:p>
      <w:pPr>
        <w:pStyle w:val="ListParagraph"/>
        <w:numPr>
          <w:ilvl w:val="0"/>
          <w:numId w:val="2"/>
        </w:numPr>
        <w:spacing w:after="100" w:line="290"/>
      </w:pPr>
      <w:r>
        <w:rPr>
          <w:rFonts w:ascii="IBM Plex Sans" w:cs="IBM Plex Sans" w:eastAsia="IBM Plex Sans" w:hAnsi="IBM Plex Sans"/>
          <w:color w:val="334155"/>
          <w:sz w:val="21"/>
          <w:szCs w:val="21"/>
        </w:rPr>
        <w:t xml:space="preserve">ICD-10-CM 2026 — kategori O60 Preterm labor.</w:t>
      </w:r>
    </w:p>
    <w:p>
      <w:pPr>
        <w:spacing w:after="160" w:line="300"/>
      </w:pPr>
      <w:r>
        <w:rPr>
          <w:rFonts w:ascii="IBM Plex Sans" w:cs="IBM Plex Sans" w:eastAsia="IBM Plex Sans" w:hAnsi="IBM Plex Sans"/>
          <w:i/>
          <w:iCs/>
          <w:color w:val="64748B"/>
          <w:sz w:val="21"/>
          <w:szCs w:val="21"/>
        </w:rPr>
        <w:t xml:space="preserve">Rujukan 13.1 No. 1–2 memerlukan verifikasi pasal/tabel dan nomor bab spesifik oleh pengampu terhadap naskah resmi sebelum PPK ini disahkan. Seluruh rujukan pada 13.2 telah ditelusuri ulang pada sesi revisi Agustus 2026 untuk memastikan menggunakan versi terbaru yang masih berlaku, bukan versi yang telah diarsipkan atau digantikan.</w:t>
      </w:r>
    </w:p>
    <w:p>
      <w:pPr>
        <w:pStyle w:val="Heading1"/>
        <w:spacing w:after="160" w:before="320"/>
      </w:pPr>
      <w:r>
        <w:t xml:space="preserve">14. Glosarium</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Istilah</w:t>
            </w:r>
          </w:p>
        </w:tc>
        <w:tc>
          <w:tcPr>
            <w:tcW w:type="dxa" w:w="4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Penjelasan</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Persalinan preterm (preterm labor)</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Kontraksi uterus teratur disertai perubahan serviks progresif sebelum usia kehamilan 37 minggu.</w:t>
            </w:r>
          </w:p>
        </w:tc>
      </w:tr>
      <w:tr>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Kelahiran preterm (preterm birth)</w:t>
            </w:r>
          </w:p>
        </w:tc>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Kelahiran hidup sebelum usia kehamilan 37 minggu lengkap.</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Threatened preterm labor</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Kontraksi uterus tanpa perubahan serviks yang bermakna; persalinan preterm belum tegak.</w:t>
            </w:r>
          </w:p>
        </w:tc>
      </w:tr>
      <w:tr>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PPROM (preterm premature rupture of membranes)</w:t>
            </w:r>
          </w:p>
        </w:tc>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Ketuban pecah dini yang terjadi sebelum usia kehamilan 37 minggu, mendahului kontraksi.</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Tokolisis</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Pemberian obat untuk menekan kontraksi uterus guna menunda persalinan, biasanya hingga 48 jam.</w:t>
            </w:r>
          </w:p>
        </w:tc>
      </w:tr>
      <w:tr>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Kortikosteroid antenatal</w:t>
            </w:r>
          </w:p>
        </w:tc>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Betametason atau deksametason yang diberikan pada ibu untuk mempercepat maturasi paru janin sebelum kelahiran preterm.</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Magnesium sulfat neuroproteksi</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Pemberian magnesium sulfat pada ibu sebelum kelahiran preterm untuk menurunkan risiko cerebral palsy pada bayi.</w:t>
            </w:r>
          </w:p>
        </w:tc>
      </w:tr>
      <w:tr>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Fibronektin janin (fetal fibronectin)</w:t>
            </w:r>
          </w:p>
        </w:tc>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Protein pada sekret servikovaginal yang bila negatif menunjukkan kemungkinan kecil persalinan preterm dalam 7–14 hari.</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Panjang serviks (cervical length)</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Ukuran panjang kanalis servikalis pada USG transvaginal, digunakan untuk memprediksi risiko persalinan preterm.</w:t>
            </w:r>
          </w:p>
        </w:tc>
      </w:tr>
      <w:tr>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Korioamnionitis</w:t>
            </w:r>
          </w:p>
        </w:tc>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Infeksi/inflamasi pada membran korioamnion dan cairan amnion.</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Cerclage</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Prosedur penjahitan serviks untuk mempertahankan kehamilan pada insufisiensi serviks.</w:t>
            </w:r>
          </w:p>
        </w:tc>
      </w:tr>
      <w:tr>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NICU (neonatal intensive care unit)</w:t>
            </w:r>
          </w:p>
        </w:tc>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Unit perawatan intensif neonatus untuk bayi yang memerlukan dukungan medis lanjut, termasuk bayi preterm.</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Rujukan in-utero</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Rujukan ibu hamil ke fasilitas dengan kapasitas neonatal lebih tinggi sebelum bayi dilahirkan.</w:t>
            </w:r>
          </w:p>
        </w:tc>
      </w:tr>
      <w:tr>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Skor Bishop</w:t>
            </w:r>
          </w:p>
        </w:tc>
        <w:tc>
          <w:tcPr>
            <w:tcW w:type="dxa" w:w="4500"/>
            <w:shd w:fill="EEF2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Sistem penilaian kematangan serviks untuk memperkirakan keberhasilan induksi atau kemajuan persalinan.</w:t>
            </w:r>
          </w:p>
        </w:tc>
      </w:tr>
      <w:tr>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Betamimetik (beta-agonis)</w:t>
            </w:r>
          </w:p>
        </w:tc>
        <w:tc>
          <w:tcPr>
            <w:tcW w:type="dxa" w:w="4500"/>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Golongan obat tokolitik (mis. terbutalin) yang kini tidak lagi dianjurkan sebagai lini pertama karena efek samping kardiovaskular.</w:t>
            </w:r>
          </w:p>
        </w:tc>
      </w:tr>
    </w:tbl>
    <w:p>
      <w:pPr>
        <w:spacing w:after="160"/>
      </w:pPr>
    </w:p>
    <w:sectPr>
      <w:headerReference w:type="default" r:id="rId7"/>
      <w:footerReference w:type="default" r:id="rId8"/>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5"/>
        <w:szCs w:val="15"/>
      </w:rPr>
      <w:t xml:space="preserve">Perpustakaan Digital ABBA  •  PPK No. 21 dari 73  •  Hal. </w:t>
    </w:r>
    <w:r>
      <w:rPr>
        <w:rFonts w:ascii="IBM Plex Mono" w:cs="IBM Plex Mono" w:eastAsia="IBM Plex Mono" w:hAnsi="IBM Plex Mono"/>
        <w:color w:val="64748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64748B"/>
        <w:sz w:val="15"/>
        <w:szCs w:val="15"/>
      </w:rPr>
      <w:t xml:space="preserve">PPK-021 — Persalinan Preterm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45309" w:sz="8" w:space="6"/>
      </w:pBdr>
      <w:spacing w:after="160" w:before="32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20" w:before="200"/>
    </w:pPr>
    <w:rPr>
      <w:rFonts w:ascii="Source Serif 4" w:cs="Source Serif 4" w:eastAsia="Source Serif 4" w:hAnsi="Source Serif 4"/>
      <w:b/>
      <w:bCs/>
      <w:color w:val="B45309"/>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2026-08-17T09:17:17.119Z</dcterms:created>
  <dcterms:modified xsi:type="dcterms:W3CDTF">2026-08-17T09:17:17.120Z</dcterms:modified>
</cp:coreProperties>
</file>

<file path=docProps/custom.xml><?xml version="1.0" encoding="utf-8"?>
<Properties xmlns="http://schemas.openxmlformats.org/officeDocument/2006/custom-properties" xmlns:vt="http://schemas.openxmlformats.org/officeDocument/2006/docPropsVTypes"/>
</file>