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jc w:val="center"/>
      </w:pPr>
      <w:r>
        <w:rPr>
          <w:rFonts w:ascii="IBM Plex Mono" w:cs="IBM Plex Mono" w:eastAsia="IBM Plex Mono" w:hAnsi="IBM Plex Mono"/>
          <w:b/>
          <w:bCs/>
          <w:color w:val="B45309"/>
          <w:sz w:val="20"/>
          <w:szCs w:val="20"/>
        </w:rPr>
        <w:t xml:space="preserve">Perpustakaan Digital ABBA</w:t>
      </w:r>
    </w:p>
    <w:p>
      <w:pPr>
        <w:spacing w:before="120"/>
        <w:jc w:val="center"/>
      </w:pPr>
      <w:r>
        <w:rPr>
          <w:rFonts w:ascii="IBM Plex Sans" w:cs="IBM Plex Sans" w:eastAsia="IBM Plex Sans" w:hAnsi="IBM Plex Sans"/>
          <w:color w:val="64748B"/>
          <w:sz w:val="20"/>
          <w:szCs w:val="20"/>
        </w:rPr>
        <w:t xml:space="preserve">Panduan Praktik Klinis · PPK-023 dari 73</w:t>
      </w:r>
    </w:p>
    <w:p>
      <w:pPr>
        <w:spacing w:before="500"/>
        <w:jc w:val="center"/>
      </w:pPr>
      <w:r>
        <w:rPr>
          <w:rFonts w:ascii="Source Serif 4" w:cs="Source Serif 4" w:eastAsia="Source Serif 4" w:hAnsi="Source Serif 4"/>
          <w:b/>
          <w:bCs/>
          <w:color w:val="4F46E5"/>
          <w:sz w:val="44"/>
          <w:szCs w:val="44"/>
        </w:rPr>
        <w:t xml:space="preserve">Ketuban Pecah pada Kehamilan Preterm</w:t>
      </w:r>
    </w:p>
    <w:p>
      <w:pPr>
        <w:spacing w:before="100"/>
        <w:jc w:val="center"/>
      </w:pPr>
      <w:r>
        <w:rPr>
          <w:rFonts w:ascii="Source Serif 4" w:cs="Source Serif 4" w:eastAsia="Source Serif 4" w:hAnsi="Source Serif 4"/>
          <w:i/>
          <w:iCs/>
          <w:color w:val="334155"/>
          <w:sz w:val="26"/>
          <w:szCs w:val="26"/>
        </w:rPr>
        <w:t xml:space="preserve">Preterm Premature Rupture of Membrane (PPROM)</w:t>
      </w:r>
    </w:p>
    <w:p>
      <w:pPr>
        <w:spacing w:before="300"/>
        <w:jc w:val="center"/>
      </w:pPr>
      <w:r>
        <w:rPr>
          <w:rFonts w:ascii="IBM Plex Mono" w:cs="IBM Plex Mono" w:eastAsia="IBM Plex Mono" w:hAnsi="IBM Plex Mono"/>
          <w:color w:val="B45309"/>
          <w:sz w:val="20"/>
          <w:szCs w:val="20"/>
        </w:rPr>
        <w:t xml:space="preserve">ICD-10: O42.9 ; O60   |   ICD-11: JA89.3</w:t>
      </w:r>
    </w:p>
    <w:p>
      <w:pPr>
        <w:spacing w:before="700"/>
        <w:jc w:val="center"/>
      </w:pPr>
      <w:r>
        <w:rPr>
          <w:rFonts w:ascii="IBM Plex Sans" w:cs="IBM Plex Sans" w:eastAsia="IBM Plex Sans" w:hAnsi="IBM Plex Sans"/>
          <w:color w:val="334155"/>
          <w:sz w:val="20"/>
          <w:szCs w:val="20"/>
        </w:rPr>
        <w:t xml:space="preserve">Divisi Pengampu: Fetomaternal</w:t>
      </w:r>
    </w:p>
    <w:p>
      <w:pPr>
        <w:spacing w:before="40"/>
        <w:jc w:val="center"/>
      </w:pPr>
      <w:r>
        <w:rPr>
          <w:rFonts w:ascii="IBM Plex Sans" w:cs="IBM Plex Sans" w:eastAsia="IBM Plex Sans" w:hAnsi="IBM Plex Sans"/>
          <w:color w:val="64748B"/>
          <w:sz w:val="18"/>
          <w:szCs w:val="18"/>
        </w:rPr>
        <w:t xml:space="preserve">Turunan operasional Buku Tematik B3 — Obstetri Patologis dan Kegawatdaruratan Maternal</w:t>
      </w:r>
    </w:p>
    <w:p>
      <w:pPr>
        <w:spacing w:before="1600"/>
        <w:jc w:val="center"/>
      </w:pPr>
      <w:r>
        <w:rPr>
          <w:rFonts w:ascii="IBM Plex Sans" w:cs="IBM Plex Sans" w:eastAsia="IBM Plex Sans" w:hAnsi="IBM Plex Sans"/>
          <w:b/>
          <w:bCs/>
          <w:color w:val="334155"/>
          <w:sz w:val="22"/>
          <w:szCs w:val="22"/>
        </w:rPr>
        <w:t xml:space="preserve">Dr.dr. Budi Siswanto, Sp.OG., Subsp.Obginsos., SH., S.Kom.</w:t>
      </w:r>
    </w:p>
    <w:p>
      <w:pPr>
        <w:jc w:val="center"/>
      </w:pPr>
      <w:r>
        <w:rPr>
          <w:rFonts w:ascii="IBM Plex Sans" w:cs="IBM Plex Sans" w:eastAsia="IBM Plex Sans" w:hAnsi="IBM Plex Sans"/>
          <w:color w:val="64748B"/>
          <w:sz w:val="20"/>
          <w:szCs w:val="20"/>
        </w:rPr>
        <w:t xml:space="preserve">Perpustakaan Digital ABBA</w:t>
      </w:r>
    </w:p>
    <w:p>
      <w:pPr>
        <w:jc w:val="center"/>
      </w:pPr>
      <w:r>
        <w:rPr>
          <w:rFonts w:ascii="IBM Plex Sans" w:cs="IBM Plex Sans" w:eastAsia="IBM Plex Sans" w:hAnsi="IBM Plex Sans"/>
          <w:color w:val="64748B"/>
          <w:sz w:val="18"/>
          <w:szCs w:val="18"/>
        </w:rPr>
        <w:t xml:space="preserve">Jl. Kerinci Raya No. 9, Malang 65138</w:t>
      </w:r>
    </w:p>
    <w:p>
      <w:r>
        <w:br w:type="page"/>
      </w:r>
    </w:p>
    <w:p>
      <w:pPr>
        <w:pStyle w:val="Heading2"/>
        <w:spacing w:after="120" w:before="240"/>
      </w:pPr>
      <w:r>
        <w:rPr>
          <w:rFonts w:ascii="Source Serif 4" w:cs="Source Serif 4" w:eastAsia="Source Serif 4" w:hAnsi="Source Serif 4"/>
          <w:b/>
          <w:bCs/>
          <w:color w:val="334155"/>
          <w:sz w:val="24"/>
          <w:szCs w:val="24"/>
        </w:rPr>
        <w:t xml:space="preserve">Ringkasan Dokumen</w:t>
      </w:r>
    </w:p>
    <w:p>
      <w:pPr>
        <w:spacing w:after="160" w:line="300"/>
      </w:pPr>
      <w:r>
        <w:rPr>
          <w:rFonts w:ascii="IBM Plex Sans" w:cs="IBM Plex Sans" w:eastAsia="IBM Plex Sans" w:hAnsi="IBM Plex Sans"/>
          <w:color w:val="334155"/>
          <w:sz w:val="22"/>
          <w:szCs w:val="22"/>
        </w:rPr>
        <w:t xml:space="preserve">Panduan Praktik Klinis untuk pecahnya selaput ketuban sebelum usia kehamilan 37 minggu dan sebelum onset persalinan (PPROM), mencakup diagnosis, tata laksana ekspektatif vs aktif berdasarkan usia gestasi, profilaksis infeksi dan pematangan paru janin, serta kriteria rujukan subspesialis Fetomaternal.</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9350"/>
      </w:tblGrid>
      <w:tr>
        <w:tc>
          <w:tcPr>
            <w:tcW w:type="dxa" w:w="9350"/>
            <w:tcBorders>
              <w:top w:val="none"/>
              <w:left w:val="single" w:color="4F46E5" w:sz="24"/>
              <w:bottom w:val="none"/>
              <w:right w:val="none"/>
            </w:tcBorders>
            <w:shd w:fill="EEF2FF" w:val="clear"/>
            <w:tcMar>
              <w:top w:type="dxa" w:w="120"/>
              <w:left w:type="dxa" w:w="180"/>
              <w:bottom w:type="dxa" w:w="120"/>
              <w:right w:type="dxa" w:w="180"/>
            </w:tcMar>
          </w:tcPr>
          <w:p>
            <w:r>
              <w:rPr>
                <w:rFonts w:ascii="IBM Plex Mono" w:cs="IBM Plex Mono" w:eastAsia="IBM Plex Mono" w:hAnsi="IBM Plex Mono"/>
                <w:b/>
                <w:bCs/>
                <w:color w:val="4F46E5"/>
                <w:sz w:val="18"/>
                <w:szCs w:val="18"/>
              </w:rPr>
              <w:t xml:space="preserve">DASAR REGULASI</w:t>
            </w:r>
          </w:p>
          <w:p>
            <w:pPr>
              <w:spacing w:before="60"/>
            </w:pPr>
            <w:r>
              <w:rPr>
                <w:rFonts w:ascii="IBM Plex Sans" w:cs="IBM Plex Sans" w:eastAsia="IBM Plex Sans" w:hAnsi="IBM Plex Sans"/>
                <w:color w:val="334155"/>
                <w:sz w:val="20"/>
                <w:szCs w:val="20"/>
              </w:rPr>
              <w:t xml:space="preserve">Tabel 7 Kepkonsil No. HK.01.02/KKI/1318/2026, baris No. 23</w:t>
            </w:r>
          </w:p>
        </w:tc>
      </w:tr>
    </w:tbl>
    <w:p>
      <w:pPr>
        <w:spacing w:before="200"/>
      </w:pPr>
      <w:r>
        <w:t xml:space="preserve"/>
      </w:r>
    </w:p>
    <w:p>
      <w:pPr>
        <w:pStyle w:val="Heading1"/>
        <w:spacing w:after="160" w:before="360"/>
      </w:pPr>
      <w:r>
        <w:rPr>
          <w:rFonts w:ascii="Source Serif 4" w:cs="Source Serif 4" w:eastAsia="Source Serif 4" w:hAnsi="Source Serif 4"/>
          <w:b/>
          <w:bCs/>
          <w:color w:val="4F46E5"/>
          <w:sz w:val="30"/>
          <w:szCs w:val="30"/>
        </w:rPr>
        <w:t xml:space="preserve">1. Pengertian/Definisi</w:t>
      </w:r>
    </w:p>
    <w:p>
      <w:pPr>
        <w:spacing w:after="160" w:line="300"/>
      </w:pPr>
      <w:r>
        <w:rPr>
          <w:rFonts w:ascii="IBM Plex Sans" w:cs="IBM Plex Sans" w:eastAsia="IBM Plex Sans" w:hAnsi="IBM Plex Sans"/>
          <w:color w:val="334155"/>
          <w:sz w:val="22"/>
          <w:szCs w:val="22"/>
        </w:rPr>
        <w:t xml:space="preserve">PPK ini merupakan turunan operasional dari Bab Ketuban Pecah dan Kegawatdaruratan Selaput Ketuban Buku Tematik B3 — Obstetri Patologis dan Kegawatdaruratan Maternal.</w:t>
      </w:r>
    </w:p>
    <w:p>
      <w:pPr>
        <w:spacing w:after="160" w:line="300"/>
      </w:pPr>
      <w:r>
        <w:rPr>
          <w:rFonts w:ascii="IBM Plex Sans" w:cs="IBM Plex Sans" w:eastAsia="IBM Plex Sans" w:hAnsi="IBM Plex Sans"/>
          <w:color w:val="334155"/>
          <w:sz w:val="22"/>
          <w:szCs w:val="22"/>
        </w:rPr>
        <w:t xml:space="preserve">Ketuban pecah pada kehamilan preterm (Preterm Premature Rupture of Membrane/PPROM) adalah pecahnya selaput ketuban (korioamnion) sebelum usia kehamilan 37 minggu lengkap dan sebelum timbulnya kontraksi persalinan, sebagaimana didefinisikan dalam Kepkonsil No. HK.01.02/KKI/1318/2026 Tabel 7 No. 23.</w:t>
      </w:r>
    </w:p>
    <w:p>
      <w:pPr>
        <w:spacing w:after="160" w:line="300"/>
      </w:pPr>
      <w:r>
        <w:rPr>
          <w:rFonts w:ascii="IBM Plex Sans" w:cs="IBM Plex Sans" w:eastAsia="IBM Plex Sans" w:hAnsi="IBM Plex Sans"/>
          <w:color w:val="334155"/>
          <w:sz w:val="22"/>
          <w:szCs w:val="22"/>
        </w:rPr>
        <w:t xml:space="preserve">PPROM dibedakan dari Ketuban Pecah Sebelum Persalinan/Pre-labor Rupture of Membrane (PROM) pada kehamilan aterm (PPK No. 22) oleh batas usia gestasi &lt;37 minggu, yang membawa risiko ganda: infeksi intraamnion (korioamnionitis) dan morbiditas neonatal akibat prematuritas.</w:t>
      </w:r>
    </w:p>
    <w:p>
      <w:pPr>
        <w:spacing w:after="160" w:line="300"/>
      </w:pPr>
      <w:r>
        <w:rPr>
          <w:rFonts w:ascii="IBM Plex Sans" w:cs="IBM Plex Sans" w:eastAsia="IBM Plex Sans" w:hAnsi="IBM Plex Sans"/>
          <w:color w:val="334155"/>
          <w:sz w:val="22"/>
          <w:szCs w:val="22"/>
        </w:rPr>
        <w:t xml:space="preserve">Menurut Green-top Guideline No. 73 Royal College of Obstetricians and Gynaecologists (RCOG), PPROM memperumit hingga 3% kehamilan namun berkontribusi pada 30–40% seluruh persalinan preterm, menjadikannya salah satu kontributor terbesar morbiditas neonatal terkait prematuritas secara global.</w:t>
      </w:r>
    </w:p>
    <w:p>
      <w:pPr>
        <w:spacing w:after="160" w:line="300"/>
      </w:pPr>
      <w:r>
        <w:rPr>
          <w:rFonts w:ascii="IBM Plex Sans" w:cs="IBM Plex Sans" w:eastAsia="IBM Plex Sans" w:hAnsi="IBM Plex Sans"/>
          <w:color w:val="334155"/>
          <w:sz w:val="22"/>
          <w:szCs w:val="22"/>
        </w:rPr>
        <w:t xml:space="preserve">Periode laten (interval antara pecah ketuban hingga onset persalinan) umumnya lebih panjang pada usia gestasi yang lebih muda; median periode laten dilaporkan sekitar 7 hari pada studi kohort RCOG dan cenderung memendek seiring bertambahnya usia gestasi saat PPROM terjadi, namun disertai peningkatan risiko oligohidramnion, kompresi tali pusat, dan sepsis neonatal awitan dini.</w:t>
      </w:r>
    </w:p>
    <w:p>
      <w:pPr>
        <w:spacing w:after="160" w:line="300"/>
      </w:pPr>
      <w:r>
        <w:rPr>
          <w:rFonts w:ascii="IBM Plex Sans" w:cs="IBM Plex Sans" w:eastAsia="IBM Plex Sans" w:hAnsi="IBM Plex Sans"/>
          <w:color w:val="334155"/>
          <w:sz w:val="22"/>
          <w:szCs w:val="22"/>
        </w:rPr>
        <w:t xml:space="preserve">Klasifikasi usia gestasi PPROM yang relevan secara klinis mengikuti pembagian ACOG Practice Bulletin No. 217: previable (&lt;24 minggu), preterm jauh dari aterm (24–33 minggu 6 hari), PPROM mendekati aterm (34–36 minggu 6 hari) — pembagian ini menjadi dasar keputusan ekspektatif versus aktif pada Bagian 7 PPK ini.</w:t>
      </w:r>
    </w:p>
    <w:p>
      <w:pPr>
        <w:pStyle w:val="Heading1"/>
        <w:spacing w:after="160" w:before="360"/>
      </w:pPr>
      <w:r>
        <w:rPr>
          <w:rFonts w:ascii="Source Serif 4" w:cs="Source Serif 4" w:eastAsia="Source Serif 4" w:hAnsi="Source Serif 4"/>
          <w:b/>
          <w:bCs/>
          <w:color w:val="4F46E5"/>
          <w:sz w:val="30"/>
          <w:szCs w:val="30"/>
        </w:rPr>
        <w:t xml:space="preserve">2. Anamnesis</w:t>
      </w:r>
    </w:p>
    <w:p>
      <w:pPr>
        <w:spacing w:after="160" w:line="300"/>
      </w:pPr>
      <w:r>
        <w:rPr>
          <w:rFonts w:ascii="IBM Plex Sans" w:cs="IBM Plex Sans" w:eastAsia="IBM Plex Sans" w:hAnsi="IBM Plex Sans"/>
          <w:color w:val="334155"/>
          <w:sz w:val="22"/>
          <w:szCs w:val="22"/>
        </w:rPr>
        <w:t xml:space="preserve">Keluhan utama berupa keluarnya cairan jernih atau kekuningan dari vagina secara tiba-tiba dalam jumlah banyak (gush) atau rembesan terus-menerus (leakage), yang membasahi pakaian dalam dan tidak berhenti dengan istirahat.</w:t>
      </w:r>
    </w:p>
    <w:p>
      <w:pPr>
        <w:spacing w:after="160" w:line="300"/>
      </w:pPr>
      <w:r>
        <w:rPr>
          <w:rFonts w:ascii="IBM Plex Sans" w:cs="IBM Plex Sans" w:eastAsia="IBM Plex Sans" w:hAnsi="IBM Plex Sans"/>
          <w:color w:val="334155"/>
          <w:sz w:val="22"/>
          <w:szCs w:val="22"/>
        </w:rPr>
        <w:t xml:space="preserve">Perlu digali: usia kehamilan pasti berdasarkan HPHT/USG trimester pertama, waktu awitan gejala, warna dan bau cairan (jernih vs hijau/mekonium vs berbau busuk yang mengarah pada infeksi), riwayat demam, nyeri perut/kontraksi, gerak janin, riwayat PPROM/persalinan preterm sebelumnya, riwayat prosedur invasif (amniosentesis, cerclage), riwayat infeksi saluran kemih atau vaginosis bakterialis, merokok, dan riwayat perdarahan pervaginam.</w:t>
      </w:r>
    </w:p>
    <w:p>
      <w:pPr>
        <w:spacing w:after="160" w:line="300"/>
      </w:pPr>
      <w:r>
        <w:rPr>
          <w:rFonts w:ascii="IBM Plex Sans" w:cs="IBM Plex Sans" w:eastAsia="IBM Plex Sans" w:hAnsi="IBM Plex Sans"/>
          <w:color w:val="334155"/>
          <w:sz w:val="22"/>
          <w:szCs w:val="22"/>
        </w:rPr>
        <w:t xml:space="preserve">Anamnesis faktor risiko meliputi: riwayat PPROM pada kehamilan sebelumnya, persalinan preterm sebelumnya, insufisiensi serviks, kehamilan multipel, polihidramnion, perdarahan antepartum trimester kedua/ketiga, indeks massa tubuh rendah, status sosioekonomi rendah, dan riwayat prosedur serviks (konisasi/LEEP).</w:t>
      </w:r>
    </w:p>
    <w:p>
      <w:pPr>
        <w:pStyle w:val="Heading1"/>
        <w:spacing w:after="160" w:before="360"/>
      </w:pPr>
      <w:r>
        <w:rPr>
          <w:rFonts w:ascii="Source Serif 4" w:cs="Source Serif 4" w:eastAsia="Source Serif 4" w:hAnsi="Source Serif 4"/>
          <w:b/>
          <w:bCs/>
          <w:color w:val="4F46E5"/>
          <w:sz w:val="30"/>
          <w:szCs w:val="30"/>
        </w:rPr>
        <w:t xml:space="preserve">3. Pemeriksaan Fisik</w:t>
      </w:r>
    </w:p>
    <w:p>
      <w:pPr>
        <w:spacing w:after="160" w:line="300"/>
      </w:pPr>
      <w:r>
        <w:rPr>
          <w:rFonts w:ascii="IBM Plex Sans" w:cs="IBM Plex Sans" w:eastAsia="IBM Plex Sans" w:hAnsi="IBM Plex Sans"/>
          <w:color w:val="334155"/>
          <w:sz w:val="22"/>
          <w:szCs w:val="22"/>
        </w:rPr>
        <w:t xml:space="preserve">Tanda vital lengkap dengan perhatian khusus pada suhu tubuh (demam ≥38°C mengarah pada korioamnionitis), nadi ibu, dan tanda takikardia sebagai indikator dini infeksi sistemik.</w:t>
      </w:r>
    </w:p>
    <w:p>
      <w:pPr>
        <w:spacing w:after="160" w:line="300"/>
      </w:pPr>
      <w:r>
        <w:rPr>
          <w:rFonts w:ascii="IBM Plex Sans" w:cs="IBM Plex Sans" w:eastAsia="IBM Plex Sans" w:hAnsi="IBM Plex Sans"/>
          <w:color w:val="334155"/>
          <w:sz w:val="22"/>
          <w:szCs w:val="22"/>
        </w:rPr>
        <w:t xml:space="preserve">Pemeriksaan abdomen: tinggi fundus uteri, palpasi kontraksi uterus, nyeri tekan uterus (tenderness — tanda korioamnionitis), dan pemeriksaan Leopold untuk presentasi janin.</w:t>
      </w:r>
    </w:p>
    <w:p>
      <w:pPr>
        <w:spacing w:after="160" w:line="300"/>
      </w:pPr>
      <w:r>
        <w:rPr>
          <w:rFonts w:ascii="IBM Plex Sans" w:cs="IBM Plex Sans" w:eastAsia="IBM Plex Sans" w:hAnsi="IBM Plex Sans"/>
          <w:color w:val="334155"/>
          <w:sz w:val="22"/>
          <w:szCs w:val="22"/>
        </w:rPr>
        <w:t xml:space="preserve">Inspeksi genitalia eksterna dan pemeriksaan spekulum steril (bukan pemeriksaan dalam digital, untuk meminimalkan risiko introduksi infeksi asenden) guna menilai pengumpulan cairan ketuban di forniks posterior vagina, baik spontan maupun setelah manuver Valsalva/batuk/fundal pressure.</w:t>
      </w:r>
    </w:p>
    <w:p>
      <w:pPr>
        <w:spacing w:after="160" w:line="300"/>
      </w:pPr>
      <w:r>
        <w:rPr>
          <w:rFonts w:ascii="IBM Plex Sans" w:cs="IBM Plex Sans" w:eastAsia="IBM Plex Sans" w:hAnsi="IBM Plex Sans"/>
          <w:color w:val="334155"/>
          <w:sz w:val="22"/>
          <w:szCs w:val="22"/>
        </w:rPr>
        <w:t xml:space="preserve">Penilaian denyut jantung janin dengan kardiotokografi (bila usia gestasi memungkinkan pemantauan) untuk deteksi dini tanda gawat janin atau kompresi tali pusat akibat oligohidramnion.</w:t>
      </w:r>
    </w:p>
    <w:p>
      <w:pPr>
        <w:spacing w:after="160" w:line="300"/>
      </w:pPr>
      <w:r>
        <w:rPr>
          <w:rFonts w:ascii="IBM Plex Sans" w:cs="IBM Plex Sans" w:eastAsia="IBM Plex Sans" w:hAnsi="IBM Plex Sans"/>
          <w:color w:val="334155"/>
          <w:sz w:val="22"/>
          <w:szCs w:val="22"/>
        </w:rPr>
        <w:t xml:space="preserve">Pemeriksaan dalam digital DIHINDARI kecuali pasien dalam persalinan aktif atau induksi/terminasi akan segera dilakukan, karena setiap pemeriksaan digital memperpendek periode laten dan meningkatkan risiko infeksi asenden secara bermakna.</w:t>
      </w:r>
    </w:p>
    <w:p>
      <w:pPr>
        <w:pStyle w:val="Heading1"/>
        <w:spacing w:after="160" w:before="360"/>
      </w:pPr>
      <w:r>
        <w:rPr>
          <w:rFonts w:ascii="Source Serif 4" w:cs="Source Serif 4" w:eastAsia="Source Serif 4" w:hAnsi="Source Serif 4"/>
          <w:b/>
          <w:bCs/>
          <w:color w:val="4F46E5"/>
          <w:sz w:val="30"/>
          <w:szCs w:val="30"/>
        </w:rPr>
        <w:t xml:space="preserve">4. Kriteria Diagnosis</w:t>
      </w:r>
    </w:p>
    <w:p>
      <w:pPr>
        <w:spacing w:after="160" w:line="300"/>
      </w:pPr>
      <w:r>
        <w:rPr>
          <w:rFonts w:ascii="IBM Plex Sans" w:cs="IBM Plex Sans" w:eastAsia="IBM Plex Sans" w:hAnsi="IBM Plex Sans"/>
          <w:color w:val="334155"/>
          <w:sz w:val="22"/>
          <w:szCs w:val="22"/>
        </w:rPr>
        <w:t xml:space="preserve">Diagnosis PPROM (ICD-10: O42.9 ; O60 — ICD-11: JA89.3, sesuai verifikasi Tabel 7 Kepkonsil No. HK.01.02/KKI/1318/2026) ditegakkan berdasarkan kombinasi anamnesis, visualisasi langsung cairan ketuban pada pemeriksaan spekulum, dan/atau uji penunjang biokimia pada usia kehamilan &lt;37 minggu sebelum onset persalinan.</w:t>
      </w:r>
    </w:p>
    <w:p>
      <w:pPr>
        <w:spacing w:after="160" w:line="300"/>
      </w:pPr>
      <w:r>
        <w:rPr>
          <w:rFonts w:ascii="IBM Plex Sans" w:cs="IBM Plex Sans" w:eastAsia="IBM Plex Sans" w:hAnsi="IBM Plex Sans"/>
          <w:color w:val="334155"/>
          <w:sz w:val="22"/>
          <w:szCs w:val="22"/>
        </w:rPr>
        <w:t xml:space="preserve">Kriteria diagnosis klinis meliputi salah satu atau kombinasi: (a) visualisasi langsung pengumpulan cairan amnion di forniks posterior atau keluar dari ostium serviks eksternum saat spekulum; (b) uji nitrazin positif (perubahan warna kertas nitrazin dari kuning-hijau menjadi biru akibat pH cairan vagina yang lebih basa, pH cairan amnion 7,1–7,3); (c) uji ferning positif (gambaran pakis/fern pada pemeriksaan mikroskopis cairan yang mengering).</w:t>
      </w:r>
    </w:p>
    <w:p>
      <w:pPr>
        <w:spacing w:after="160" w:line="300"/>
      </w:pPr>
      <w:r>
        <w:rPr>
          <w:rFonts w:ascii="IBM Plex Sans" w:cs="IBM Plex Sans" w:eastAsia="IBM Plex Sans" w:hAnsi="IBM Plex Sans"/>
          <w:color w:val="334155"/>
          <w:sz w:val="22"/>
          <w:szCs w:val="22"/>
        </w:rPr>
        <w:t xml:space="preserve">Bila hasil pemeriksaan spekulum meragukan dan tidak tampak cairan amnion, RCOG Green-top Guideline No. 73 merekomendasikan uji biomarker plasenta pada cairan vagina — insulin-like growth factor binding protein-1 (IGFBP-1) atau placental alpha microglobulin-1 (PAMG-1) — sebagai penunjang konfirmasi diagnosis, sesuai ketersediaan fasilitas.</w:t>
      </w:r>
    </w:p>
    <w:p>
      <w:pPr>
        <w:spacing w:after="160" w:line="300"/>
      </w:pPr>
      <w:r>
        <w:rPr>
          <w:rFonts w:ascii="IBM Plex Sans" w:cs="IBM Plex Sans" w:eastAsia="IBM Plex Sans" w:hAnsi="IBM Plex Sans"/>
          <w:color w:val="334155"/>
          <w:sz w:val="22"/>
          <w:szCs w:val="22"/>
        </w:rPr>
        <w:t xml:space="preserve">USG transabdominal dapat mendukung diagnosis melalui penilaian indeks cairan amnion (oligohidramnion) namun BUKAN alat diagnostik tunggal, karena volume cairan amnion normal tidak menyingkirkan PPROM pada kebocoran minimal.</w:t>
      </w:r>
    </w:p>
    <w:p>
      <w:pPr>
        <w:pStyle w:val="Heading1"/>
        <w:spacing w:after="160" w:before="360"/>
      </w:pPr>
      <w:r>
        <w:rPr>
          <w:rFonts w:ascii="Source Serif 4" w:cs="Source Serif 4" w:eastAsia="Source Serif 4" w:hAnsi="Source Serif 4"/>
          <w:b/>
          <w:bCs/>
          <w:color w:val="4F46E5"/>
          <w:sz w:val="30"/>
          <w:szCs w:val="30"/>
        </w:rPr>
        <w:t xml:space="preserve">5. Diagnosis Kerja dan Diagnosis Banding</w:t>
      </w:r>
    </w:p>
    <w:p>
      <w:pPr>
        <w:spacing w:after="160" w:line="300"/>
      </w:pPr>
      <w:r>
        <w:rPr>
          <w:rFonts w:ascii="IBM Plex Sans" w:cs="IBM Plex Sans" w:eastAsia="IBM Plex Sans" w:hAnsi="IBM Plex Sans"/>
          <w:color w:val="334155"/>
          <w:sz w:val="22"/>
          <w:szCs w:val="22"/>
        </w:rPr>
        <w:t xml:space="preserve">Diagnosis kerja: Ketuban Pecah pada Kehamilan Preterm (PPROM), usia kehamilan [sesuai HPHT/USG] minggu, dengan/tanpa tanda korioamnionitis, dengan/tanpa persalinan preterm mengancam.</w:t>
      </w:r>
    </w:p>
    <w:p>
      <w:pPr>
        <w:spacing w:after="160" w:line="300"/>
      </w:pPr>
      <w:r>
        <w:rPr>
          <w:rFonts w:ascii="IBM Plex Sans" w:cs="IBM Plex Sans" w:eastAsia="IBM Plex Sans" w:hAnsi="IBM Plex Sans"/>
          <w:color w:val="334155"/>
          <w:sz w:val="22"/>
          <w:szCs w:val="22"/>
        </w:rPr>
        <w:t xml:space="preserve">Diagnosis banding meliputi: inkontinensia urin fisiologis kehamilan, keputihan fisiologis atau akibat infeksi vagina (vaginosis bakterialis, kandidiasis, trikomoniasis), leukorea berlebih, hidrore desiduosis (cairan dari ruang desidua tanpa ruptur membran sejati), dan ruptur membran tinggi (high leak) yang dapat memberikan gambaran klinis intermiten dan menyulitkan diferensiasi dari PROM sebenarnya.</w:t>
      </w:r>
    </w:p>
    <w:p>
      <w:pPr>
        <w:pStyle w:val="Heading1"/>
        <w:spacing w:after="160" w:before="360"/>
      </w:pPr>
      <w:r>
        <w:rPr>
          <w:rFonts w:ascii="Source Serif 4" w:cs="Source Serif 4" w:eastAsia="Source Serif 4" w:hAnsi="Source Serif 4"/>
          <w:b/>
          <w:bCs/>
          <w:color w:val="4F46E5"/>
          <w:sz w:val="30"/>
          <w:szCs w:val="30"/>
        </w:rPr>
        <w:t xml:space="preserve">6. Pemeriksaan Penunjang</w:t>
      </w:r>
    </w:p>
    <w:p>
      <w:pPr>
        <w:spacing w:after="160" w:line="300"/>
      </w:pPr>
      <w:r>
        <w:rPr>
          <w:rFonts w:ascii="IBM Plex Sans" w:cs="IBM Plex Sans" w:eastAsia="IBM Plex Sans" w:hAnsi="IBM Plex Sans"/>
          <w:color w:val="334155"/>
          <w:sz w:val="22"/>
          <w:szCs w:val="22"/>
        </w:rPr>
        <w:t xml:space="preserve">Laboratorium: darah perifer lengkap dengan hitung jenis (leukositosis mendukung kecurigaan infeksi), C-reactive protein (CRP) sebagai penanda tambahan inflamasi/infeksi bila tersedia, kultur urin dan sedimen urin, serta swab vagina-rektum untuk Streptococcus grup B (GBS) bila belum dilakukan skrining rutin dan tata laksana ekspektatif direncanakan.</w:t>
      </w:r>
    </w:p>
    <w:p>
      <w:pPr>
        <w:spacing w:after="160" w:line="300"/>
      </w:pPr>
      <w:r>
        <w:rPr>
          <w:rFonts w:ascii="IBM Plex Sans" w:cs="IBM Plex Sans" w:eastAsia="IBM Plex Sans" w:hAnsi="IBM Plex Sans"/>
          <w:color w:val="334155"/>
          <w:sz w:val="22"/>
          <w:szCs w:val="22"/>
        </w:rPr>
        <w:t xml:space="preserve">USG obstetri: konfirmasi usia gestasi (bila belum pasti), taksiran berat janin, indeks cairan amnion/kantong vertikal tunggal, presentasi janin, dan lokasi plasenta untuk menyingkirkan plasenta previa sebagai kontraindikasi pemeriksaan dalam.</w:t>
      </w:r>
    </w:p>
    <w:p>
      <w:pPr>
        <w:spacing w:after="160" w:line="300"/>
      </w:pPr>
      <w:r>
        <w:rPr>
          <w:rFonts w:ascii="IBM Plex Sans" w:cs="IBM Plex Sans" w:eastAsia="IBM Plex Sans" w:hAnsi="IBM Plex Sans"/>
          <w:color w:val="334155"/>
          <w:sz w:val="22"/>
          <w:szCs w:val="22"/>
        </w:rPr>
        <w:t xml:space="preserve">Kardiotokografi (KTG) non-stres untuk menilai kesejahteraan janin dan mendeteksi aktivitas uterus subklinis, terutama pada usia gestasi viable (≥24 minggu) dengan rencana tata laksana ekspektatif.</w:t>
      </w:r>
    </w:p>
    <w:p>
      <w:pPr>
        <w:spacing w:after="160" w:line="300"/>
      </w:pPr>
      <w:r>
        <w:rPr>
          <w:rFonts w:ascii="IBM Plex Sans" w:cs="IBM Plex Sans" w:eastAsia="IBM Plex Sans" w:hAnsi="IBM Plex Sans"/>
          <w:color w:val="334155"/>
          <w:sz w:val="22"/>
          <w:szCs w:val="22"/>
        </w:rPr>
        <w:t xml:space="preserve">Bila dicurigai korioamnionitis klinis: kultur darah bila demam tinggi disertai tanda sepsis, dan pertimbangan amniosentesis diagnostik pada fasilitas dengan kemampuan tersebut (glukosa cairan amnion, pewarnaan Gram, kultur) hanya bila hasil akan mengubah tata laksana secara bermakna.</w:t>
      </w:r>
    </w:p>
    <w:p>
      <w:pPr>
        <w:pStyle w:val="Heading1"/>
        <w:spacing w:after="160" w:before="360"/>
      </w:pPr>
      <w:r>
        <w:rPr>
          <w:rFonts w:ascii="Source Serif 4" w:cs="Source Serif 4" w:eastAsia="Source Serif 4" w:hAnsi="Source Serif 4"/>
          <w:b/>
          <w:bCs/>
          <w:color w:val="4F46E5"/>
          <w:sz w:val="30"/>
          <w:szCs w:val="30"/>
        </w:rPr>
        <w:t xml:space="preserve">7. Tata Laksana</w:t>
      </w:r>
    </w:p>
    <w:p>
      <w:pPr>
        <w:spacing w:after="160" w:line="300"/>
      </w:pPr>
      <w:r>
        <w:rPr>
          <w:rFonts w:ascii="IBM Plex Sans" w:cs="IBM Plex Sans" w:eastAsia="IBM Plex Sans" w:hAnsi="IBM Plex Sans"/>
          <w:color w:val="334155"/>
          <w:sz w:val="22"/>
          <w:szCs w:val="22"/>
        </w:rPr>
        <w:t xml:space="preserve">Prinsip umum: keputusan tata laksana ekspektatif versus aktif (terminasi kehamilan) ditentukan oleh usia gestasi saat diagnosis, ada/tidaknya tanda infeksi intraamnion, kesejahteraan janin, dan ketersediaan fasilitas perawatan neonatal intensif.</w:t>
      </w:r>
    </w:p>
    <w:p>
      <w:pPr>
        <w:pStyle w:val="Heading2"/>
        <w:spacing w:after="120" w:before="240"/>
      </w:pPr>
      <w:r>
        <w:rPr>
          <w:rFonts w:ascii="Source Serif 4" w:cs="Source Serif 4" w:eastAsia="Source Serif 4" w:hAnsi="Source Serif 4"/>
          <w:b/>
          <w:bCs/>
          <w:color w:val="334155"/>
          <w:sz w:val="24"/>
          <w:szCs w:val="24"/>
        </w:rPr>
        <w:t xml:space="preserve">7.1 Tata Laksana Non-Farmakologis</w:t>
      </w:r>
    </w:p>
    <w:p>
      <w:pPr>
        <w:spacing w:after="160" w:line="300"/>
      </w:pPr>
      <w:r>
        <w:rPr>
          <w:rFonts w:ascii="IBM Plex Sans" w:cs="IBM Plex Sans" w:eastAsia="IBM Plex Sans" w:hAnsi="IBM Plex Sans"/>
          <w:color w:val="334155"/>
          <w:sz w:val="22"/>
          <w:szCs w:val="22"/>
        </w:rPr>
        <w:t xml:space="preserve">Rawat inap untuk observasi ketat tanda vital ibu (suhu setiap 4 jam), pemantauan denyut jantung janin berkala, dan penilaian tanda persalinan atau infeksi setiap pergantian jaga.</w:t>
      </w:r>
    </w:p>
    <w:p>
      <w:pPr>
        <w:spacing w:after="160" w:line="300"/>
      </w:pPr>
      <w:r>
        <w:rPr>
          <w:rFonts w:ascii="IBM Plex Sans" w:cs="IBM Plex Sans" w:eastAsia="IBM Plex Sans" w:hAnsi="IBM Plex Sans"/>
          <w:color w:val="334155"/>
          <w:sz w:val="22"/>
          <w:szCs w:val="22"/>
        </w:rPr>
        <w:t xml:space="preserve">Hindari pemeriksaan dalam digital berulang; batasi manipulasi serviks seminimal mungkin selama periode ekspektatif.</w:t>
      </w:r>
    </w:p>
    <w:p>
      <w:pPr>
        <w:spacing w:after="160" w:line="300"/>
      </w:pPr>
      <w:r>
        <w:rPr>
          <w:rFonts w:ascii="IBM Plex Sans" w:cs="IBM Plex Sans" w:eastAsia="IBM Plex Sans" w:hAnsi="IBM Plex Sans"/>
          <w:color w:val="334155"/>
          <w:sz w:val="22"/>
          <w:szCs w:val="22"/>
        </w:rPr>
        <w:t xml:space="preserve">Tirah baring relatif tidak terbukti memperpanjang periode laten secara bermakna dan tidak direkomendasikan secara rutin sebagai satu-satunya intervensi; mobilisasi terbatas sesuai kondisi klinis dapat dipertimbangkan.</w:t>
      </w:r>
    </w:p>
    <w:p>
      <w:pPr>
        <w:spacing w:after="160" w:line="300"/>
      </w:pPr>
      <w:r>
        <w:rPr>
          <w:rFonts w:ascii="IBM Plex Sans" w:cs="IBM Plex Sans" w:eastAsia="IBM Plex Sans" w:hAnsi="IBM Plex Sans"/>
          <w:color w:val="334155"/>
          <w:sz w:val="22"/>
          <w:szCs w:val="22"/>
        </w:rPr>
        <w:t xml:space="preserve">Edukasi pasien untuk segera melapor bila terjadi demam, perubahan warna/bau cairan, penurunan gerak janin, kontraksi, atau perdarahan.</w:t>
      </w:r>
    </w:p>
    <w:p>
      <w:pPr>
        <w:pStyle w:val="Heading2"/>
        <w:spacing w:after="120" w:before="240"/>
      </w:pPr>
      <w:r>
        <w:rPr>
          <w:rFonts w:ascii="Source Serif 4" w:cs="Source Serif 4" w:eastAsia="Source Serif 4" w:hAnsi="Source Serif 4"/>
          <w:b/>
          <w:bCs/>
          <w:color w:val="334155"/>
          <w:sz w:val="24"/>
          <w:szCs w:val="24"/>
        </w:rPr>
        <w:t xml:space="preserve">7.2 Tata Laksana Farmakologis</w:t>
      </w:r>
    </w:p>
    <w:p>
      <w:pPr>
        <w:spacing w:after="160" w:line="300"/>
      </w:pPr>
      <w:r>
        <w:rPr>
          <w:rFonts w:ascii="IBM Plex Sans" w:cs="IBM Plex Sans" w:eastAsia="IBM Plex Sans" w:hAnsi="IBM Plex Sans"/>
          <w:color w:val="334155"/>
          <w:sz w:val="22"/>
          <w:szCs w:val="22"/>
        </w:rPr>
        <w:t xml:space="preserve">Antibiotik profilaksis (latency antibiotics) diberikan pada tata laksana ekspektatif untuk memperpanjang periode laten dan menurunkan risiko korioamnionitis serta morbiditas neonatal. Tinjauan sistematis Cochrane oleh Kenyon dkk. (2013, mencakup 22 uji klinis acak, &gt;6.800 perempuan) menunjukkan bahwa pemberian antibiotik pada PPROM bermakna menurunkan korioamnionitis, memperpanjang periode laten, serta menurunkan kejadian infeksi neonatal dan kebutuhan surfaktan.</w:t>
      </w:r>
    </w:p>
    <w:p>
      <w:pPr>
        <w:spacing w:after="160" w:line="300"/>
      </w:pPr>
      <w:r>
        <w:rPr>
          <w:rFonts w:ascii="IBM Plex Sans" w:cs="IBM Plex Sans" w:eastAsia="IBM Plex Sans" w:hAnsi="IBM Plex Sans"/>
          <w:color w:val="334155"/>
          <w:sz w:val="22"/>
          <w:szCs w:val="22"/>
        </w:rPr>
        <w:t xml:space="preserve">Regimen yang paling banyak digunakan dan tervalidasi mengikuti prinsip uji ORACLE I (Kenyon dkk.) dan uji Mercer dkk., yaitu kombinasi ampisilin intravena diikuti amoksisilin oral, dikombinasikan dengan eritromisin oral selama total 7–10 hari atau hingga persalinan (mana yang lebih dulu tercapai); regimen definitif mengikuti kebijakan farmasi dan formularium rumah sakit setempat.</w:t>
      </w:r>
    </w:p>
    <w:p>
      <w:pPr>
        <w:spacing w:after="160" w:line="300"/>
      </w:pPr>
      <w:r>
        <w:rPr>
          <w:rFonts w:ascii="IBM Plex Sans" w:cs="IBM Plex Sans" w:eastAsia="IBM Plex Sans" w:hAnsi="IBM Plex Sans"/>
          <w:color w:val="334155"/>
          <w:sz w:val="22"/>
          <w:szCs w:val="22"/>
        </w:rPr>
        <w:t xml:space="preserve">Azitromisin dosis tunggal dapat dipertimbangkan sebagai alternatif eritromisin bila terdapat kendala ketersediaan, berdasarkan studi banding yang menunjukkan efektivitas klinis setara antara azitromisin dan eritromisin dalam memperpanjang periode laten pada PPROM (Navathe dkk., 2019).</w:t>
      </w:r>
    </w:p>
    <w:p>
      <w:pPr>
        <w:spacing w:after="160" w:line="300"/>
      </w:pPr>
      <w:r>
        <w:rPr>
          <w:rFonts w:ascii="IBM Plex Sans" w:cs="IBM Plex Sans" w:eastAsia="IBM Plex Sans" w:hAnsi="IBM Plex Sans"/>
          <w:color w:val="334155"/>
          <w:sz w:val="22"/>
          <w:szCs w:val="22"/>
        </w:rPr>
        <w:t xml:space="preserve">Kombinasi amoksisilin-klavulanat WAJIB DIHINDARI pada tata laksana ekspektatif PPROM karena uji ORACLE I menemukan peningkatan bermakna risiko enterokolitis nekrotikans neonatal pada kelompok yang menerima ko-amoksiklav dibandingkan kelompok kontrol.</w:t>
      </w:r>
    </w:p>
    <w:p>
      <w:pPr>
        <w:spacing w:after="160" w:line="300"/>
      </w:pPr>
      <w:r>
        <w:rPr>
          <w:rFonts w:ascii="IBM Plex Sans" w:cs="IBM Plex Sans" w:eastAsia="IBM Plex Sans" w:hAnsi="IBM Plex Sans"/>
          <w:color w:val="334155"/>
          <w:sz w:val="22"/>
          <w:szCs w:val="22"/>
        </w:rPr>
        <w:t xml:space="preserve">Kortikosteroid antenatal (deksametason atau betametason) diberikan pada usia kehamilan 24 minggu 0 hari hingga 33 minggu 6 hari untuk mempercepat maturasi paru janin, sesuai Rekomendasi WHO 2022 tentang Kortikosteroid Antenatal yang memperbarui rekomendasi WHO 2015 berdasarkan bukti tambahan dari uji WHO ACTION-I; pemberian terbukti menurunkan risiko sindrom distres pernapasan neonatal, perdarahan intraventrikular, dan mortalitas neonatal tanpa peningkatan bahaya bermakna bila kriteria kelayakan fasilitas terpenuhi.</w:t>
      </w:r>
    </w:p>
    <w:p>
      <w:pPr>
        <w:spacing w:after="160" w:line="300"/>
      </w:pPr>
      <w:r>
        <w:rPr>
          <w:rFonts w:ascii="IBM Plex Sans" w:cs="IBM Plex Sans" w:eastAsia="IBM Plex Sans" w:hAnsi="IBM Plex Sans"/>
          <w:color w:val="334155"/>
          <w:sz w:val="22"/>
          <w:szCs w:val="22"/>
        </w:rPr>
        <w:t xml:space="preserve">Pertimbangan pemberian kortikosteroid antenatal pada usia kehamilan 22–23 minggu 6 hari bersifat sangat individual, memerlukan konseling mendalam bersama keluarga mengenai prognosis periviable dan keputusan bersama tim multidisiplin, mengikuti prinsip kehati-hatian pada rentang usia gestasi ini.</w:t>
      </w:r>
    </w:p>
    <w:p>
      <w:pPr>
        <w:spacing w:after="160" w:line="300"/>
      </w:pPr>
      <w:r>
        <w:rPr>
          <w:rFonts w:ascii="IBM Plex Sans" w:cs="IBM Plex Sans" w:eastAsia="IBM Plex Sans" w:hAnsi="IBM Plex Sans"/>
          <w:color w:val="334155"/>
          <w:sz w:val="22"/>
          <w:szCs w:val="22"/>
        </w:rPr>
        <w:t xml:space="preserve">Magnesium sulfat untuk neuroproteksi janin diberikan pada usia kehamilan &lt;32 minggu bila persalinan preterm diperkirakan terjadi dalam 24 jam, sejalan dengan rekomendasi WHO (2015, bagian neuroproteksi) yang telah diadopsi secara luas sejak 2015 dan terus berlaku, terbukti menurunkan risiko palsi serebral pada bayi preterm; lihat juga PPK No. 21 — Persalinan Preterm untuk regimen rinci.</w:t>
      </w:r>
    </w:p>
    <w:p>
      <w:pPr>
        <w:spacing w:after="160" w:line="300"/>
      </w:pPr>
      <w:r>
        <w:rPr>
          <w:rFonts w:ascii="IBM Plex Sans" w:cs="IBM Plex Sans" w:eastAsia="IBM Plex Sans" w:hAnsi="IBM Plex Sans"/>
          <w:color w:val="334155"/>
          <w:sz w:val="22"/>
          <w:szCs w:val="22"/>
        </w:rPr>
        <w:t xml:space="preserve">Tokolisis jangka pendek dapat dipertimbangkan secara selektif hanya untuk memberi kesempatan penyelesaian kortikosteroid antenatal dan/atau rujukan ke fasilitas dengan perawatan neonatal intensif, dengan mempertimbangkan risiko memperpanjang paparan janin pada lingkungan intraamnion yang berpotensi terinfeksi; tokolisis tidak direkomendasikan bila terdapat tanda korioamnionitis atau gawat janin, sejalan dengan tinjauan meta-analisis jaringan Cochrane mengenai tokolitik pada preterm labor.</w:t>
      </w:r>
    </w:p>
    <w:p>
      <w:pPr>
        <w:spacing w:after="160" w:line="300"/>
      </w:pPr>
      <w:r>
        <w:rPr>
          <w:rFonts w:ascii="IBM Plex Sans" w:cs="IBM Plex Sans" w:eastAsia="IBM Plex Sans" w:hAnsi="IBM Plex Sans"/>
          <w:color w:val="334155"/>
          <w:sz w:val="22"/>
          <w:szCs w:val="22"/>
        </w:rPr>
        <w:t xml:space="preserve">Bila terdapat tanda korioamnionitis klinis (demam ≥38°C disertai ≥2 dari: takikardia ibu, takikardia janin, nyeri tekan uterus, cairan ketuban berbau, atau leukositosis bermakna), antibiotik terapeutik spektrum luas diberikan segera dan persalinan diakhiri tanpa penundaan, tanpa memandang usia gestasi.</w:t>
      </w:r>
    </w:p>
    <w:p>
      <w:pPr>
        <w:pStyle w:val="Heading2"/>
        <w:spacing w:after="120" w:before="240"/>
      </w:pPr>
      <w:r>
        <w:rPr>
          <w:rFonts w:ascii="Source Serif 4" w:cs="Source Serif 4" w:eastAsia="Source Serif 4" w:hAnsi="Source Serif 4"/>
          <w:b/>
          <w:bCs/>
          <w:color w:val="334155"/>
          <w:sz w:val="24"/>
          <w:szCs w:val="24"/>
        </w:rPr>
        <w:t xml:space="preserve">7.3 Tata Laksana Bedah/Prosedural (bila relevan)</w:t>
      </w:r>
    </w:p>
    <w:p>
      <w:pPr>
        <w:spacing w:after="160" w:line="300"/>
      </w:pPr>
      <w:r>
        <w:rPr>
          <w:rFonts w:ascii="IBM Plex Sans" w:cs="IBM Plex Sans" w:eastAsia="IBM Plex Sans" w:hAnsi="IBM Plex Sans"/>
          <w:color w:val="334155"/>
          <w:sz w:val="22"/>
          <w:szCs w:val="22"/>
        </w:rPr>
        <w:t xml:space="preserve">Terminasi kehamilan (induksi persalinan atau seksio sesarea sesuai indikasi obstetri) diindikasikan pada: usia kehamilan ≥34 minggu, tanda korioamnionitis, solusio plasenta, gawat janin, atau persalinan aktif yang tidak dapat dihentikan. Uji acak PPROMEXIL dan PPROMEXIL-2 (kehamilan 34–37 minggu) serta uji PPROMT (dekat aterm) menunjukkan tidak terdapat perbedaan bermakna luaran sepsis neonatal antara induksi segera dan tata laksana ekspektatif pada rentang usia gestasi tersebut, sehingga ACOG Practice Bulletin No. 217 merekomendasikan keputusan individual pada usia kehamilan 34–36 minggu 6 hari melalui diskusi pengambilan keputusan bersama (shared decision making) antara klinisi dan pasien.</w:t>
      </w:r>
    </w:p>
    <w:p>
      <w:pPr>
        <w:spacing w:after="160" w:line="300"/>
      </w:pPr>
      <w:r>
        <w:rPr>
          <w:rFonts w:ascii="IBM Plex Sans" w:cs="IBM Plex Sans" w:eastAsia="IBM Plex Sans" w:hAnsi="IBM Plex Sans"/>
          <w:color w:val="334155"/>
          <w:sz w:val="22"/>
          <w:szCs w:val="22"/>
        </w:rPr>
        <w:t xml:space="preserve">Pada usia kehamilan periviable (&lt;24 minggu), tata laksana bersifat sangat individual dengan konseling mendalam bersama keluarga mengenai prognosis, opsi ekspektatif dengan risiko tinggi, atau terminasi kehamilan sesuai preferensi keluarga dan ketentuan yang berlaku, melibatkan tim multidisiplin.</w:t>
      </w:r>
    </w:p>
    <w:p>
      <w:pPr>
        <w:spacing w:after="160" w:line="300"/>
      </w:pPr>
      <w:r>
        <w:rPr>
          <w:rFonts w:ascii="IBM Plex Sans" w:cs="IBM Plex Sans" w:eastAsia="IBM Plex Sans" w:hAnsi="IBM Plex Sans"/>
          <w:color w:val="334155"/>
          <w:sz w:val="22"/>
          <w:szCs w:val="22"/>
        </w:rPr>
        <w:t xml:space="preserve">Persalinan pervaginam merupakan pilihan utama pada PPROM tanpa kontraindikasi obstetri; seksio sesarea dilakukan atas indikasi obstetri standar (presentasi abnormal, gawat janin, korioamnionitis dengan kondisi yang tidak memungkinkan persalinan pervaginam cepat, dan indikasi lain sesuai penilaian klinis).</w:t>
      </w:r>
    </w:p>
    <w:p>
      <w:pPr>
        <w:pStyle w:val="Heading2"/>
        <w:spacing w:after="120" w:before="240"/>
      </w:pPr>
      <w:r>
        <w:rPr>
          <w:rFonts w:ascii="Source Serif 4" w:cs="Source Serif 4" w:eastAsia="Source Serif 4" w:hAnsi="Source Serif 4"/>
          <w:b/>
          <w:bCs/>
          <w:color w:val="334155"/>
          <w:sz w:val="24"/>
          <w:szCs w:val="24"/>
        </w:rPr>
        <w:t xml:space="preserve">7.4 Kriteria Rujukan ke Subspesialis Fetomaternal (bila kondisi di luar kewenangan spesialis umum)</w:t>
      </w:r>
    </w:p>
    <w:p>
      <w:pPr>
        <w:spacing w:after="160" w:line="300"/>
      </w:pPr>
      <w:r>
        <w:rPr>
          <w:rFonts w:ascii="IBM Plex Sans" w:cs="IBM Plex Sans" w:eastAsia="IBM Plex Sans" w:hAnsi="IBM Plex Sans"/>
          <w:color w:val="334155"/>
          <w:sz w:val="22"/>
          <w:szCs w:val="22"/>
        </w:rPr>
        <w:t xml:space="preserve">Rujukan ke subspesialis Fetomaternal atau fasilitas dengan unit perawatan intensif neonatal dipertimbangkan pada: usia kehamilan &lt;32 minggu dengan rencana tata laksana ekspektatif, PPROM pada kehamilan multipel, PPROM dengan oligohidramnion berat sebelum viabilitas, kecurigaan anomali janin yang menyertai, serta fasilitas asal tanpa kapasitas perawatan neonatal sesuai usia gestasi.</w:t>
      </w:r>
    </w:p>
    <w:p>
      <w:pPr>
        <w:spacing w:after="160" w:line="300"/>
      </w:pPr>
      <w:r>
        <w:rPr>
          <w:rFonts w:ascii="IBM Plex Sans" w:cs="IBM Plex Sans" w:eastAsia="IBM Plex Sans" w:hAnsi="IBM Plex Sans"/>
          <w:color w:val="334155"/>
          <w:sz w:val="22"/>
          <w:szCs w:val="22"/>
        </w:rPr>
        <w:t xml:space="preserve">Rujukan segera (gawat darurat) dilakukan pada tanda korioamnionitis berat/sepsis maternal, solusio plasenta, prolaps tali pusat, atau gawat janin akut yang memerlukan fasilitas dengan kemampuan bedah dan neonatal lanjut.</w:t>
      </w:r>
    </w:p>
    <w:p>
      <w:pPr>
        <w:pStyle w:val="Heading1"/>
        <w:spacing w:after="160" w:before="360"/>
      </w:pPr>
      <w:r>
        <w:rPr>
          <w:rFonts w:ascii="Source Serif 4" w:cs="Source Serif 4" w:eastAsia="Source Serif 4" w:hAnsi="Source Serif 4"/>
          <w:b/>
          <w:bCs/>
          <w:color w:val="4F46E5"/>
          <w:sz w:val="30"/>
          <w:szCs w:val="30"/>
        </w:rPr>
        <w:t xml:space="preserve">8. Edukasi Pasien dan Keluarga</w:t>
      </w:r>
    </w:p>
    <w:p>
      <w:pPr>
        <w:spacing w:after="160" w:line="300"/>
      </w:pPr>
      <w:r>
        <w:rPr>
          <w:rFonts w:ascii="IBM Plex Sans" w:cs="IBM Plex Sans" w:eastAsia="IBM Plex Sans" w:hAnsi="IBM Plex Sans"/>
          <w:color w:val="334155"/>
          <w:sz w:val="22"/>
          <w:szCs w:val="22"/>
        </w:rPr>
        <w:t xml:space="preserve">Jelaskan kondisi PPROM secara sederhana: pecahnya selaput ketuban sebelum waktunya beserta dua risiko utama, yaitu infeksi dan kelahiran prematur, serta rencana pemantauan yang akan dijalani selama rawat inap.</w:t>
      </w:r>
    </w:p>
    <w:p>
      <w:pPr>
        <w:spacing w:after="160" w:line="300"/>
      </w:pPr>
      <w:r>
        <w:rPr>
          <w:rFonts w:ascii="IBM Plex Sans" w:cs="IBM Plex Sans" w:eastAsia="IBM Plex Sans" w:hAnsi="IBM Plex Sans"/>
          <w:color w:val="334155"/>
          <w:sz w:val="22"/>
          <w:szCs w:val="22"/>
        </w:rPr>
        <w:t xml:space="preserve">Sampaikan tanda bahaya yang wajib segera dilaporkan: demam, cairan berbau/berubah warna, penurunan gerak janin, kontraksi teratur, atau perdarahan pervaginam.</w:t>
      </w:r>
    </w:p>
    <w:p>
      <w:pPr>
        <w:spacing w:after="160" w:line="300"/>
      </w:pPr>
      <w:r>
        <w:rPr>
          <w:rFonts w:ascii="IBM Plex Sans" w:cs="IBM Plex Sans" w:eastAsia="IBM Plex Sans" w:hAnsi="IBM Plex Sans"/>
          <w:color w:val="334155"/>
          <w:sz w:val="22"/>
          <w:szCs w:val="22"/>
        </w:rPr>
        <w:t xml:space="preserve">Diskusikan secara terbuka prognosis neonatal terkait usia gestasi saat kelahiran, termasuk kemungkinan rujukan ke fasilitas dengan perawatan neonatal intensif bila diperlukan, serta pentingnya kepatuhan terhadap jadwal pemberian kortikosteroid dan antibiotik.</w:t>
      </w:r>
    </w:p>
    <w:p>
      <w:pPr>
        <w:spacing w:after="160" w:line="300"/>
      </w:pPr>
      <w:r>
        <w:rPr>
          <w:rFonts w:ascii="IBM Plex Sans" w:cs="IBM Plex Sans" w:eastAsia="IBM Plex Sans" w:hAnsi="IBM Plex Sans"/>
          <w:color w:val="334155"/>
          <w:sz w:val="22"/>
          <w:szCs w:val="22"/>
        </w:rPr>
        <w:t xml:space="preserve">Berikan dukungan psikologis mengingat ketidakpastian periode laten dapat menimbulkan kecemasan signifikan bagi ibu dan keluarga; libatkan keluarga dalam pengambilan keputusan bersama (shared decision making), khususnya pada kasus periviable.</w:t>
      </w:r>
    </w:p>
    <w:p>
      <w:pPr>
        <w:pStyle w:val="Heading1"/>
        <w:spacing w:after="160" w:before="360"/>
      </w:pPr>
      <w:r>
        <w:rPr>
          <w:rFonts w:ascii="Source Serif 4" w:cs="Source Serif 4" w:eastAsia="Source Serif 4" w:hAnsi="Source Serif 4"/>
          <w:b/>
          <w:bCs/>
          <w:color w:val="4F46E5"/>
          <w:sz w:val="30"/>
          <w:szCs w:val="30"/>
        </w:rPr>
        <w:t xml:space="preserve">9. Prognosis</w:t>
      </w:r>
    </w:p>
    <w:p>
      <w:pPr>
        <w:spacing w:after="160" w:line="300"/>
      </w:pPr>
      <w:r>
        <w:rPr>
          <w:rFonts w:ascii="IBM Plex Sans" w:cs="IBM Plex Sans" w:eastAsia="IBM Plex Sans" w:hAnsi="IBM Plex Sans"/>
          <w:color w:val="334155"/>
          <w:sz w:val="22"/>
          <w:szCs w:val="22"/>
        </w:rPr>
        <w:t xml:space="preserve">Prognosis maternal umumnya baik dengan tata laksana dan pemantauan yang adekuat; risiko utama ibu adalah korioamnionitis, endometritis pascapersalinan, dan solusio plasenta.</w:t>
      </w:r>
    </w:p>
    <w:p>
      <w:pPr>
        <w:spacing w:after="160" w:line="300"/>
      </w:pPr>
      <w:r>
        <w:rPr>
          <w:rFonts w:ascii="IBM Plex Sans" w:cs="IBM Plex Sans" w:eastAsia="IBM Plex Sans" w:hAnsi="IBM Plex Sans"/>
          <w:color w:val="334155"/>
          <w:sz w:val="22"/>
          <w:szCs w:val="22"/>
        </w:rPr>
        <w:t xml:space="preserve">Prognosis neonatal sangat bergantung pada usia kehamilan saat kelahiran — semakin muda usia gestasi, semakin tinggi risiko sindrom distres pernapasan, perdarahan intraventrikular, enterokolitis nekrotikans, sepsis neonatal awitan dini, dan hipoplasia paru (khususnya bila PPROM terjadi sebelum viabilitas dengan oligohidramnion berkepanjangan).</w:t>
      </w:r>
    </w:p>
    <w:p>
      <w:pPr>
        <w:spacing w:after="160" w:line="300"/>
      </w:pPr>
      <w:r>
        <w:rPr>
          <w:rFonts w:ascii="IBM Plex Sans" w:cs="IBM Plex Sans" w:eastAsia="IBM Plex Sans" w:hAnsi="IBM Plex Sans"/>
          <w:color w:val="334155"/>
          <w:sz w:val="22"/>
          <w:szCs w:val="22"/>
        </w:rPr>
        <w:t xml:space="preserve">Angka morbiditas dan mortalitas neonatal spesifik per rentang usia gestasi mengikuti data registri nasional terbaru [DATA: rujuk laporan/registri resmi terbaru — mis. Kemenkes, BKKBN, POGI, WHO].</w:t>
      </w:r>
    </w:p>
    <w:p>
      <w:pPr>
        <w:pStyle w:val="Heading1"/>
        <w:spacing w:after="160" w:before="360"/>
      </w:pPr>
      <w:r>
        <w:rPr>
          <w:rFonts w:ascii="Source Serif 4" w:cs="Source Serif 4" w:eastAsia="Source Serif 4" w:hAnsi="Source Serif 4"/>
          <w:b/>
          <w:bCs/>
          <w:color w:val="4F46E5"/>
          <w:sz w:val="30"/>
          <w:szCs w:val="30"/>
        </w:rPr>
        <w:t xml:space="preserve">10. Tingkat Evidens dan Rekomendasi</w:t>
      </w:r>
    </w:p>
    <w:p>
      <w:pPr>
        <w:spacing w:after="160" w:line="300"/>
      </w:pPr>
      <w:r>
        <w:rPr>
          <w:rFonts w:ascii="IBM Plex Sans" w:cs="IBM Plex Sans" w:eastAsia="IBM Plex Sans" w:hAnsi="IBM Plex Sans"/>
          <w:color w:val="334155"/>
          <w:sz w:val="22"/>
          <w:szCs w:val="22"/>
        </w:rPr>
        <w:t xml:space="preserve">Pemberian antibiotik profilaksis pada tata laksana ekspektatif PPROM: Tingkat Evidens IA (Cochrane Systematic Review, Kenyon dkk. 2013, CD001058), Rekomendasi Kuat.</w:t>
      </w:r>
    </w:p>
    <w:p>
      <w:pPr>
        <w:spacing w:after="160" w:line="300"/>
      </w:pPr>
      <w:r>
        <w:rPr>
          <w:rFonts w:ascii="IBM Plex Sans" w:cs="IBM Plex Sans" w:eastAsia="IBM Plex Sans" w:hAnsi="IBM Plex Sans"/>
          <w:color w:val="334155"/>
          <w:sz w:val="22"/>
          <w:szCs w:val="22"/>
        </w:rPr>
        <w:t xml:space="preserve">Pemberian kortikosteroid antenatal pada usia kehamilan 24 minggu 0 hari–33 minggu 6 hari: Tingkat Evidens IA (WHO Recommendations on Antenatal Corticosteroids, 2022; Cochrane McGoldrick dkk. 2020, CD004454), Rekomendasi Kuat.</w:t>
      </w:r>
    </w:p>
    <w:p>
      <w:pPr>
        <w:spacing w:after="160" w:line="300"/>
      </w:pPr>
      <w:r>
        <w:rPr>
          <w:rFonts w:ascii="IBM Plex Sans" w:cs="IBM Plex Sans" w:eastAsia="IBM Plex Sans" w:hAnsi="IBM Plex Sans"/>
          <w:color w:val="334155"/>
          <w:sz w:val="22"/>
          <w:szCs w:val="22"/>
        </w:rPr>
        <w:t xml:space="preserve">Magnesium sulfat untuk neuroproteksi janin pada usia kehamilan &lt;32 minggu dengan persalinan preterm imminen: Tingkat Evidens IA (WHO Recommendations 2015, direplikasi konsisten pada meta-analisis Cochrane terkait), Rekomendasi Kuat.</w:t>
      </w:r>
    </w:p>
    <w:p>
      <w:pPr>
        <w:spacing w:after="160" w:line="300"/>
      </w:pPr>
      <w:r>
        <w:rPr>
          <w:rFonts w:ascii="IBM Plex Sans" w:cs="IBM Plex Sans" w:eastAsia="IBM Plex Sans" w:hAnsi="IBM Plex Sans"/>
          <w:color w:val="334155"/>
          <w:sz w:val="22"/>
          <w:szCs w:val="22"/>
        </w:rPr>
        <w:t xml:space="preserve">Penghindaran kombinasi amoksisilin-klavulanat pada tata laksana ekspektatif PPROM: Tingkat Evidens IB (uji ORACLE I, Kenyon dkk.), Rekomendasi Kuat (hindari).</w:t>
      </w:r>
    </w:p>
    <w:p>
      <w:pPr>
        <w:spacing w:after="160" w:line="300"/>
      </w:pPr>
      <w:r>
        <w:rPr>
          <w:rFonts w:ascii="IBM Plex Sans" w:cs="IBM Plex Sans" w:eastAsia="IBM Plex Sans" w:hAnsi="IBM Plex Sans"/>
          <w:color w:val="334155"/>
          <w:sz w:val="22"/>
          <w:szCs w:val="22"/>
        </w:rPr>
        <w:t xml:space="preserve">Tata laksana aktif (terminasi) dibandingkan ekspektatif pada usia kehamilan 34–36 minggu 6 hari tanpa tanda infeksi: Tingkat Evidens IB (uji PPROMEXIL, PPROMEXIL-2, PPROMT), Rekomendasi Sedang — keputusan individual mempertimbangkan preferensi keluarga dan fasilitas neonatal.</w:t>
      </w:r>
    </w:p>
    <w:p>
      <w:pPr>
        <w:spacing w:after="160" w:line="300"/>
      </w:pPr>
      <w:r>
        <w:rPr>
          <w:rFonts w:ascii="IBM Plex Sans" w:cs="IBM Plex Sans" w:eastAsia="IBM Plex Sans" w:hAnsi="IBM Plex Sans"/>
          <w:color w:val="334155"/>
          <w:sz w:val="22"/>
          <w:szCs w:val="22"/>
        </w:rPr>
        <w:t xml:space="preserve">Penghindaran pemeriksaan dalam digital rutin selama periode ekspektatif: Tingkat Evidens IIB (basis observasional konsisten, RCOG Green-top Guideline No. 73), Rekomendasi Kuat.</w:t>
      </w:r>
    </w:p>
    <w:p>
      <w:pPr>
        <w:pStyle w:val="Heading1"/>
        <w:spacing w:after="160" w:before="360"/>
      </w:pPr>
      <w:r>
        <w:rPr>
          <w:rFonts w:ascii="Source Serif 4" w:cs="Source Serif 4" w:eastAsia="Source Serif 4" w:hAnsi="Source Serif 4"/>
          <w:b/>
          <w:bCs/>
          <w:color w:val="4F46E5"/>
          <w:sz w:val="30"/>
          <w:szCs w:val="30"/>
        </w:rPr>
        <w:t xml:space="preserve">11. Indikator Medis</w:t>
      </w:r>
    </w:p>
    <w:p>
      <w:pPr>
        <w:spacing w:after="160" w:line="300"/>
      </w:pPr>
      <w:r>
        <w:rPr>
          <w:rFonts w:ascii="IBM Plex Sans" w:cs="IBM Plex Sans" w:eastAsia="IBM Plex Sans" w:hAnsi="IBM Plex Sans"/>
          <w:color w:val="334155"/>
          <w:sz w:val="22"/>
          <w:szCs w:val="22"/>
        </w:rPr>
        <w:t xml:space="preserve">Proporsi kasus PPROM usia kehamilan 24–34 minggu yang menerima kortikosteroid antenatal lengkap sebelum persalinan.</w:t>
      </w:r>
    </w:p>
    <w:p>
      <w:pPr>
        <w:spacing w:after="160" w:line="300"/>
      </w:pPr>
      <w:r>
        <w:rPr>
          <w:rFonts w:ascii="IBM Plex Sans" w:cs="IBM Plex Sans" w:eastAsia="IBM Plex Sans" w:hAnsi="IBM Plex Sans"/>
          <w:color w:val="334155"/>
          <w:sz w:val="22"/>
          <w:szCs w:val="22"/>
        </w:rPr>
        <w:t xml:space="preserve">Proporsi kasus PPROM yang menerima antibiotik profilaksis sesuai protokol dalam 24 jam sejak diagnosis ditegakkan.</w:t>
      </w:r>
    </w:p>
    <w:p>
      <w:pPr>
        <w:spacing w:after="160" w:line="300"/>
      </w:pPr>
      <w:r>
        <w:rPr>
          <w:rFonts w:ascii="IBM Plex Sans" w:cs="IBM Plex Sans" w:eastAsia="IBM Plex Sans" w:hAnsi="IBM Plex Sans"/>
          <w:color w:val="334155"/>
          <w:sz w:val="22"/>
          <w:szCs w:val="22"/>
        </w:rPr>
        <w:t xml:space="preserve">Insiden korioamnionitis klinis pada kasus PPROM yang menjalani tata laksana ekspektatif per periode audit.</w:t>
      </w:r>
    </w:p>
    <w:p>
      <w:pPr>
        <w:spacing w:after="160" w:line="300"/>
      </w:pPr>
      <w:r>
        <w:rPr>
          <w:rFonts w:ascii="IBM Plex Sans" w:cs="IBM Plex Sans" w:eastAsia="IBM Plex Sans" w:hAnsi="IBM Plex Sans"/>
          <w:color w:val="334155"/>
          <w:sz w:val="22"/>
          <w:szCs w:val="22"/>
        </w:rPr>
        <w:t xml:space="preserve">Interval rata-rata (periode laten) antara diagnosis PPROM dan persalinan, distratifikasi per rentang usia gestasi.</w:t>
      </w:r>
    </w:p>
    <w:p>
      <w:pPr>
        <w:spacing w:after="160" w:line="300"/>
      </w:pPr>
      <w:r>
        <w:rPr>
          <w:rFonts w:ascii="IBM Plex Sans" w:cs="IBM Plex Sans" w:eastAsia="IBM Plex Sans" w:hAnsi="IBM Plex Sans"/>
          <w:color w:val="334155"/>
          <w:sz w:val="22"/>
          <w:szCs w:val="22"/>
        </w:rPr>
        <w:t xml:space="preserve">Proporsi neonatus dari kasus PPROM yang dirujuk/dirawat di unit perawatan neonatal intensif sesuai indikasi usia gestasi.</w:t>
      </w:r>
    </w:p>
    <w:p>
      <w:pPr>
        <w:pStyle w:val="Heading1"/>
        <w:spacing w:after="160" w:before="360"/>
      </w:pPr>
      <w:r>
        <w:rPr>
          <w:rFonts w:ascii="Source Serif 4" w:cs="Source Serif 4" w:eastAsia="Source Serif 4" w:hAnsi="Source Serif 4"/>
          <w:b/>
          <w:bCs/>
          <w:color w:val="4F46E5"/>
          <w:sz w:val="30"/>
          <w:szCs w:val="30"/>
        </w:rPr>
        <w:t xml:space="preserve">12. Perbandingan dan Pengayaan Standar Internasional</w:t>
      </w:r>
    </w:p>
    <w:p>
      <w:pPr>
        <w:spacing w:after="160" w:line="300"/>
      </w:pPr>
      <w:r>
        <w:rPr>
          <w:rFonts w:ascii="IBM Plex Sans" w:cs="IBM Plex Sans" w:eastAsia="IBM Plex Sans" w:hAnsi="IBM Plex Sans"/>
          <w:color w:val="334155"/>
          <w:sz w:val="22"/>
          <w:szCs w:val="22"/>
        </w:rPr>
        <w:t xml:space="preserve">Standar nasional (Kepkonsil) menetapkan tata laksana PPROM berbasis usia kehamilan dengan pendekatan ekspektatif pada kehamilan preterm jauh dari aterm dan tata laksana aktif mendekati usia kehamilan 34 minggu; standar internasional ACOG Practice Bulletin No. 217 (2020, ditegaskan ulang 2024) merekomendasikan pendekatan yang sejalan — tata laksana ekspektatif hingga 34 minggu tanpa kontraindikasi, dengan penekanan pada pemberian antibiotik latency dan kortikosteroid antenatal sebagai pilar utama, serta keputusan individual pada rentang 34–36 minggu 6 hari.</w:t>
      </w:r>
    </w:p>
    <w:p>
      <w:pPr>
        <w:spacing w:after="160" w:line="300"/>
      </w:pPr>
      <w:r>
        <w:rPr>
          <w:rFonts w:ascii="IBM Plex Sans" w:cs="IBM Plex Sans" w:eastAsia="IBM Plex Sans" w:hAnsi="IBM Plex Sans"/>
          <w:color w:val="334155"/>
          <w:sz w:val="22"/>
          <w:szCs w:val="22"/>
        </w:rPr>
        <w:t xml:space="preserve">RCOG Green-top Guideline No. 73 (2019, diperbarui 2022) menekankan penggunaan uji biomarker (PAMG-1/IGFBP-1) pada kasus dengan diagnosis klinis meragukan, merekomendasikan regimen eritromisin selama 10 hari atau hingga persalinan, serta memungkinkan pemantauan rawat jalan terstruktur pada kasus stabil tanpa tanda infeksi setelah periode observasi awal di rumah sakit; standar nasional mengikuti pendekatan rawat inap penuh selama periode ekspektatif mengingat keterbatasan sistem rujukan cepat dan pemantauan jarak jauh di sebagian besar fasilitas Indonesia — perbedaan ini dinyatakan eksplisit sebagai penyesuaian terhadap konteks sumber daya nasional, bukan penyimpangan dari bukti ilmiah.</w:t>
      </w:r>
    </w:p>
    <w:p>
      <w:pPr>
        <w:spacing w:after="160" w:line="300"/>
      </w:pPr>
      <w:r>
        <w:rPr>
          <w:rFonts w:ascii="IBM Plex Sans" w:cs="IBM Plex Sans" w:eastAsia="IBM Plex Sans" w:hAnsi="IBM Plex Sans"/>
          <w:color w:val="334155"/>
          <w:sz w:val="22"/>
          <w:szCs w:val="22"/>
        </w:rPr>
        <w:t xml:space="preserve">Cochrane Systematic Review oleh Kenyon dkk. (2013, CD001058) dan pembaruan tinjauan kortikosteroid antenatal oleh McGoldrick dkk. (2020, CD004454) menjadi basis bukti utama yang dirujuk baik oleh ACOG maupun RCOG, menegaskan konsistensi rekomendasi antibiotik profilaksis dan kortikosteroid antenatal lintas standar internasional.</w:t>
      </w:r>
    </w:p>
    <w:p>
      <w:pPr>
        <w:spacing w:after="160" w:line="300"/>
      </w:pPr>
      <w:r>
        <w:rPr>
          <w:rFonts w:ascii="IBM Plex Sans" w:cs="IBM Plex Sans" w:eastAsia="IBM Plex Sans" w:hAnsi="IBM Plex Sans"/>
          <w:color w:val="334155"/>
          <w:sz w:val="22"/>
          <w:szCs w:val="22"/>
        </w:rPr>
        <w:t xml:space="preserve">WHO Recommendations on Antenatal Corticosteroids for Improving Preterm Birth Outcomes (2022) — pembaruan atas rekomendasi WHO 2015 berdasarkan bukti tambahan dari uji multisenter ACTION-I di lima negara berpenghasilan rendah-menengah — menegaskan bahwa manfaat kortikosteroid antenatal tetap konsisten pada fasilitas dengan kemampuan perawatan neonatal dasar, memperkuat relevansi rekomendasi ini untuk konteks fasilitas kesehatan Indonesia di luar rumah sakit rujukan tersier.</w:t>
      </w:r>
    </w:p>
    <w:p>
      <w:r>
        <w:br w:type="page"/>
      </w:r>
    </w:p>
    <w:p>
      <w:pPr>
        <w:pStyle w:val="Heading1"/>
        <w:spacing w:after="160" w:before="360"/>
      </w:pPr>
      <w:r>
        <w:rPr>
          <w:rFonts w:ascii="Source Serif 4" w:cs="Source Serif 4" w:eastAsia="Source Serif 4" w:hAnsi="Source Serif 4"/>
          <w:b/>
          <w:bCs/>
          <w:color w:val="4F46E5"/>
          <w:sz w:val="30"/>
          <w:szCs w:val="30"/>
        </w:rPr>
        <w:t xml:space="preserve">13. Kepustakaan</w:t>
      </w:r>
    </w:p>
    <w:p>
      <w:pPr>
        <w:spacing w:after="140" w:line="280"/>
        <w:ind w:left="260" w:hanging="260"/>
      </w:pPr>
      <w:r>
        <w:rPr>
          <w:rFonts w:ascii="IBM Plex Sans" w:cs="IBM Plex Sans" w:eastAsia="IBM Plex Sans" w:hAnsi="IBM Plex Sans"/>
          <w:color w:val="334155"/>
          <w:sz w:val="20"/>
          <w:szCs w:val="20"/>
        </w:rPr>
        <w:t xml:space="preserve">1. Konsil Kesehatan Indonesia. Keputusan Ketua Konsil Kesehatan Indonesia No. HK.01.02/KKI/1318/2026 tentang Standar Kompetensi Dokter Spesialis dan Subspesialis Bidang Obstetri dan Ginekologi. Jakarta, 7 Mei 2026.</w:t>
      </w:r>
    </w:p>
    <w:p>
      <w:pPr>
        <w:spacing w:after="140" w:line="280"/>
        <w:ind w:left="260" w:hanging="260"/>
      </w:pPr>
      <w:r>
        <w:rPr>
          <w:rFonts w:ascii="IBM Plex Sans" w:cs="IBM Plex Sans" w:eastAsia="IBM Plex Sans" w:hAnsi="IBM Plex Sans"/>
          <w:color w:val="334155"/>
          <w:sz w:val="20"/>
          <w:szCs w:val="20"/>
        </w:rPr>
        <w:t xml:space="preserve">2. </w:t>
      </w:r>
      <w:r>
        <w:rPr>
          <w:rFonts w:ascii="IBM Plex Sans" w:cs="IBM Plex Sans" w:eastAsia="IBM Plex Sans" w:hAnsi="IBM Plex Sans"/>
          <w:color w:val="334155"/>
          <w:sz w:val="20"/>
          <w:szCs w:val="20"/>
        </w:rPr>
        <w:t xml:space="preserve">American College of Obstetricians and Gynecologists. Prelabor Rupture of Membranes: ACOG Practice Bulletin, Number 217. Obstetrics &amp; Gynecology. 2020;135(3):e80–e97. (Reaffirmed 2024) </w:t>
      </w:r>
      <w:hyperlink w:history="1" r:id="rIdzdbtknnm0l59qui2iigoe">
        <w:r>
          <w:rPr>
            <w:rFonts w:ascii="IBM Plex Mono" w:cs="IBM Plex Mono" w:eastAsia="IBM Plex Mono" w:hAnsi="IBM Plex Mono"/>
            <w:color w:val="4F46E5"/>
            <w:sz w:val="18"/>
            <w:szCs w:val="18"/>
            <w:u w:val="single"/>
          </w:rPr>
          <w:t xml:space="preserve">https://pubmed.ncbi.nlm.nih.gov/32080050/</w:t>
        </w:r>
      </w:hyperlink>
    </w:p>
    <w:p>
      <w:pPr>
        <w:spacing w:after="140" w:line="280"/>
        <w:ind w:left="260" w:hanging="260"/>
      </w:pPr>
      <w:r>
        <w:rPr>
          <w:rFonts w:ascii="IBM Plex Sans" w:cs="IBM Plex Sans" w:eastAsia="IBM Plex Sans" w:hAnsi="IBM Plex Sans"/>
          <w:color w:val="334155"/>
          <w:sz w:val="20"/>
          <w:szCs w:val="20"/>
        </w:rPr>
        <w:t xml:space="preserve">3. </w:t>
      </w:r>
      <w:r>
        <w:rPr>
          <w:rFonts w:ascii="IBM Plex Sans" w:cs="IBM Plex Sans" w:eastAsia="IBM Plex Sans" w:hAnsi="IBM Plex Sans"/>
          <w:color w:val="334155"/>
          <w:sz w:val="20"/>
          <w:szCs w:val="20"/>
        </w:rPr>
        <w:t xml:space="preserve">Royal College of Obstetricians and Gynaecologists. Care of Women Presenting with Suspected Preterm Prelabour Rupture of Membranes from 24+0 Weeks of Gestation. Green-top Guideline No. 73. BJOG. 2019;126:e152–e166. (Diperbarui Juni 2022) </w:t>
      </w:r>
      <w:hyperlink w:history="1" r:id="rIddtczucixptccdf3neuagx">
        <w:r>
          <w:rPr>
            <w:rFonts w:ascii="IBM Plex Mono" w:cs="IBM Plex Mono" w:eastAsia="IBM Plex Mono" w:hAnsi="IBM Plex Mono"/>
            <w:color w:val="4F46E5"/>
            <w:sz w:val="18"/>
            <w:szCs w:val="18"/>
            <w:u w:val="single"/>
          </w:rPr>
          <w:t xml:space="preserve">https://www.rcog.org.uk/guidance/browse-all-guidance/green-top-guidelines/care-of-women-presenting-with-suspected-preterm-prelabour-rupture-of-membranes-from-24plus0-weeks-of-gestation-green-top-guideline-no-73/</w:t>
        </w:r>
      </w:hyperlink>
    </w:p>
    <w:p>
      <w:pPr>
        <w:spacing w:after="140" w:line="280"/>
        <w:ind w:left="260" w:hanging="260"/>
      </w:pPr>
      <w:r>
        <w:rPr>
          <w:rFonts w:ascii="IBM Plex Sans" w:cs="IBM Plex Sans" w:eastAsia="IBM Plex Sans" w:hAnsi="IBM Plex Sans"/>
          <w:color w:val="334155"/>
          <w:sz w:val="20"/>
          <w:szCs w:val="20"/>
        </w:rPr>
        <w:t xml:space="preserve">4. </w:t>
      </w:r>
      <w:r>
        <w:rPr>
          <w:rFonts w:ascii="IBM Plex Sans" w:cs="IBM Plex Sans" w:eastAsia="IBM Plex Sans" w:hAnsi="IBM Plex Sans"/>
          <w:color w:val="334155"/>
          <w:sz w:val="20"/>
          <w:szCs w:val="20"/>
        </w:rPr>
        <w:t xml:space="preserve">Kenyon S, Boulvain M, Neilson JP. Antibiotics for preterm rupture of membranes. Cochrane Database of Systematic Reviews. 2013;(12):CD001058. </w:t>
      </w:r>
      <w:hyperlink w:history="1" r:id="rIdpeavyk2oovxwpnrxxab0z">
        <w:r>
          <w:rPr>
            <w:rFonts w:ascii="IBM Plex Mono" w:cs="IBM Plex Mono" w:eastAsia="IBM Plex Mono" w:hAnsi="IBM Plex Mono"/>
            <w:color w:val="4F46E5"/>
            <w:sz w:val="18"/>
            <w:szCs w:val="18"/>
            <w:u w:val="single"/>
          </w:rPr>
          <w:t xml:space="preserve">https://www.cochranelibrary.com/cdsr/doi/10.1002/14651858.CD001058.pub3/full</w:t>
        </w:r>
      </w:hyperlink>
    </w:p>
    <w:p>
      <w:pPr>
        <w:spacing w:after="140" w:line="280"/>
        <w:ind w:left="260" w:hanging="260"/>
      </w:pPr>
      <w:r>
        <w:rPr>
          <w:rFonts w:ascii="IBM Plex Sans" w:cs="IBM Plex Sans" w:eastAsia="IBM Plex Sans" w:hAnsi="IBM Plex Sans"/>
          <w:color w:val="334155"/>
          <w:sz w:val="20"/>
          <w:szCs w:val="20"/>
        </w:rPr>
        <w:t xml:space="preserve">5. </w:t>
      </w:r>
      <w:r>
        <w:rPr>
          <w:rFonts w:ascii="IBM Plex Sans" w:cs="IBM Plex Sans" w:eastAsia="IBM Plex Sans" w:hAnsi="IBM Plex Sans"/>
          <w:color w:val="334155"/>
          <w:sz w:val="20"/>
          <w:szCs w:val="20"/>
        </w:rPr>
        <w:t xml:space="preserve">McGoldrick E, Stewart F, Parker R, Dalziel SR. Antenatal corticosteroids for accelerating fetal lung maturation for women at risk of preterm birth. Cochrane Database of Systematic Reviews. 2020;(12):CD004454. </w:t>
      </w:r>
      <w:hyperlink w:history="1" r:id="rIdl6auctljnc-qvdmumckaz">
        <w:r>
          <w:rPr>
            <w:rFonts w:ascii="IBM Plex Mono" w:cs="IBM Plex Mono" w:eastAsia="IBM Plex Mono" w:hAnsi="IBM Plex Mono"/>
            <w:color w:val="4F46E5"/>
            <w:sz w:val="18"/>
            <w:szCs w:val="18"/>
            <w:u w:val="single"/>
          </w:rPr>
          <w:t xml:space="preserve">https://www.cochranelibrary.com/cdsr/doi/10.1002/14651858.CD004454.pub4/full</w:t>
        </w:r>
      </w:hyperlink>
    </w:p>
    <w:p>
      <w:pPr>
        <w:spacing w:after="140" w:line="280"/>
        <w:ind w:left="260" w:hanging="260"/>
      </w:pPr>
      <w:r>
        <w:rPr>
          <w:rFonts w:ascii="IBM Plex Sans" w:cs="IBM Plex Sans" w:eastAsia="IBM Plex Sans" w:hAnsi="IBM Plex Sans"/>
          <w:color w:val="334155"/>
          <w:sz w:val="20"/>
          <w:szCs w:val="20"/>
        </w:rPr>
        <w:t xml:space="preserve">6. </w:t>
      </w:r>
      <w:r>
        <w:rPr>
          <w:rFonts w:ascii="IBM Plex Sans" w:cs="IBM Plex Sans" w:eastAsia="IBM Plex Sans" w:hAnsi="IBM Plex Sans"/>
          <w:color w:val="334155"/>
          <w:sz w:val="20"/>
          <w:szCs w:val="20"/>
        </w:rPr>
        <w:t xml:space="preserve">World Health Organization. WHO Recommendations on Antenatal Corticosteroids for Improving Preterm Birth Outcomes. Geneva: World Health Organization; 2022. </w:t>
      </w:r>
      <w:hyperlink w:history="1" r:id="rIdrrxqtzhv6dwnxaqgejt4w">
        <w:r>
          <w:rPr>
            <w:rFonts w:ascii="IBM Plex Mono" w:cs="IBM Plex Mono" w:eastAsia="IBM Plex Mono" w:hAnsi="IBM Plex Mono"/>
            <w:color w:val="4F46E5"/>
            <w:sz w:val="18"/>
            <w:szCs w:val="18"/>
            <w:u w:val="single"/>
          </w:rPr>
          <w:t xml:space="preserve">https://www.ncbi.nlm.nih.gov/books/NBK585353/</w:t>
        </w:r>
      </w:hyperlink>
    </w:p>
    <w:p>
      <w:pPr>
        <w:spacing w:after="140" w:line="280"/>
        <w:ind w:left="260" w:hanging="260"/>
      </w:pPr>
      <w:r>
        <w:rPr>
          <w:rFonts w:ascii="IBM Plex Sans" w:cs="IBM Plex Sans" w:eastAsia="IBM Plex Sans" w:hAnsi="IBM Plex Sans"/>
          <w:color w:val="334155"/>
          <w:sz w:val="20"/>
          <w:szCs w:val="20"/>
        </w:rPr>
        <w:t xml:space="preserve">7. </w:t>
      </w:r>
      <w:r>
        <w:rPr>
          <w:rFonts w:ascii="IBM Plex Sans" w:cs="IBM Plex Sans" w:eastAsia="IBM Plex Sans" w:hAnsi="IBM Plex Sans"/>
          <w:color w:val="334155"/>
          <w:sz w:val="20"/>
          <w:szCs w:val="20"/>
        </w:rPr>
        <w:t xml:space="preserve">World Health Organization. WHO Recommendations on Interventions to Improve Preterm Birth Outcomes. Geneva: World Health Organization; 2015. </w:t>
      </w:r>
      <w:hyperlink w:history="1" r:id="rIdnuay11lbqp2oazrqfdfqe">
        <w:r>
          <w:rPr>
            <w:rFonts w:ascii="IBM Plex Mono" w:cs="IBM Plex Mono" w:eastAsia="IBM Plex Mono" w:hAnsi="IBM Plex Mono"/>
            <w:color w:val="4F46E5"/>
            <w:sz w:val="18"/>
            <w:szCs w:val="18"/>
            <w:u w:val="single"/>
          </w:rPr>
          <w:t xml:space="preserve">https://www.who.int/publications/i/item/9789241508988</w:t>
        </w:r>
      </w:hyperlink>
    </w:p>
    <w:p>
      <w:pPr>
        <w:spacing w:after="140" w:line="280"/>
        <w:ind w:left="260" w:hanging="260"/>
      </w:pPr>
      <w:r>
        <w:rPr>
          <w:rFonts w:ascii="IBM Plex Sans" w:cs="IBM Plex Sans" w:eastAsia="IBM Plex Sans" w:hAnsi="IBM Plex Sans"/>
          <w:color w:val="334155"/>
          <w:sz w:val="20"/>
          <w:szCs w:val="20"/>
        </w:rPr>
        <w:t xml:space="preserve">8. </w:t>
      </w:r>
      <w:r>
        <w:rPr>
          <w:rFonts w:ascii="IBM Plex Sans" w:cs="IBM Plex Sans" w:eastAsia="IBM Plex Sans" w:hAnsi="IBM Plex Sans"/>
          <w:color w:val="334155"/>
          <w:sz w:val="20"/>
          <w:szCs w:val="20"/>
        </w:rPr>
        <w:t xml:space="preserve">Navathe R, Schoen CN, Heidari P, dkk. Azithromycin vs erythromycin for the management of preterm premature rupture of membranes. American Journal of Obstetrics and Gynecology. 2019;221(2):144.e1–144.e8. </w:t>
      </w:r>
      <w:hyperlink w:history="1" r:id="rIdadqtgv9ydigkfyw5v_woa">
        <w:r>
          <w:rPr>
            <w:rFonts w:ascii="IBM Plex Mono" w:cs="IBM Plex Mono" w:eastAsia="IBM Plex Mono" w:hAnsi="IBM Plex Mono"/>
            <w:color w:val="4F46E5"/>
            <w:sz w:val="18"/>
            <w:szCs w:val="18"/>
            <w:u w:val="single"/>
          </w:rPr>
          <w:t xml:space="preserve">https://pubmed.ncbi.nlm.nih.gov/30904320/</w:t>
        </w:r>
      </w:hyperlink>
    </w:p>
    <w:p>
      <w:pPr>
        <w:spacing w:after="140" w:line="280"/>
        <w:ind w:left="260" w:hanging="260"/>
      </w:pPr>
      <w:r>
        <w:rPr>
          <w:rFonts w:ascii="IBM Plex Sans" w:cs="IBM Plex Sans" w:eastAsia="IBM Plex Sans" w:hAnsi="IBM Plex Sans"/>
          <w:color w:val="334155"/>
          <w:sz w:val="20"/>
          <w:szCs w:val="20"/>
        </w:rPr>
        <w:t xml:space="preserve">9. </w:t>
      </w:r>
      <w:r>
        <w:rPr>
          <w:rFonts w:ascii="IBM Plex Sans" w:cs="IBM Plex Sans" w:eastAsia="IBM Plex Sans" w:hAnsi="IBM Plex Sans"/>
          <w:color w:val="334155"/>
          <w:sz w:val="20"/>
          <w:szCs w:val="20"/>
        </w:rPr>
        <w:t xml:space="preserve">Kenyon S, Taylor DJ, Tarnow-Mordi W; ORACLE Collaborative Group. Broad-spectrum antibiotics for preterm, prelabour rupture of fetal membranes: the ORACLE I randomised trial. The Lancet. 2001;357:979–988. </w:t>
      </w:r>
      <w:hyperlink w:history="1" r:id="rId5iz7tus4oveiiov-espvg">
        <w:r>
          <w:rPr>
            <w:rFonts w:ascii="IBM Plex Mono" w:cs="IBM Plex Mono" w:eastAsia="IBM Plex Mono" w:hAnsi="IBM Plex Mono"/>
            <w:color w:val="4F46E5"/>
            <w:sz w:val="18"/>
            <w:szCs w:val="18"/>
            <w:u w:val="single"/>
          </w:rPr>
          <w:t xml:space="preserve">https://pubmed.ncbi.nlm.nih.gov/11293640/</w:t>
        </w:r>
      </w:hyperlink>
    </w:p>
    <w:p>
      <w:r>
        <w:br w:type="page"/>
      </w:r>
    </w:p>
    <w:p>
      <w:pPr>
        <w:pStyle w:val="Heading1"/>
        <w:spacing w:after="160" w:before="360"/>
      </w:pPr>
      <w:r>
        <w:rPr>
          <w:rFonts w:ascii="Source Serif 4" w:cs="Source Serif 4" w:eastAsia="Source Serif 4" w:hAnsi="Source Serif 4"/>
          <w:b/>
          <w:bCs/>
          <w:color w:val="4F46E5"/>
          <w:sz w:val="30"/>
          <w:szCs w:val="30"/>
        </w:rPr>
        <w:t xml:space="preserve">Glosarium</w:t>
      </w:r>
    </w:p>
    <w:tbl>
      <w:tblPr>
        <w:tblW w:type="dxa" w:w="9350"/>
        <w:tblBorders>
          <w:top w:val="single" w:color="auto" w:sz="4"/>
          <w:left w:val="single" w:color="auto" w:sz="4"/>
          <w:bottom w:val="single" w:color="auto" w:sz="4"/>
          <w:right w:val="single" w:color="auto" w:sz="4"/>
          <w:insideH w:val="single" w:color="auto" w:sz="4"/>
          <w:insideV w:val="single" w:color="auto" w:sz="4"/>
        </w:tblBorders>
      </w:tblPr>
      <w:tblGrid>
        <w:gridCol w:w="2800"/>
        <w:gridCol w:w="6550"/>
      </w:tblGrid>
      <w:tr>
        <w:trPr>
          <w:tblHeader/>
        </w:trPr>
        <w:tc>
          <w:tcPr>
            <w:tcW w:type="dxa" w:w="2800"/>
            <w:shd w:fill="4F46E5" w:val="clear"/>
            <w:tcMar>
              <w:top w:type="dxa" w:w="80"/>
              <w:left w:type="dxa" w:w="120"/>
              <w:bottom w:type="dxa" w:w="80"/>
              <w:right w:type="dxa" w:w="120"/>
            </w:tcMar>
          </w:tcPr>
          <w:p>
            <w:r>
              <w:rPr>
                <w:rFonts w:ascii="IBM Plex Sans" w:cs="IBM Plex Sans" w:eastAsia="IBM Plex Sans" w:hAnsi="IBM Plex Sans"/>
                <w:b/>
                <w:bCs/>
                <w:color w:val="FFFFFF"/>
                <w:sz w:val="20"/>
                <w:szCs w:val="20"/>
              </w:rPr>
              <w:t xml:space="preserve">Istilah</w:t>
            </w:r>
          </w:p>
        </w:tc>
        <w:tc>
          <w:tcPr>
            <w:tcW w:type="dxa" w:w="6550"/>
            <w:shd w:fill="4F46E5" w:val="clear"/>
            <w:tcMar>
              <w:top w:type="dxa" w:w="80"/>
              <w:left w:type="dxa" w:w="120"/>
              <w:bottom w:type="dxa" w:w="80"/>
              <w:right w:type="dxa" w:w="120"/>
            </w:tcMar>
          </w:tcPr>
          <w:p>
            <w:r>
              <w:rPr>
                <w:rFonts w:ascii="IBM Plex Sans" w:cs="IBM Plex Sans" w:eastAsia="IBM Plex Sans" w:hAnsi="IBM Plex Sans"/>
                <w:b/>
                <w:bCs/>
                <w:color w:val="FFFFFF"/>
                <w:sz w:val="20"/>
                <w:szCs w:val="20"/>
              </w:rPr>
              <w:t xml:space="preserve">Deskripsi</w:t>
            </w:r>
          </w:p>
        </w:tc>
      </w:tr>
      <w:tr>
        <w:tc>
          <w:tcPr>
            <w:tcW w:type="dxa" w:w="2800"/>
            <w:shd w:fill="FFFFFF"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PPROM</w:t>
            </w:r>
          </w:p>
        </w:tc>
        <w:tc>
          <w:tcPr>
            <w:tcW w:type="dxa" w:w="6550"/>
            <w:shd w:fill="FFFFFF"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Preterm Premature Rupture of Membrane — pecahnya selaput ketuban sebelum usia kehamilan 37 minggu dan sebelum onset persalinan.</w:t>
            </w:r>
          </w:p>
        </w:tc>
      </w:tr>
      <w:tr>
        <w:tc>
          <w:tcPr>
            <w:tcW w:type="dxa" w:w="2800"/>
            <w:shd w:fill="F8FAFC"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PROM</w:t>
            </w:r>
          </w:p>
        </w:tc>
        <w:tc>
          <w:tcPr>
            <w:tcW w:type="dxa" w:w="6550"/>
            <w:shd w:fill="F8FAFC"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Pre-labor Rupture of Membrane — pecahnya selaput ketuban sebelum onset persalinan pada kehamilan aterm (≥37 minggu).</w:t>
            </w:r>
          </w:p>
        </w:tc>
      </w:tr>
      <w:tr>
        <w:tc>
          <w:tcPr>
            <w:tcW w:type="dxa" w:w="2800"/>
            <w:shd w:fill="FFFFFF"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Periode laten</w:t>
            </w:r>
          </w:p>
        </w:tc>
        <w:tc>
          <w:tcPr>
            <w:tcW w:type="dxa" w:w="6550"/>
            <w:shd w:fill="FFFFFF"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Interval waktu antara pecahnya selaput ketuban hingga timbulnya persalinan aktif.</w:t>
            </w:r>
          </w:p>
        </w:tc>
      </w:tr>
      <w:tr>
        <w:tc>
          <w:tcPr>
            <w:tcW w:type="dxa" w:w="2800"/>
            <w:shd w:fill="F8FAFC"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Korioamnionitis</w:t>
            </w:r>
          </w:p>
        </w:tc>
        <w:tc>
          <w:tcPr>
            <w:tcW w:type="dxa" w:w="6550"/>
            <w:shd w:fill="F8FAFC"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Infeksi/inflamasi pada selaput korion-amnion, cairan amnion, plasenta, atau janin, umumnya akibat infeksi asenden dari vagina/serviks.</w:t>
            </w:r>
          </w:p>
        </w:tc>
      </w:tr>
      <w:tr>
        <w:tc>
          <w:tcPr>
            <w:tcW w:type="dxa" w:w="2800"/>
            <w:shd w:fill="FFFFFF"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Oligohidramnion</w:t>
            </w:r>
          </w:p>
        </w:tc>
        <w:tc>
          <w:tcPr>
            <w:tcW w:type="dxa" w:w="6550"/>
            <w:shd w:fill="FFFFFF"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Volume cairan amnion yang kurang dari normal untuk usia kehamilan tertentu.</w:t>
            </w:r>
          </w:p>
        </w:tc>
      </w:tr>
      <w:tr>
        <w:tc>
          <w:tcPr>
            <w:tcW w:type="dxa" w:w="2800"/>
            <w:shd w:fill="F8FAFC"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Uji nitrazin</w:t>
            </w:r>
          </w:p>
        </w:tc>
        <w:tc>
          <w:tcPr>
            <w:tcW w:type="dxa" w:w="6550"/>
            <w:shd w:fill="F8FAFC"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Uji sederhana untuk menilai pH cairan vagina menggunakan kertas nitrazin; perubahan warna menjadi biru mengindikasikan pH basa yang konsisten dengan cairan amnion.</w:t>
            </w:r>
          </w:p>
        </w:tc>
      </w:tr>
      <w:tr>
        <w:tc>
          <w:tcPr>
            <w:tcW w:type="dxa" w:w="2800"/>
            <w:shd w:fill="FFFFFF"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Uji ferning</w:t>
            </w:r>
          </w:p>
        </w:tc>
        <w:tc>
          <w:tcPr>
            <w:tcW w:type="dxa" w:w="6550"/>
            <w:shd w:fill="FFFFFF"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Pemeriksaan mikroskopis cairan vagina yang mengering untuk melihat pola kristalisasi menyerupai daun pakis, khas cairan amnion.</w:t>
            </w:r>
          </w:p>
        </w:tc>
      </w:tr>
      <w:tr>
        <w:tc>
          <w:tcPr>
            <w:tcW w:type="dxa" w:w="2800"/>
            <w:shd w:fill="F8FAFC"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PAMG-1 / IGFBP-1</w:t>
            </w:r>
          </w:p>
        </w:tc>
        <w:tc>
          <w:tcPr>
            <w:tcW w:type="dxa" w:w="6550"/>
            <w:shd w:fill="F8FAFC"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Biomarker protein plasenta (placental alpha microglobulin-1 dan insulin-like growth factor binding protein-1) yang digunakan pada uji cepat komersial untuk konfirmasi ruptur membran saat diagnosis klinis meragukan.</w:t>
            </w:r>
          </w:p>
        </w:tc>
      </w:tr>
      <w:tr>
        <w:tc>
          <w:tcPr>
            <w:tcW w:type="dxa" w:w="2800"/>
            <w:shd w:fill="FFFFFF"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Tokolisis</w:t>
            </w:r>
          </w:p>
        </w:tc>
        <w:tc>
          <w:tcPr>
            <w:tcW w:type="dxa" w:w="6550"/>
            <w:shd w:fill="FFFFFF"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Terapi farmakologis untuk menekan atau menunda kontraksi uterus pada persalinan preterm.</w:t>
            </w:r>
          </w:p>
        </w:tc>
      </w:tr>
      <w:tr>
        <w:tc>
          <w:tcPr>
            <w:tcW w:type="dxa" w:w="2800"/>
            <w:shd w:fill="F8FAFC" w:val="clear"/>
            <w:tcMar>
              <w:top w:type="dxa" w:w="80"/>
              <w:left w:type="dxa" w:w="120"/>
              <w:bottom w:type="dxa" w:w="80"/>
              <w:right w:type="dxa" w:w="120"/>
            </w:tcMar>
          </w:tcPr>
          <w:p>
            <w:r>
              <w:rPr>
                <w:rFonts w:ascii="IBM Plex Mono" w:cs="IBM Plex Mono" w:eastAsia="IBM Plex Mono" w:hAnsi="IBM Plex Mono"/>
                <w:b/>
                <w:bCs/>
                <w:color w:val="B45309"/>
                <w:sz w:val="18"/>
                <w:szCs w:val="18"/>
              </w:rPr>
              <w:t xml:space="preserve">Viabilitas janin</w:t>
            </w:r>
          </w:p>
        </w:tc>
        <w:tc>
          <w:tcPr>
            <w:tcW w:type="dxa" w:w="6550"/>
            <w:shd w:fill="F8FAFC" w:val="clear"/>
            <w:tcMar>
              <w:top w:type="dxa" w:w="80"/>
              <w:left w:type="dxa" w:w="120"/>
              <w:bottom w:type="dxa" w:w="80"/>
              <w:right w:type="dxa" w:w="120"/>
            </w:tcMar>
          </w:tcPr>
          <w:p>
            <w:r>
              <w:rPr>
                <w:rFonts w:ascii="IBM Plex Sans" w:cs="IBM Plex Sans" w:eastAsia="IBM Plex Sans" w:hAnsi="IBM Plex Sans"/>
                <w:color w:val="334155"/>
                <w:sz w:val="20"/>
                <w:szCs w:val="20"/>
              </w:rPr>
              <w:t xml:space="preserve">Usia kehamilan minimal di mana janin memiliki kemungkinan bertahan hidup di luar rahim dengan dukungan medis intensif.</w:t>
            </w:r>
          </w:p>
        </w:tc>
      </w:tr>
    </w:tbl>
    <w:p>
      <w:r>
        <w:br w:type="page"/>
      </w:r>
    </w:p>
    <w:p>
      <w:pPr>
        <w:pStyle w:val="Heading1"/>
        <w:spacing w:after="160" w:before="360"/>
      </w:pPr>
      <w:r>
        <w:rPr>
          <w:rFonts w:ascii="Source Serif 4" w:cs="Source Serif 4" w:eastAsia="Source Serif 4" w:hAnsi="Source Serif 4"/>
          <w:b/>
          <w:bCs/>
          <w:color w:val="4F46E5"/>
          <w:sz w:val="30"/>
          <w:szCs w:val="30"/>
        </w:rPr>
        <w:t xml:space="preserve">Kolofon</w:t>
      </w:r>
    </w:p>
    <w:p>
      <w:pPr>
        <w:spacing w:after="160" w:line="300"/>
      </w:pPr>
      <w:r>
        <w:rPr>
          <w:rFonts w:ascii="IBM Plex Sans" w:cs="IBM Plex Sans" w:eastAsia="IBM Plex Sans" w:hAnsi="IBM Plex Sans"/>
          <w:color w:val="334155"/>
          <w:sz w:val="22"/>
          <w:szCs w:val="22"/>
        </w:rPr>
        <w:t xml:space="preserve">PPK-023 — Ketuban Pecah pada Kehamilan Preterm (Preterm Premature Rupture of Membrane (PPROM))</w:t>
      </w:r>
    </w:p>
    <w:p>
      <w:pPr>
        <w:spacing w:after="160" w:line="300"/>
      </w:pPr>
      <w:r>
        <w:rPr>
          <w:rFonts w:ascii="IBM Plex Sans" w:cs="IBM Plex Sans" w:eastAsia="IBM Plex Sans" w:hAnsi="IBM Plex Sans"/>
          <w:color w:val="334155"/>
          <w:sz w:val="22"/>
          <w:szCs w:val="22"/>
        </w:rPr>
        <w:t xml:space="preserve">Dokumen 23 dari 73 — Kategori Panduan Praktik Klinis (PPK)</w:t>
      </w:r>
    </w:p>
    <w:p>
      <w:pPr>
        <w:spacing w:after="160" w:line="300"/>
      </w:pPr>
      <w:r>
        <w:rPr>
          <w:rFonts w:ascii="IBM Plex Sans" w:cs="IBM Plex Sans" w:eastAsia="IBM Plex Sans" w:hAnsi="IBM Plex Sans"/>
          <w:color w:val="334155"/>
          <w:sz w:val="22"/>
          <w:szCs w:val="22"/>
        </w:rPr>
        <w:t xml:space="preserve">Penulis/Editor Klinis: Dr.dr. Budi Siswanto, Sp.OG., Subsp.Obginsos., SH., S.Kom.</w:t>
      </w:r>
    </w:p>
    <w:p>
      <w:pPr>
        <w:spacing w:after="160" w:line="300"/>
      </w:pPr>
      <w:r>
        <w:rPr>
          <w:rFonts w:ascii="IBM Plex Sans" w:cs="IBM Plex Sans" w:eastAsia="IBM Plex Sans" w:hAnsi="IBM Plex Sans"/>
          <w:color w:val="334155"/>
          <w:sz w:val="22"/>
          <w:szCs w:val="22"/>
        </w:rPr>
        <w:t xml:space="preserve">Diterbitkan oleh: Perpustakaan Digital ABBA</w:t>
      </w:r>
    </w:p>
    <w:p>
      <w:pPr>
        <w:spacing w:after="160" w:line="300"/>
      </w:pPr>
      <w:r>
        <w:rPr>
          <w:rFonts w:ascii="IBM Plex Sans" w:cs="IBM Plex Sans" w:eastAsia="IBM Plex Sans" w:hAnsi="IBM Plex Sans"/>
          <w:color w:val="334155"/>
          <w:sz w:val="22"/>
          <w:szCs w:val="22"/>
        </w:rPr>
        <w:t xml:space="preserve">Alamat Penerbit: Jl. Kerinci Raya No. 9, Malang 65138</w:t>
      </w:r>
    </w:p>
    <w:p>
      <w:pPr>
        <w:spacing w:after="160" w:line="300"/>
      </w:pPr>
      <w:r>
        <w:rPr>
          <w:rFonts w:ascii="IBM Plex Sans" w:cs="IBM Plex Sans" w:eastAsia="IBM Plex Sans" w:hAnsi="IBM Plex Sans"/>
          <w:color w:val="334155"/>
          <w:sz w:val="22"/>
          <w:szCs w:val="22"/>
        </w:rPr>
        <w:t xml:space="preserve">Dasar Regulasi: Tabel 7 Kepkonsil No. HK.01.02/KKI/1318/2026, baris No. 23</w:t>
      </w:r>
    </w:p>
    <w:p>
      <w:pPr>
        <w:spacing w:after="160" w:line="300"/>
      </w:pPr>
      <w:r>
        <w:rPr>
          <w:rFonts w:ascii="IBM Plex Sans" w:cs="IBM Plex Sans" w:eastAsia="IBM Plex Sans" w:hAnsi="IBM Plex Sans"/>
          <w:color w:val="334155"/>
          <w:sz w:val="22"/>
          <w:szCs w:val="22"/>
        </w:rPr>
        <w:t xml:space="preserve">Rujukan Silang: Buku Tematik B3 — Obstetri Patologis dan Kegawatdaruratan Maternal</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64748B"/>
        <w:sz w:val="16"/>
        <w:szCs w:val="16"/>
      </w:rPr>
      <w:t xml:space="preserve">Dokumen 23 dari 73   |   Halaman </w:t>
    </w:r>
    <w:r>
      <w:rPr>
        <w:rFonts w:ascii="IBM Plex Mono" w:cs="IBM Plex Mono" w:eastAsia="IBM Plex Mono" w:hAnsi="IBM Plex Mono"/>
        <w:color w:val="64748B"/>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IBM Plex Mono" w:cs="IBM Plex Mono" w:eastAsia="IBM Plex Mono" w:hAnsi="IBM Plex Mono"/>
        <w:color w:val="64748B"/>
        <w:sz w:val="16"/>
        <w:szCs w:val="16"/>
      </w:rPr>
      <w:t xml:space="preserve">PPK-023 · Ketuban Pecah pada Kehamilan Preterm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BM Plex Sans" w:cs="IBM Plex Sans" w:eastAsia="IBM Plex Sans" w:hAnsi="IBM Plex Sans"/>
        <w:color w:val="334155"/>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zdbtknnm0l59qui2iigoe" Type="http://schemas.openxmlformats.org/officeDocument/2006/relationships/hyperlink" Target="https://pubmed.ncbi.nlm.nih.gov/32080050/" TargetMode="External"/><Relationship Id="rIddtczucixptccdf3neuagx" Type="http://schemas.openxmlformats.org/officeDocument/2006/relationships/hyperlink" Target="https://www.rcog.org.uk/guidance/browse-all-guidance/green-top-guidelines/care-of-women-presenting-with-suspected-preterm-prelabour-rupture-of-membranes-from-24plus0-weeks-of-gestation-green-top-guideline-no-73/" TargetMode="External"/><Relationship Id="rIdpeavyk2oovxwpnrxxab0z" Type="http://schemas.openxmlformats.org/officeDocument/2006/relationships/hyperlink" Target="https://www.cochranelibrary.com/cdsr/doi/10.1002/14651858.CD001058.pub3/full" TargetMode="External"/><Relationship Id="rIdl6auctljnc-qvdmumckaz" Type="http://schemas.openxmlformats.org/officeDocument/2006/relationships/hyperlink" Target="https://www.cochranelibrary.com/cdsr/doi/10.1002/14651858.CD004454.pub4/full" TargetMode="External"/><Relationship Id="rIdrrxqtzhv6dwnxaqgejt4w" Type="http://schemas.openxmlformats.org/officeDocument/2006/relationships/hyperlink" Target="https://www.ncbi.nlm.nih.gov/books/NBK585353/" TargetMode="External"/><Relationship Id="rIdnuay11lbqp2oazrqfdfqe" Type="http://schemas.openxmlformats.org/officeDocument/2006/relationships/hyperlink" Target="https://www.who.int/publications/i/item/9789241508988" TargetMode="External"/><Relationship Id="rIdadqtgv9ydigkfyw5v_woa" Type="http://schemas.openxmlformats.org/officeDocument/2006/relationships/hyperlink" Target="https://pubmed.ncbi.nlm.nih.gov/30904320/" TargetMode="External"/><Relationship Id="rId5iz7tus4oveiiov-espvg" Type="http://schemas.openxmlformats.org/officeDocument/2006/relationships/hyperlink" Target="https://pubmed.ncbi.nlm.nih.gov/11293640/"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2026-08-17T09:26:10.342Z</dcterms:created>
  <dcterms:modified xsi:type="dcterms:W3CDTF">2026-08-17T09:26:10.357Z</dcterms:modified>
</cp:coreProperties>
</file>

<file path=docProps/custom.xml><?xml version="1.0" encoding="utf-8"?>
<Properties xmlns="http://schemas.openxmlformats.org/officeDocument/2006/custom-properties" xmlns:vt="http://schemas.openxmlformats.org/officeDocument/2006/docPropsVTypes"/>
</file>