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120"/>
        <w:jc w:val="center"/>
      </w:pPr>
      <w:r>
        <w:rPr>
          <w:rFonts w:ascii="Source Serif 4" w:cs="Source Serif 4" w:eastAsia="Source Serif 4" w:hAnsi="Source Serif 4"/>
          <w:b/>
          <w:bCs/>
          <w:color w:val="4F46E5"/>
          <w:sz w:val="44"/>
          <w:szCs w:val="44"/>
        </w:rPr>
        <w:t xml:space="preserve">PANDUAN PRAKTIK KLINIS</w:t>
      </w:r>
    </w:p>
    <w:p>
      <w:pPr>
        <w:spacing w:after="400"/>
        <w:jc w:val="center"/>
      </w:pPr>
      <w:r>
        <w:rPr>
          <w:rFonts w:ascii="IBM Plex Sans" w:cs="IBM Plex Sans" w:eastAsia="IBM Plex Sans" w:hAnsi="IBM Plex Sans"/>
          <w:b/>
          <w:bCs/>
          <w:color w:val="B45309"/>
          <w:sz w:val="26"/>
          <w:szCs w:val="26"/>
        </w:rPr>
        <w:t xml:space="preserve">PPK No. 24 dari 73</w:t>
      </w:r>
    </w:p>
    <w:p>
      <w:pPr>
        <w:spacing w:after="80"/>
        <w:jc w:val="center"/>
      </w:pPr>
      <w:r>
        <w:rPr>
          <w:rFonts w:ascii="Source Serif 4" w:cs="Source Serif 4" w:eastAsia="Source Serif 4" w:hAnsi="Source Serif 4"/>
          <w:b/>
          <w:bCs/>
          <w:color w:val="334155"/>
          <w:sz w:val="40"/>
          <w:szCs w:val="40"/>
        </w:rPr>
        <w:t xml:space="preserve">Gawat Janin</w:t>
      </w:r>
    </w:p>
    <w:p>
      <w:pPr>
        <w:spacing w:after="500"/>
        <w:jc w:val="center"/>
      </w:pPr>
      <w:r>
        <w:rPr>
          <w:rFonts w:ascii="Source Serif 4" w:cs="Source Serif 4" w:eastAsia="Source Serif 4" w:hAnsi="Source Serif 4"/>
          <w:i/>
          <w:iCs/>
          <w:color w:val="64748B"/>
          <w:sz w:val="28"/>
          <w:szCs w:val="28"/>
        </w:rPr>
        <w:t xml:space="preserve">Fetal Distress</w:t>
      </w:r>
    </w:p>
    <w:p>
      <w:pPr>
        <w:spacing w:after="120"/>
        <w:jc w:val="center"/>
      </w:pPr>
      <w:r>
        <w:rPr>
          <w:rFonts w:ascii="IBM Plex Mono" w:cs="IBM Plex Mono" w:eastAsia="IBM Plex Mono" w:hAnsi="IBM Plex Mono"/>
          <w:color w:val="334155"/>
          <w:sz w:val="20"/>
          <w:szCs w:val="20"/>
        </w:rPr>
        <w:t xml:space="preserve">ICD-10: O68.9   |   ICD-11: KB20 ; JA86.2</w:t>
      </w:r>
    </w:p>
    <w:p>
      <w:pPr>
        <w:spacing w:after="600"/>
        <w:jc w:val="center"/>
      </w:pPr>
      <w:r>
        <w:rPr>
          <w:rFonts w:ascii="IBM Plex Mono" w:cs="IBM Plex Mono" w:eastAsia="IBM Plex Mono" w:hAnsi="IBM Plex Mono"/>
          <w:color w:val="64748B"/>
          <w:sz w:val="18"/>
          <w:szCs w:val="18"/>
        </w:rPr>
        <w:t xml:space="preserve">Kode Unit: PPK-024</w:t>
      </w:r>
    </w:p>
    <w:p>
      <w:pPr>
        <w:spacing w:after="400"/>
        <w:jc w:val="center"/>
      </w:pPr>
      <w:r>
        <w:rPr>
          <w:rFonts w:ascii="IBM Plex Sans" w:cs="IBM Plex Sans" w:eastAsia="IBM Plex Sans" w:hAnsi="IBM Plex Sans"/>
          <w:color w:val="334155"/>
          <w:sz w:val="20"/>
          <w:szCs w:val="20"/>
        </w:rPr>
        <w:t xml:space="preserve">Divisi Pengampu: Fetomaternal</w:t>
      </w:r>
    </w:p>
    <w:p>
      <w:pPr>
        <w:spacing w:after="60"/>
        <w:jc w:val="center"/>
      </w:pPr>
      <w:r>
        <w:rPr>
          <w:rFonts w:ascii="IBM Plex Sans" w:cs="IBM Plex Sans" w:eastAsia="IBM Plex Sans" w:hAnsi="IBM Plex Sans"/>
          <w:b/>
          <w:bCs/>
          <w:color w:val="334155"/>
          <w:sz w:val="22"/>
          <w:szCs w:val="22"/>
        </w:rPr>
        <w:t xml:space="preserve">Dr. dr. Budi Siswanto, Sp.OG., Subsp.Obginsos., SH., S.Kom.</w:t>
      </w:r>
    </w:p>
    <w:p>
      <w:pPr>
        <w:spacing w:after="40"/>
        <w:jc w:val="center"/>
      </w:pPr>
      <w:r>
        <w:rPr>
          <w:rFonts w:ascii="IBM Plex Sans" w:cs="IBM Plex Sans" w:eastAsia="IBM Plex Sans" w:hAnsi="IBM Plex Sans"/>
          <w:color w:val="64748B"/>
          <w:sz w:val="20"/>
          <w:szCs w:val="20"/>
        </w:rPr>
        <w:t xml:space="preserve">Perpustakaan Digital ABBA</w:t>
      </w:r>
    </w:p>
    <w:p>
      <w:pPr>
        <w:spacing w:after="20"/>
        <w:jc w:val="center"/>
      </w:pPr>
      <w:r>
        <w:rPr>
          <w:rFonts w:ascii="IBM Plex Sans" w:cs="IBM Plex Sans" w:eastAsia="IBM Plex Sans" w:hAnsi="IBM Plex Sans"/>
          <w:color w:val="64748B"/>
          <w:sz w:val="18"/>
          <w:szCs w:val="18"/>
        </w:rPr>
        <w:t xml:space="preserve">Jl. Kerinci Raya No. 9, Malang 65138</w:t>
      </w:r>
    </w:p>
    <w:p>
      <w:pPr>
        <w:spacing w:after="0"/>
        <w:jc w:val="center"/>
      </w:pPr>
      <w:r>
        <w:rPr>
          <w:rFonts w:ascii="IBM Plex Sans" w:cs="IBM Plex Sans" w:eastAsia="IBM Plex Sans" w:hAnsi="IBM Plex Sans"/>
          <w:color w:val="64748B"/>
          <w:sz w:val="18"/>
          <w:szCs w:val="18"/>
        </w:rPr>
        <w:t xml:space="preserve">2026</w:t>
      </w:r>
    </w:p>
    <w:p>
      <w:r>
        <w:br w:type="page"/>
      </w:r>
    </w:p>
    <w:p>
      <w:pPr>
        <w:pStyle w:val="Heading1"/>
        <w:spacing w:after="200"/>
      </w:pPr>
      <w:r>
        <w:rPr>
          <w:rFonts w:ascii="Source Serif 4" w:cs="Source Serif 4" w:eastAsia="Source Serif 4" w:hAnsi="Source Serif 4"/>
          <w:b/>
          <w:bCs/>
          <w:color w:val="4F46E5"/>
        </w:rPr>
        <w:t xml:space="preserve">Gawat Janin</w:t>
      </w:r>
    </w:p>
    <w:p>
      <w:pPr>
        <w:spacing w:after="160" w:line="300"/>
      </w:pPr>
      <w:r>
        <w:rPr>
          <w:rFonts w:ascii="IBM Plex Sans" w:cs="IBM Plex Sans" w:eastAsia="IBM Plex Sans" w:hAnsi="IBM Plex Sans"/>
          <w:color w:val="334155"/>
          <w:sz w:val="21"/>
          <w:szCs w:val="21"/>
        </w:rPr>
        <w:t xml:space="preserve">PPK ini merupakan turunan operasional dari Buku Tematik B3 — Obstetri Patologis dan Kegawatdaruratan Maternal, disusun sebagai panduan praktik klinis individu untuk entri Tabel 7 No. 24 Kepkonsil No. HK.01.02/KKI/1318/2026: “Gawat janin (Fetal distress)”.</w:t>
      </w:r>
    </w:p>
    <w:p>
      <w:pPr>
        <w:spacing w:after="160" w:line="300"/>
      </w:pPr>
      <w:r>
        <w:rPr>
          <w:rFonts w:ascii="IBM Plex Sans" w:cs="IBM Plex Sans" w:eastAsia="IBM Plex Sans" w:hAnsi="IBM Plex Sans"/>
          <w:color w:val="334155"/>
          <w:sz w:val="21"/>
          <w:szCs w:val="21"/>
        </w:rPr>
        <w:t xml:space="preserve">Divisi Fetomaternal berkontribusi memberikan perspektif tambahan pada aspek pemantauan kesejahteraan janin, interpretasi kardiotokografi (KTG — cardiotocography), dan Doppler velocimetry, khususnya pada kehamilan risiko tinggi dengan restriksi pertumbuhan intrauterin.</w:t>
      </w:r>
    </w:p>
    <w:p>
      <w:pPr>
        <w:spacing w:after="100"/>
      </w:pPr>
    </w:p>
    <w:p>
      <w:pPr>
        <w:pStyle w:val="Heading1"/>
        <w:spacing w:after="160" w:before="300"/>
      </w:pPr>
      <w:r>
        <w:rPr>
          <w:rFonts w:ascii="Source Serif 4" w:cs="Source Serif 4" w:eastAsia="Source Serif 4" w:hAnsi="Source Serif 4"/>
          <w:b/>
          <w:bCs/>
          <w:color w:val="4F46E5"/>
        </w:rPr>
        <w:t xml:space="preserve">1. Pengertian/Definisi</w:t>
      </w:r>
    </w:p>
    <w:tbl>
      <w:tblPr>
        <w:tblW w:type="pct" w:w="100%"/>
        <w:tblBorders>
          <w:top w:val="single" w:color="B45309" w:sz="6"/>
          <w:left w:val="single" w:color="B45309" w:sz="6"/>
          <w:bottom w:val="single" w:color="B45309" w:sz="6"/>
          <w:right w:val="single" w:color="B45309" w:sz="6"/>
          <w:insideH w:val="none" w:color="FFFFFF" w:sz="0"/>
          <w:insideV w:val="none" w:color="FFFFFF" w:sz="0"/>
        </w:tblBorders>
      </w:tblPr>
      <w:tblGrid>
        <w:gridCol w:w="100"/>
      </w:tblGrid>
      <w:tr>
        <w:tc>
          <w:tcPr>
            <w:tcW w:type="pct" w:w="100%"/>
            <w:shd w:fill="FFFBEB" w:val="clear"/>
            <w:tcMar>
              <w:top w:type="dxa" w:w="120"/>
              <w:left w:type="dxa" w:w="160"/>
              <w:bottom w:type="dxa" w:w="120"/>
              <w:right w:type="dxa" w:w="160"/>
            </w:tcMar>
          </w:tcPr>
          <w:p>
            <w:pPr>
              <w:spacing w:after="60"/>
            </w:pPr>
            <w:r>
              <w:rPr>
                <w:rFonts w:ascii="IBM Plex Sans" w:cs="IBM Plex Sans" w:eastAsia="IBM Plex Sans" w:hAnsi="IBM Plex Sans"/>
                <w:b/>
                <w:bCs/>
                <w:color w:val="B45309"/>
                <w:sz w:val="18"/>
                <w:szCs w:val="18"/>
              </w:rPr>
              <w:t xml:space="preserve">DASAR REGULASI</w:t>
            </w:r>
          </w:p>
          <w:p>
            <w:pPr>
              <w:spacing w:after="0"/>
            </w:pPr>
            <w:r>
              <w:rPr>
                <w:rFonts w:ascii="IBM Plex Mono" w:cs="IBM Plex Mono" w:eastAsia="IBM Plex Mono" w:hAnsi="IBM Plex Mono"/>
                <w:color w:val="334155"/>
                <w:sz w:val="18"/>
                <w:szCs w:val="18"/>
              </w:rPr>
              <w:t xml:space="preserve">Kepkonsil No. HK.01.02/KKI/1318/2026, Tabel 7 No. 24 (Halaman 59): “Gawat janin / Fetal distress”, ICD-10 O68.9, ICD-11 KB20 ; JA86.2. Keterangan/Populasi resmi: “Gangguan oksigenasi janin; indikasi tindakan segera.”</w:t>
            </w:r>
          </w:p>
        </w:tc>
      </w:tr>
    </w:tbl>
    <w:p>
      <w:pPr>
        <w:spacing w:after="160"/>
      </w:pPr>
    </w:p>
    <w:p>
      <w:pPr>
        <w:spacing w:after="160" w:line="300"/>
      </w:pPr>
      <w:r>
        <w:rPr>
          <w:rFonts w:ascii="IBM Plex Sans" w:cs="IBM Plex Sans" w:eastAsia="IBM Plex Sans" w:hAnsi="IBM Plex Sans"/>
          <w:color w:val="334155"/>
          <w:sz w:val="21"/>
          <w:szCs w:val="21"/>
        </w:rPr>
        <w:t xml:space="preserve">Gawat janin (fetal distress) adalah kondisi klinis yang menggambarkan gangguan oksigenasi janin (impaired fetal oxygenation) akibat insufisiensi pertukaran gas uteroplasenta pada periode antepartum atau, tersering, intrapartum, yang ditandai oleh perubahan pola denyut jantung janin (DJJ) atau parameter kesejahteraan janin lain yang mengindikasikan risiko asidemia metabolik signifikan sehingga memerlukan evaluasi dan tindakan klinis segera untuk mencegah morbiditas dan mortalitas perinatal.</w:t>
      </w:r>
    </w:p>
    <w:p>
      <w:pPr>
        <w:spacing w:after="160" w:line="300"/>
      </w:pPr>
      <w:r>
        <w:rPr>
          <w:rFonts w:ascii="IBM Plex Sans" w:cs="IBM Plex Sans" w:eastAsia="IBM Plex Sans" w:hAnsi="IBM Plex Sans"/>
          <w:color w:val="334155"/>
          <w:sz w:val="21"/>
          <w:szCs w:val="21"/>
        </w:rPr>
        <w:t xml:space="preserve">Sesuai Keterangan/Populasi resmi pada Tabel 7 No. 24 Kepkonsil, kondisi ini didefinisikan sebagai “gangguan oksigenasi janin; indikasi tindakan segera”, menegaskan bahwa diagnosis ini merupakan diagnosis kerja yang secara inheren memerlukan respons klinis waktu-kritis (time-critical), bukan semata deskripsi temuan pemantauan.</w:t>
      </w:r>
    </w:p>
    <w:p>
      <w:pPr>
        <w:spacing w:after="160" w:line="300"/>
      </w:pPr>
      <w:r>
        <w:rPr>
          <w:rFonts w:ascii="IBM Plex Sans" w:cs="IBM Plex Sans" w:eastAsia="IBM Plex Sans" w:hAnsi="IBM Plex Sans"/>
          <w:color w:val="334155"/>
          <w:sz w:val="21"/>
          <w:szCs w:val="21"/>
        </w:rPr>
        <w:t xml:space="preserve">Secara patofisiologi, gangguan oksigenasi janin timbul melalui rangkaian: penurunan perfusi/pertukaran gas uteroplasenta → penurunan tekanan parsial oksigen (PO2) janin → pergeseran metabolisme janin ke jalur anaerob → akumulasi asam laktat → asidemia metabolik. Kecepatan dan pola rangkaian ini berbeda-beda tergantung penyebab yang mendasari, sehingga literatur kontemporer membedakan beberapa pola hipoksia janin intrapartum: hipoksia akut (acute hypoxia, misalnya pada prolaps tali pusat atau ruptur uteri), hipoksia subakut (subacute hypoxia, misalnya pada takisistol berat), hipoksia evolving/gradual (evolving/gradual hypoxia, paling sering ditemukan pada persalinan lama), dan hipoksia kronik yang memberat (chronic hypoxia with reduced reserve, umumnya pada janin dengan restriksi pertumbuhan intrauterin).</w:t>
      </w:r>
    </w:p>
    <w:p>
      <w:pPr>
        <w:spacing w:after="160" w:line="300"/>
      </w:pPr>
      <w:r>
        <w:rPr>
          <w:rFonts w:ascii="IBM Plex Sans" w:cs="IBM Plex Sans" w:eastAsia="IBM Plex Sans" w:hAnsi="IBM Plex Sans"/>
          <w:color w:val="334155"/>
          <w:sz w:val="21"/>
          <w:szCs w:val="21"/>
        </w:rPr>
        <w:t xml:space="preserve">Istilah “gawat janin” bersifat generik secara historis dan pada literatur internasional kontemporer umumnya digantikan dengan istilah yang lebih deskriptif seperti “pola denyut jantung janin kategori II/III” (Category II/III fetal heart rate tracing) atau “kompromis janin intrapartum” (intrapartum fetal compromise) — lihat Bagian 12 untuk pembahasan perbandingan terminologi dan kerangka klasifikasi ini.</w:t>
      </w:r>
    </w:p>
    <w:p>
      <w:pPr>
        <w:pStyle w:val="Heading1"/>
        <w:spacing w:after="160" w:before="300"/>
      </w:pPr>
      <w:r>
        <w:rPr>
          <w:rFonts w:ascii="Source Serif 4" w:cs="Source Serif 4" w:eastAsia="Source Serif 4" w:hAnsi="Source Serif 4"/>
          <w:b/>
          <w:bCs/>
          <w:color w:val="4F46E5"/>
        </w:rPr>
        <w:t xml:space="preserve">2. Anamnesis</w:t>
      </w:r>
    </w:p>
    <w:p>
      <w:pPr>
        <w:spacing w:after="160" w:line="300"/>
      </w:pPr>
      <w:r>
        <w:rPr>
          <w:rFonts w:ascii="IBM Plex Sans" w:cs="IBM Plex Sans" w:eastAsia="IBM Plex Sans" w:hAnsi="IBM Plex Sans"/>
          <w:color w:val="334155"/>
          <w:sz w:val="21"/>
          <w:szCs w:val="21"/>
        </w:rPr>
        <w:t xml:space="preserve">Anamnesis diarahkan pada identifikasi faktor risiko dan gejala yang mendahului atau menyertai kecurigaan gangguan oksigenasi janin, meliputi:</w:t>
      </w:r>
    </w:p>
    <w:p>
      <w:pPr>
        <w:pStyle w:val="ListParagraph"/>
        <w:numPr>
          <w:ilvl w:val="0"/>
          <w:numId w:val="1"/>
        </w:numPr>
        <w:spacing w:after="90" w:line="280"/>
      </w:pPr>
      <w:r>
        <w:rPr>
          <w:rFonts w:ascii="IBM Plex Sans" w:cs="IBM Plex Sans" w:eastAsia="IBM Plex Sans" w:hAnsi="IBM Plex Sans"/>
          <w:color w:val="334155"/>
          <w:sz w:val="21"/>
          <w:szCs w:val="21"/>
        </w:rPr>
        <w:t xml:space="preserve">Persepsi ibu terhadap gerakan janin berkurang (reduced fetal movement/RGJ) — riwayat frekuensi dan intensitas gerak janin dalam 24 jam terakhir</w:t>
      </w:r>
    </w:p>
    <w:p>
      <w:pPr>
        <w:pStyle w:val="ListParagraph"/>
        <w:numPr>
          <w:ilvl w:val="0"/>
          <w:numId w:val="1"/>
        </w:numPr>
        <w:spacing w:after="90" w:line="280"/>
      </w:pPr>
      <w:r>
        <w:rPr>
          <w:rFonts w:ascii="IBM Plex Sans" w:cs="IBM Plex Sans" w:eastAsia="IBM Plex Sans" w:hAnsi="IBM Plex Sans"/>
          <w:color w:val="334155"/>
          <w:sz w:val="21"/>
          <w:szCs w:val="21"/>
        </w:rPr>
        <w:t xml:space="preserve">Karakteristik cairan ketuban saat ketuban pecah — warna hijau/kehitaman (mekonium) mengindikasikan kemungkinan stres janin sebelumnya</w:t>
      </w:r>
    </w:p>
    <w:p>
      <w:pPr>
        <w:pStyle w:val="ListParagraph"/>
        <w:numPr>
          <w:ilvl w:val="0"/>
          <w:numId w:val="1"/>
        </w:numPr>
        <w:spacing w:after="90" w:line="280"/>
      </w:pPr>
      <w:r>
        <w:rPr>
          <w:rFonts w:ascii="IBM Plex Sans" w:cs="IBM Plex Sans" w:eastAsia="IBM Plex Sans" w:hAnsi="IBM Plex Sans"/>
          <w:color w:val="334155"/>
          <w:sz w:val="21"/>
          <w:szCs w:val="21"/>
        </w:rPr>
        <w:t xml:space="preserve">Pola kontraksi uterus — kontraksi berlebihan/takisistol (&gt;5 kontraksi per 10 menit) yang dapat menurunkan perfusi uteroplasenta</w:t>
      </w:r>
    </w:p>
    <w:p>
      <w:pPr>
        <w:pStyle w:val="ListParagraph"/>
        <w:numPr>
          <w:ilvl w:val="0"/>
          <w:numId w:val="1"/>
        </w:numPr>
        <w:spacing w:after="90" w:line="280"/>
      </w:pPr>
      <w:r>
        <w:rPr>
          <w:rFonts w:ascii="IBM Plex Sans" w:cs="IBM Plex Sans" w:eastAsia="IBM Plex Sans" w:hAnsi="IBM Plex Sans"/>
          <w:color w:val="334155"/>
          <w:sz w:val="21"/>
          <w:szCs w:val="21"/>
        </w:rPr>
        <w:t xml:space="preserve">Riwayat demam maternal, keputihan berbau, atau tanda infeksi intrauterin (kecurigaan korioamnionitis)</w:t>
      </w:r>
    </w:p>
    <w:p>
      <w:pPr>
        <w:pStyle w:val="ListParagraph"/>
        <w:numPr>
          <w:ilvl w:val="0"/>
          <w:numId w:val="1"/>
        </w:numPr>
        <w:spacing w:after="90" w:line="280"/>
      </w:pPr>
      <w:r>
        <w:rPr>
          <w:rFonts w:ascii="IBM Plex Sans" w:cs="IBM Plex Sans" w:eastAsia="IBM Plex Sans" w:hAnsi="IBM Plex Sans"/>
          <w:color w:val="334155"/>
          <w:sz w:val="21"/>
          <w:szCs w:val="21"/>
        </w:rPr>
        <w:t xml:space="preserve">Riwayat perdarahan pervaginam (kecurigaan solusio plasenta atau plasenta previa)</w:t>
      </w:r>
    </w:p>
    <w:p>
      <w:pPr>
        <w:pStyle w:val="ListParagraph"/>
        <w:numPr>
          <w:ilvl w:val="0"/>
          <w:numId w:val="1"/>
        </w:numPr>
        <w:spacing w:after="90" w:line="280"/>
      </w:pPr>
      <w:r>
        <w:rPr>
          <w:rFonts w:ascii="IBM Plex Sans" w:cs="IBM Plex Sans" w:eastAsia="IBM Plex Sans" w:hAnsi="IBM Plex Sans"/>
          <w:color w:val="334155"/>
          <w:sz w:val="21"/>
          <w:szCs w:val="21"/>
        </w:rPr>
        <w:t xml:space="preserve">Riwayat seksio sesarea sebelumnya atau riwayat operasi uterus lain (risiko ruptur uteri)</w:t>
      </w:r>
    </w:p>
    <w:p>
      <w:pPr>
        <w:pStyle w:val="ListParagraph"/>
        <w:numPr>
          <w:ilvl w:val="0"/>
          <w:numId w:val="1"/>
        </w:numPr>
        <w:spacing w:after="90" w:line="280"/>
      </w:pPr>
      <w:r>
        <w:rPr>
          <w:rFonts w:ascii="IBM Plex Sans" w:cs="IBM Plex Sans" w:eastAsia="IBM Plex Sans" w:hAnsi="IBM Plex Sans"/>
          <w:color w:val="334155"/>
          <w:sz w:val="21"/>
          <w:szCs w:val="21"/>
        </w:rPr>
        <w:t xml:space="preserve">Komorbiditas kehamilan: preeklampsia/hipertensi gestasional, diabetes melitus gestasional, restriksi pertumbuhan intrauterin (IUGR), oligohidramnion, kehamilan postterm, ketuban pecah dini berkepanjangan</w:t>
      </w:r>
    </w:p>
    <w:p>
      <w:pPr>
        <w:pStyle w:val="ListParagraph"/>
        <w:numPr>
          <w:ilvl w:val="0"/>
          <w:numId w:val="1"/>
        </w:numPr>
        <w:spacing w:after="90" w:line="280"/>
      </w:pPr>
      <w:r>
        <w:rPr>
          <w:rFonts w:ascii="IBM Plex Sans" w:cs="IBM Plex Sans" w:eastAsia="IBM Plex Sans" w:hAnsi="IBM Plex Sans"/>
          <w:color w:val="334155"/>
          <w:sz w:val="21"/>
          <w:szCs w:val="21"/>
        </w:rPr>
        <w:t xml:space="preserve">Riwayat penggunaan oksitosin augmentasi/induksi persalinan dan analgesia epidural yang dapat memengaruhi pola DJJ</w:t>
      </w:r>
    </w:p>
    <w:p>
      <w:pPr>
        <w:pStyle w:val="Heading1"/>
        <w:spacing w:after="160" w:before="300"/>
      </w:pPr>
      <w:r>
        <w:rPr>
          <w:rFonts w:ascii="Source Serif 4" w:cs="Source Serif 4" w:eastAsia="Source Serif 4" w:hAnsi="Source Serif 4"/>
          <w:b/>
          <w:bCs/>
          <w:color w:val="4F46E5"/>
        </w:rPr>
        <w:t xml:space="preserve">3. Pemeriksaan Fisik</w:t>
      </w:r>
    </w:p>
    <w:p>
      <w:pPr>
        <w:spacing w:after="160" w:line="300"/>
      </w:pPr>
      <w:r>
        <w:rPr>
          <w:rFonts w:ascii="IBM Plex Sans" w:cs="IBM Plex Sans" w:eastAsia="IBM Plex Sans" w:hAnsi="IBM Plex Sans"/>
          <w:color w:val="334155"/>
          <w:sz w:val="21"/>
          <w:szCs w:val="21"/>
        </w:rPr>
        <w:t xml:space="preserve">Pemeriksaan fisik difokuskan pada penilaian kondisi maternal yang dapat memengaruhi oksigenasi janin serta penilaian langsung kesejahteraan janin:</w:t>
      </w:r>
    </w:p>
    <w:p>
      <w:pPr>
        <w:pStyle w:val="ListParagraph"/>
        <w:numPr>
          <w:ilvl w:val="0"/>
          <w:numId w:val="1"/>
        </w:numPr>
        <w:spacing w:after="90" w:line="280"/>
      </w:pPr>
      <w:r>
        <w:rPr>
          <w:rFonts w:ascii="IBM Plex Sans" w:cs="IBM Plex Sans" w:eastAsia="IBM Plex Sans" w:hAnsi="IBM Plex Sans"/>
          <w:color w:val="334155"/>
          <w:sz w:val="21"/>
          <w:szCs w:val="21"/>
        </w:rPr>
        <w:t xml:space="preserve">Tanda vital ibu: tekanan darah (deteksi hipotensi pasca-epidural atau hipertensi berat), nadi, suhu (demam sebagai penanda kemungkinan korioamnionitis), saturasi oksigen</w:t>
      </w:r>
    </w:p>
    <w:p>
      <w:pPr>
        <w:pStyle w:val="ListParagraph"/>
        <w:numPr>
          <w:ilvl w:val="0"/>
          <w:numId w:val="1"/>
        </w:numPr>
        <w:spacing w:after="90" w:line="280"/>
      </w:pPr>
      <w:r>
        <w:rPr>
          <w:rFonts w:ascii="IBM Plex Sans" w:cs="IBM Plex Sans" w:eastAsia="IBM Plex Sans" w:hAnsi="IBM Plex Sans"/>
          <w:color w:val="334155"/>
          <w:sz w:val="21"/>
          <w:szCs w:val="21"/>
        </w:rPr>
        <w:t xml:space="preserve">Pemeriksaan abdomen: tinggi fundus uteri, palpasi Leopold I-IV untuk taksiran berat janin dan presentasi, palpasi kontraksi (frekuensi, durasi, intensitas)</w:t>
      </w:r>
    </w:p>
    <w:p>
      <w:pPr>
        <w:pStyle w:val="ListParagraph"/>
        <w:numPr>
          <w:ilvl w:val="0"/>
          <w:numId w:val="1"/>
        </w:numPr>
        <w:spacing w:after="90" w:line="280"/>
      </w:pPr>
      <w:r>
        <w:rPr>
          <w:rFonts w:ascii="IBM Plex Sans" w:cs="IBM Plex Sans" w:eastAsia="IBM Plex Sans" w:hAnsi="IBM Plex Sans"/>
          <w:color w:val="334155"/>
          <w:sz w:val="21"/>
          <w:szCs w:val="21"/>
        </w:rPr>
        <w:t xml:space="preserve">Auskultasi denyut jantung janin intermiten menggunakan Doppler genggam atau fetoskop Pinard bila pemantauan elektronik kontinu tidak tersedia, atau evaluasi kardiotokografi (KTG) kontinu bila tersedia dan terindikasi</w:t>
      </w:r>
    </w:p>
    <w:p>
      <w:pPr>
        <w:pStyle w:val="ListParagraph"/>
        <w:numPr>
          <w:ilvl w:val="0"/>
          <w:numId w:val="1"/>
        </w:numPr>
        <w:spacing w:after="90" w:line="280"/>
      </w:pPr>
      <w:r>
        <w:rPr>
          <w:rFonts w:ascii="IBM Plex Sans" w:cs="IBM Plex Sans" w:eastAsia="IBM Plex Sans" w:hAnsi="IBM Plex Sans"/>
          <w:color w:val="334155"/>
          <w:sz w:val="21"/>
          <w:szCs w:val="21"/>
        </w:rPr>
        <w:t xml:space="preserve">Pemeriksaan dalam vagina: penilaian pembukaan dan pendataran serviks, stasion/penurunan bagian terbawah janin, karakteristik cairan ketuban (jernih vs mekonium kental/encer), serta eksklusi prolaps tali pusat</w:t>
      </w:r>
    </w:p>
    <w:p>
      <w:pPr>
        <w:pStyle w:val="ListParagraph"/>
        <w:numPr>
          <w:ilvl w:val="0"/>
          <w:numId w:val="1"/>
        </w:numPr>
        <w:spacing w:after="90" w:line="280"/>
      </w:pPr>
      <w:r>
        <w:rPr>
          <w:rFonts w:ascii="IBM Plex Sans" w:cs="IBM Plex Sans" w:eastAsia="IBM Plex Sans" w:hAnsi="IBM Plex Sans"/>
          <w:color w:val="334155"/>
          <w:sz w:val="21"/>
          <w:szCs w:val="21"/>
        </w:rPr>
        <w:t xml:space="preserve">Penilaian tanda kegawatdaruratan obstetri penyerta bila dicurigai: nyeri perut hebat dan kontur uterus abnormal (kecurigaan ruptur uteri), nyeri tekan uterus dan perdarahan gelap (kecurigaan solusio plasenta)</w:t>
      </w:r>
    </w:p>
    <w:p>
      <w:pPr>
        <w:pStyle w:val="Heading1"/>
        <w:spacing w:after="160" w:before="300"/>
      </w:pPr>
      <w:r>
        <w:rPr>
          <w:rFonts w:ascii="Source Serif 4" w:cs="Source Serif 4" w:eastAsia="Source Serif 4" w:hAnsi="Source Serif 4"/>
          <w:b/>
          <w:bCs/>
          <w:color w:val="4F46E5"/>
        </w:rPr>
        <w:t xml:space="preserve">4. Kriteria Diagnosis</w:t>
      </w:r>
    </w:p>
    <w:tbl>
      <w:tblPr>
        <w:tblW w:type="pct" w:w="100%"/>
        <w:tblBorders>
          <w:top w:val="single" w:color="B45309" w:sz="6"/>
          <w:left w:val="single" w:color="B45309" w:sz="6"/>
          <w:bottom w:val="single" w:color="B45309" w:sz="6"/>
          <w:right w:val="single" w:color="B45309" w:sz="6"/>
          <w:insideH w:val="none" w:color="FFFFFF" w:sz="0"/>
          <w:insideV w:val="none" w:color="FFFFFF" w:sz="0"/>
        </w:tblBorders>
      </w:tblPr>
      <w:tblGrid>
        <w:gridCol w:w="100"/>
      </w:tblGrid>
      <w:tr>
        <w:tc>
          <w:tcPr>
            <w:tcW w:type="pct" w:w="100%"/>
            <w:shd w:fill="FFFBEB" w:val="clear"/>
            <w:tcMar>
              <w:top w:type="dxa" w:w="120"/>
              <w:left w:type="dxa" w:w="160"/>
              <w:bottom w:type="dxa" w:w="120"/>
              <w:right w:type="dxa" w:w="160"/>
            </w:tcMar>
          </w:tcPr>
          <w:p>
            <w:pPr>
              <w:spacing w:after="60"/>
            </w:pPr>
            <w:r>
              <w:rPr>
                <w:rFonts w:ascii="IBM Plex Sans" w:cs="IBM Plex Sans" w:eastAsia="IBM Plex Sans" w:hAnsi="IBM Plex Sans"/>
                <w:b/>
                <w:bCs/>
                <w:color w:val="B45309"/>
                <w:sz w:val="18"/>
                <w:szCs w:val="18"/>
              </w:rPr>
              <w:t xml:space="preserve">DASAR REGULASI</w:t>
            </w:r>
          </w:p>
          <w:p>
            <w:pPr>
              <w:spacing w:after="0"/>
            </w:pPr>
            <w:r>
              <w:rPr>
                <w:rFonts w:ascii="IBM Plex Mono" w:cs="IBM Plex Mono" w:eastAsia="IBM Plex Mono" w:hAnsi="IBM Plex Mono"/>
                <w:color w:val="334155"/>
                <w:sz w:val="18"/>
                <w:szCs w:val="18"/>
              </w:rPr>
              <w:t xml:space="preserve">Kode diagnosis telah diverifikasi ulang terhadap Tabel 7 No. 24 Kepkonsil No. HK.01.02/KKI/1318/2026 (bukan disalin mentah dari penunjuk lokasi prompt individual): ICD-10 O68.9 dan ICD-11 KB20 ; JA86.2.</w:t>
            </w:r>
          </w:p>
        </w:tc>
      </w:tr>
    </w:tbl>
    <w:p>
      <w:pPr>
        <w:spacing w:after="160"/>
      </w:pPr>
    </w:p>
    <w:p>
      <w:pPr>
        <w:spacing w:after="160" w:line="300"/>
      </w:pPr>
      <w:r>
        <w:rPr>
          <w:rFonts w:ascii="IBM Plex Sans" w:cs="IBM Plex Sans" w:eastAsia="IBM Plex Sans" w:hAnsi="IBM Plex Sans"/>
          <w:color w:val="334155"/>
          <w:sz w:val="21"/>
          <w:szCs w:val="21"/>
        </w:rPr>
        <w:t xml:space="preserve">Diagnosis gawat janin (fetal distress, ICD-10 O68.9; ICD-11 KB20 ; JA86.2) ditegakkan berdasarkan kombinasi temuan pemantauan elektronik janin dan/atau pemeriksaan penunjang lain yang menunjukkan kemungkinan gangguan oksigenasi. Dua kerangka interpretasi kardiotokografi (KTG) yang berlaku secara internasional dan dapat digunakan saling melengkapi diuraikan pada Bagian 12; kriteria berikut merangkum kedua kerangka tersebut:</w:t>
      </w:r>
    </w:p>
    <w:p>
      <w:pPr>
        <w:pStyle w:val="ListParagraph"/>
        <w:numPr>
          <w:ilvl w:val="0"/>
          <w:numId w:val="1"/>
        </w:numPr>
        <w:spacing w:after="90" w:line="280"/>
      </w:pPr>
      <w:r>
        <w:rPr>
          <w:rFonts w:ascii="IBM Plex Sans" w:cs="IBM Plex Sans" w:eastAsia="IBM Plex Sans" w:hAnsi="IBM Plex Sans"/>
          <w:color w:val="334155"/>
          <w:sz w:val="21"/>
          <w:szCs w:val="21"/>
        </w:rPr>
        <w:t xml:space="preserve">Pola kardiotokografi (KTG) yang memenuhi kriteria Kategori II atau Kategori III menurut sistem klasifikasi 3-tingkat (three-tier system, NICHD/ACOG) — meliputi bradikardia janin persisten (&lt;110 kali/menit selama &gt;10 menit), takikardia janin (&gt;160 kali/menit), deselerasi lambat berulang (recurrent late decelerations), deselerasi variabel berat berulang, variabilitas minimal atau tidak ada tanpa akselerasi, atau pola sinusoidal</w:t>
      </w:r>
    </w:p>
    <w:p>
      <w:pPr>
        <w:pStyle w:val="ListParagraph"/>
        <w:numPr>
          <w:ilvl w:val="0"/>
          <w:numId w:val="1"/>
        </w:numPr>
        <w:spacing w:after="90" w:line="280"/>
      </w:pPr>
      <w:r>
        <w:rPr>
          <w:rFonts w:ascii="IBM Plex Sans" w:cs="IBM Plex Sans" w:eastAsia="IBM Plex Sans" w:hAnsi="IBM Plex Sans"/>
          <w:color w:val="334155"/>
          <w:sz w:val="21"/>
          <w:szCs w:val="21"/>
        </w:rPr>
        <w:t xml:space="preserve">Pada kerangka interpretasi fisiologis (physiological CTG interpretation), pola di atas diklasifikasikan lebih lanjut menurut jenis hipoksia yang mendasari (akut, subakut, evolving/gradual, atau kronik memberat) berdasarkan kombinasi garis dasar (baseline), variabilitas, dan karakteristik deselerasi, guna mengarahkan urgensi dan jenis intervensi</w:t>
      </w:r>
    </w:p>
    <w:p>
      <w:pPr>
        <w:pStyle w:val="ListParagraph"/>
        <w:numPr>
          <w:ilvl w:val="0"/>
          <w:numId w:val="1"/>
        </w:numPr>
        <w:spacing w:after="90" w:line="280"/>
      </w:pPr>
      <w:r>
        <w:rPr>
          <w:rFonts w:ascii="IBM Plex Sans" w:cs="IBM Plex Sans" w:eastAsia="IBM Plex Sans" w:hAnsi="IBM Plex Sans"/>
          <w:color w:val="334155"/>
          <w:sz w:val="21"/>
          <w:szCs w:val="21"/>
        </w:rPr>
        <w:t xml:space="preserve">Profil biofisik (biophysical profile) dengan skor ≤6/10</w:t>
      </w:r>
    </w:p>
    <w:p>
      <w:pPr>
        <w:pStyle w:val="ListParagraph"/>
        <w:numPr>
          <w:ilvl w:val="0"/>
          <w:numId w:val="1"/>
        </w:numPr>
        <w:spacing w:after="90" w:line="280"/>
      </w:pPr>
      <w:r>
        <w:rPr>
          <w:rFonts w:ascii="IBM Plex Sans" w:cs="IBM Plex Sans" w:eastAsia="IBM Plex Sans" w:hAnsi="IBM Plex Sans"/>
          <w:color w:val="334155"/>
          <w:sz w:val="21"/>
          <w:szCs w:val="21"/>
        </w:rPr>
        <w:t xml:space="preserve">Indeks cairan ketuban abnormal (oligohidramnion) sebagai faktor pendukung risiko kompresi tali pusat</w:t>
      </w:r>
    </w:p>
    <w:p>
      <w:pPr>
        <w:pStyle w:val="ListParagraph"/>
        <w:numPr>
          <w:ilvl w:val="0"/>
          <w:numId w:val="1"/>
        </w:numPr>
        <w:spacing w:after="90" w:line="280"/>
      </w:pPr>
      <w:r>
        <w:rPr>
          <w:rFonts w:ascii="IBM Plex Sans" w:cs="IBM Plex Sans" w:eastAsia="IBM Plex Sans" w:hAnsi="IBM Plex Sans"/>
          <w:color w:val="334155"/>
          <w:sz w:val="21"/>
          <w:szCs w:val="21"/>
        </w:rPr>
        <w:t xml:space="preserve">Analisis gas darah kulit kepala janin (fetal scalp blood sampling), bila fasilitas tersedia, menunjukkan pH &lt;7,20 yang mengindikasikan asidosis</w:t>
      </w:r>
    </w:p>
    <w:p>
      <w:pPr>
        <w:pStyle w:val="ListParagraph"/>
        <w:numPr>
          <w:ilvl w:val="0"/>
          <w:numId w:val="1"/>
        </w:numPr>
        <w:spacing w:after="90" w:line="280"/>
      </w:pPr>
      <w:r>
        <w:rPr>
          <w:rFonts w:ascii="IBM Plex Sans" w:cs="IBM Plex Sans" w:eastAsia="IBM Plex Sans" w:hAnsi="IBM Plex Sans"/>
          <w:color w:val="334155"/>
          <w:sz w:val="21"/>
          <w:szCs w:val="21"/>
        </w:rPr>
        <w:t xml:space="preserve">Doppler velocimetry arteri umbilikalis dengan aliran diastolik akhir tidak ada (absent) atau terbalik (reversed) pada konteks restriksi pertumbuhan intrauterin</w:t>
      </w:r>
    </w:p>
    <w:p>
      <w:pPr>
        <w:spacing w:after="160" w:line="300"/>
      </w:pPr>
      <w:r>
        <w:rPr>
          <w:rFonts w:ascii="IBM Plex Sans" w:cs="IBM Plex Sans" w:eastAsia="IBM Plex Sans" w:hAnsi="IBM Plex Sans"/>
          <w:color w:val="334155"/>
          <w:sz w:val="21"/>
          <w:szCs w:val="21"/>
        </w:rPr>
        <w:t xml:space="preserve">Diagnosis definitif retrospektif dikonfirmasi melalui analisis gas darah tali pusat segera pascalahir (lihat Bagian 6).</w:t>
      </w:r>
    </w:p>
    <w:p>
      <w:pPr>
        <w:pStyle w:val="Heading1"/>
        <w:spacing w:after="160" w:before="300"/>
      </w:pPr>
      <w:r>
        <w:rPr>
          <w:rFonts w:ascii="Source Serif 4" w:cs="Source Serif 4" w:eastAsia="Source Serif 4" w:hAnsi="Source Serif 4"/>
          <w:b/>
          <w:bCs/>
          <w:color w:val="4F46E5"/>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Gawat janin (fetal distress) intrapartum — ICD-10 O68.9; ICD-11 KB20 ; JA86.2.</w:t>
      </w:r>
    </w:p>
    <w:p>
      <w:pPr>
        <w:spacing w:after="160" w:line="300"/>
      </w:pPr>
      <w:r>
        <w:rPr>
          <w:rFonts w:ascii="IBM Plex Sans" w:cs="IBM Plex Sans" w:eastAsia="IBM Plex Sans" w:hAnsi="IBM Plex Sans"/>
          <w:color w:val="334155"/>
          <w:sz w:val="21"/>
          <w:szCs w:val="21"/>
        </w:rPr>
        <w:t xml:space="preserve">Diagnosis banding yang perlu disingkirkan sebelum menetapkan tata laksana definitif:</w:t>
      </w:r>
    </w:p>
    <w:p>
      <w:pPr>
        <w:pStyle w:val="ListParagraph"/>
        <w:numPr>
          <w:ilvl w:val="0"/>
          <w:numId w:val="1"/>
        </w:numPr>
        <w:spacing w:after="90" w:line="280"/>
      </w:pPr>
      <w:r>
        <w:rPr>
          <w:rFonts w:ascii="IBM Plex Sans" w:cs="IBM Plex Sans" w:eastAsia="IBM Plex Sans" w:hAnsi="IBM Plex Sans"/>
          <w:color w:val="334155"/>
          <w:sz w:val="21"/>
          <w:szCs w:val="21"/>
        </w:rPr>
        <w:t xml:space="preserve">Kompresi tali pusat sesaat/transien akibat posisi janin, tanpa disertai kompromi oksigenasi berkelanjutan</w:t>
      </w:r>
    </w:p>
    <w:p>
      <w:pPr>
        <w:pStyle w:val="ListParagraph"/>
        <w:numPr>
          <w:ilvl w:val="0"/>
          <w:numId w:val="1"/>
        </w:numPr>
        <w:spacing w:after="90" w:line="280"/>
      </w:pPr>
      <w:r>
        <w:rPr>
          <w:rFonts w:ascii="IBM Plex Sans" w:cs="IBM Plex Sans" w:eastAsia="IBM Plex Sans" w:hAnsi="IBM Plex Sans"/>
          <w:color w:val="334155"/>
          <w:sz w:val="21"/>
          <w:szCs w:val="21"/>
        </w:rPr>
        <w:t xml:space="preserve">Takisistol uterus akibat augmentasi oksitosin berlebihan yang reversibel dengan penghentian infus</w:t>
      </w:r>
    </w:p>
    <w:p>
      <w:pPr>
        <w:pStyle w:val="ListParagraph"/>
        <w:numPr>
          <w:ilvl w:val="0"/>
          <w:numId w:val="1"/>
        </w:numPr>
        <w:spacing w:after="90" w:line="280"/>
      </w:pPr>
      <w:r>
        <w:rPr>
          <w:rFonts w:ascii="IBM Plex Sans" w:cs="IBM Plex Sans" w:eastAsia="IBM Plex Sans" w:hAnsi="IBM Plex Sans"/>
          <w:color w:val="334155"/>
          <w:sz w:val="21"/>
          <w:szCs w:val="21"/>
        </w:rPr>
        <w:t xml:space="preserve">Demam maternal/korioamnionitis dengan takikardia janin reaktif sekunder</w:t>
      </w:r>
    </w:p>
    <w:p>
      <w:pPr>
        <w:pStyle w:val="ListParagraph"/>
        <w:numPr>
          <w:ilvl w:val="0"/>
          <w:numId w:val="1"/>
        </w:numPr>
        <w:spacing w:after="90" w:line="280"/>
      </w:pPr>
      <w:r>
        <w:rPr>
          <w:rFonts w:ascii="IBM Plex Sans" w:cs="IBM Plex Sans" w:eastAsia="IBM Plex Sans" w:hAnsi="IBM Plex Sans"/>
          <w:color w:val="334155"/>
          <w:sz w:val="21"/>
          <w:szCs w:val="21"/>
        </w:rPr>
        <w:t xml:space="preserve">Hipotensi maternal pascaanalgesia epidural yang responsif terhadap koreksi posisi dan cairan</w:t>
      </w:r>
    </w:p>
    <w:p>
      <w:pPr>
        <w:pStyle w:val="ListParagraph"/>
        <w:numPr>
          <w:ilvl w:val="0"/>
          <w:numId w:val="1"/>
        </w:numPr>
        <w:spacing w:after="90" w:line="280"/>
      </w:pPr>
      <w:r>
        <w:rPr>
          <w:rFonts w:ascii="IBM Plex Sans" w:cs="IBM Plex Sans" w:eastAsia="IBM Plex Sans" w:hAnsi="IBM Plex Sans"/>
          <w:color w:val="334155"/>
          <w:sz w:val="21"/>
          <w:szCs w:val="21"/>
        </w:rPr>
        <w:t xml:space="preserve">Solusio plasenta (perdarahan, nyeri uterus, kontur uterus tegang)</w:t>
      </w:r>
    </w:p>
    <w:p>
      <w:pPr>
        <w:pStyle w:val="ListParagraph"/>
        <w:numPr>
          <w:ilvl w:val="0"/>
          <w:numId w:val="1"/>
        </w:numPr>
        <w:spacing w:after="90" w:line="280"/>
      </w:pPr>
      <w:r>
        <w:rPr>
          <w:rFonts w:ascii="IBM Plex Sans" w:cs="IBM Plex Sans" w:eastAsia="IBM Plex Sans" w:hAnsi="IBM Plex Sans"/>
          <w:color w:val="334155"/>
          <w:sz w:val="21"/>
          <w:szCs w:val="21"/>
        </w:rPr>
        <w:t xml:space="preserve">Ruptur uteri (nyeri hebat mendadak, perubahan kontur abdomen, syok)</w:t>
      </w:r>
    </w:p>
    <w:p>
      <w:pPr>
        <w:pStyle w:val="ListParagraph"/>
        <w:numPr>
          <w:ilvl w:val="0"/>
          <w:numId w:val="1"/>
        </w:numPr>
        <w:spacing w:after="90" w:line="280"/>
      </w:pPr>
      <w:r>
        <w:rPr>
          <w:rFonts w:ascii="IBM Plex Sans" w:cs="IBM Plex Sans" w:eastAsia="IBM Plex Sans" w:hAnsi="IBM Plex Sans"/>
          <w:color w:val="334155"/>
          <w:sz w:val="21"/>
          <w:szCs w:val="21"/>
        </w:rPr>
        <w:t xml:space="preserve">Prolaps tali pusat (teraba tali pusat pada pemeriksaan dalam, deselerasi variabel berat mendadak)</w:t>
      </w:r>
    </w:p>
    <w:p>
      <w:pPr>
        <w:pStyle w:val="ListParagraph"/>
        <w:numPr>
          <w:ilvl w:val="0"/>
          <w:numId w:val="1"/>
        </w:numPr>
        <w:spacing w:after="90" w:line="280"/>
      </w:pPr>
      <w:r>
        <w:rPr>
          <w:rFonts w:ascii="IBM Plex Sans" w:cs="IBM Plex Sans" w:eastAsia="IBM Plex Sans" w:hAnsi="IBM Plex Sans"/>
          <w:color w:val="334155"/>
          <w:sz w:val="21"/>
          <w:szCs w:val="21"/>
        </w:rPr>
        <w:t xml:space="preserve">Anemia janin berat (misalnya akibat perdarahan fetomaternal atau isoimunisasi)</w:t>
      </w:r>
    </w:p>
    <w:p>
      <w:pPr>
        <w:pStyle w:val="ListParagraph"/>
        <w:numPr>
          <w:ilvl w:val="0"/>
          <w:numId w:val="1"/>
        </w:numPr>
        <w:spacing w:after="90" w:line="280"/>
      </w:pPr>
      <w:r>
        <w:rPr>
          <w:rFonts w:ascii="IBM Plex Sans" w:cs="IBM Plex Sans" w:eastAsia="IBM Plex Sans" w:hAnsi="IBM Plex Sans"/>
          <w:color w:val="334155"/>
          <w:sz w:val="21"/>
          <w:szCs w:val="21"/>
        </w:rPr>
        <w:t xml:space="preserve">Aritmia janin kongenital yang menyerupai pola DJJ abnormal namun bersifat kronik/struktural</w:t>
      </w:r>
    </w:p>
    <w:p>
      <w:pPr>
        <w:pStyle w:val="Heading1"/>
        <w:spacing w:after="160" w:before="300"/>
      </w:pPr>
      <w:r>
        <w:rPr>
          <w:rFonts w:ascii="Source Serif 4" w:cs="Source Serif 4" w:eastAsia="Source Serif 4" w:hAnsi="Source Serif 4"/>
          <w:b/>
          <w:bCs/>
          <w:color w:val="4F46E5"/>
        </w:rPr>
        <w:t xml:space="preserve">6. Pemeriksaan Penunjang</w:t>
      </w:r>
    </w:p>
    <w:p>
      <w:pPr>
        <w:spacing w:after="160" w:line="300"/>
      </w:pPr>
      <w:r>
        <w:rPr>
          <w:rFonts w:ascii="IBM Plex Sans" w:cs="IBM Plex Sans" w:eastAsia="IBM Plex Sans" w:hAnsi="IBM Plex Sans"/>
          <w:color w:val="334155"/>
          <w:sz w:val="21"/>
          <w:szCs w:val="21"/>
        </w:rPr>
        <w:t xml:space="preserve">Pemeriksaan penunjang berikut digunakan untuk menegakkan, mengkonfirmasi, atau memantau perkembangan diagnosis:</w:t>
      </w:r>
    </w:p>
    <w:p>
      <w:pPr>
        <w:pStyle w:val="ListParagraph"/>
        <w:numPr>
          <w:ilvl w:val="0"/>
          <w:numId w:val="1"/>
        </w:numPr>
        <w:spacing w:after="90" w:line="280"/>
      </w:pPr>
      <w:r>
        <w:rPr>
          <w:rFonts w:ascii="IBM Plex Sans" w:cs="IBM Plex Sans" w:eastAsia="IBM Plex Sans" w:hAnsi="IBM Plex Sans"/>
          <w:color w:val="334155"/>
          <w:sz w:val="21"/>
          <w:szCs w:val="21"/>
        </w:rPr>
        <w:t xml:space="preserve">Kardiotokografi (KTG) kontinu — modalitas standar utama pemantauan intrapartum pada kehamilan risiko tinggi atau saat dicurigai gangguan oksigenasi</w:t>
      </w:r>
    </w:p>
    <w:p>
      <w:pPr>
        <w:pStyle w:val="ListParagraph"/>
        <w:numPr>
          <w:ilvl w:val="0"/>
          <w:numId w:val="1"/>
        </w:numPr>
        <w:spacing w:after="90" w:line="280"/>
      </w:pPr>
      <w:r>
        <w:rPr>
          <w:rFonts w:ascii="IBM Plex Sans" w:cs="IBM Plex Sans" w:eastAsia="IBM Plex Sans" w:hAnsi="IBM Plex Sans"/>
          <w:color w:val="334155"/>
          <w:sz w:val="21"/>
          <w:szCs w:val="21"/>
        </w:rPr>
        <w:t xml:space="preserve">Ultrasonografi (USG) untuk penilaian profil biofisik, indeks cairan ketuban, dan evaluasi morfologi/lokasi plasenta</w:t>
      </w:r>
    </w:p>
    <w:p>
      <w:pPr>
        <w:pStyle w:val="ListParagraph"/>
        <w:numPr>
          <w:ilvl w:val="0"/>
          <w:numId w:val="1"/>
        </w:numPr>
        <w:spacing w:after="90" w:line="280"/>
      </w:pPr>
      <w:r>
        <w:rPr>
          <w:rFonts w:ascii="IBM Plex Sans" w:cs="IBM Plex Sans" w:eastAsia="IBM Plex Sans" w:hAnsi="IBM Plex Sans"/>
          <w:color w:val="334155"/>
          <w:sz w:val="21"/>
          <w:szCs w:val="21"/>
        </w:rPr>
        <w:t xml:space="preserve">Doppler velocimetry arteri umbilikalis dan arteri serebral media, terutama pada kehamilan dengan kecurigaan restriksi pertumbuhan intrauterin</w:t>
      </w:r>
    </w:p>
    <w:p>
      <w:pPr>
        <w:pStyle w:val="ListParagraph"/>
        <w:numPr>
          <w:ilvl w:val="0"/>
          <w:numId w:val="1"/>
        </w:numPr>
        <w:spacing w:after="90" w:line="280"/>
      </w:pPr>
      <w:r>
        <w:rPr>
          <w:rFonts w:ascii="IBM Plex Sans" w:cs="IBM Plex Sans" w:eastAsia="IBM Plex Sans" w:hAnsi="IBM Plex Sans"/>
          <w:color w:val="334155"/>
          <w:sz w:val="21"/>
          <w:szCs w:val="21"/>
        </w:rPr>
        <w:t xml:space="preserve">Analisis gas darah tali pusat (arteri dan vena umbilikalis) segera setelah lahir untuk konfirmasi retrospektif derajat asidemia</w:t>
      </w:r>
    </w:p>
    <w:p>
      <w:pPr>
        <w:pStyle w:val="ListParagraph"/>
        <w:numPr>
          <w:ilvl w:val="0"/>
          <w:numId w:val="1"/>
        </w:numPr>
        <w:spacing w:after="90" w:line="280"/>
      </w:pPr>
      <w:r>
        <w:rPr>
          <w:rFonts w:ascii="IBM Plex Sans" w:cs="IBM Plex Sans" w:eastAsia="IBM Plex Sans" w:hAnsi="IBM Plex Sans"/>
          <w:color w:val="334155"/>
          <w:sz w:val="21"/>
          <w:szCs w:val="21"/>
        </w:rPr>
        <w:t xml:space="preserve">Pemeriksaan laboratorium ibu (darah lengkap, elektrolit, penanda infeksi) bila dicurigai korioamnionitis, sepsis, atau dehidrasi sebagai faktor pencetus</w:t>
      </w:r>
    </w:p>
    <w:p>
      <w:pPr>
        <w:spacing w:after="160" w:line="300"/>
      </w:pPr>
      <w:r>
        <w:rPr>
          <w:rFonts w:ascii="IBM Plex Sans" w:cs="IBM Plex Sans" w:eastAsia="IBM Plex Sans" w:hAnsi="IBM Plex Sans"/>
          <w:color w:val="334155"/>
          <w:sz w:val="21"/>
          <w:szCs w:val="21"/>
        </w:rPr>
        <w:t xml:space="preserve">Dua modalitas tambahan berikut secara historis pernah diusulkan sebagai pelengkap KTG, namun berdasarkan tinjauan bukti terkini tidak direkomendasikan untuk penggunaan rutin: pulse oximetry janin intrapartum, karena belum terbukti menurunkan angka persalinan operatif maupun memperbaiki luaran neonatal secara konsisten; dan analisis segmen-ST elektrokardiogram janin (STAN), karena tinjauan sistematis dan meta-analisis terbaru terhadap uji klinis acak yang tersedia tidak menunjukkan manfaat tambahan yang bermakna terhadap luaran intrapartum dibandingkan KTG saja. Kedua modalitas ini dapat dipertimbangkan secara selektif di pusat rujukan dengan protokol dan pelatihan khusus, bukan sebagai standar pemeriksaan penunjang lini pertama.</w:t>
      </w:r>
    </w:p>
    <w:p>
      <w:pPr>
        <w:pStyle w:val="Heading1"/>
        <w:spacing w:after="160" w:before="300"/>
      </w:pPr>
      <w:r>
        <w:rPr>
          <w:rFonts w:ascii="Source Serif 4" w:cs="Source Serif 4" w:eastAsia="Source Serif 4" w:hAnsi="Source Serif 4"/>
          <w:b/>
          <w:bCs/>
          <w:color w:val="4F46E5"/>
        </w:rPr>
        <w:t xml:space="preserve">7. Tata Laksana</w:t>
      </w:r>
    </w:p>
    <w:p>
      <w:pPr>
        <w:pStyle w:val="Heading2"/>
        <w:spacing w:after="120" w:before="200"/>
      </w:pPr>
      <w:r>
        <w:rPr>
          <w:rFonts w:ascii="Source Serif 4" w:cs="Source Serif 4" w:eastAsia="Source Serif 4" w:hAnsi="Source Serif 4"/>
          <w:b/>
          <w:bCs/>
          <w:color w:val="B45309"/>
        </w:rPr>
        <w:t xml:space="preserve">7.1 Tata Laksana Non-Farmakologis</w:t>
      </w:r>
    </w:p>
    <w:p>
      <w:pPr>
        <w:spacing w:after="160" w:line="300"/>
      </w:pPr>
      <w:r>
        <w:rPr>
          <w:rFonts w:ascii="IBM Plex Sans" w:cs="IBM Plex Sans" w:eastAsia="IBM Plex Sans" w:hAnsi="IBM Plex Sans"/>
          <w:color w:val="334155"/>
          <w:sz w:val="21"/>
          <w:szCs w:val="21"/>
        </w:rPr>
        <w:t xml:space="preserve">Langkah resusitasi intrauterin (intrauterine resuscitation) merupakan tindakan lini pertama yang dilakukan segera saat pola DJJ mencurigakan atau abnormal terdeteksi, sambil mempersiapkan evaluasi dan intervensi lanjutan:</w:t>
      </w:r>
    </w:p>
    <w:p>
      <w:pPr>
        <w:pStyle w:val="ListParagraph"/>
        <w:numPr>
          <w:ilvl w:val="0"/>
          <w:numId w:val="1"/>
        </w:numPr>
        <w:spacing w:after="90" w:line="280"/>
      </w:pPr>
      <w:r>
        <w:rPr>
          <w:rFonts w:ascii="IBM Plex Sans" w:cs="IBM Plex Sans" w:eastAsia="IBM Plex Sans" w:hAnsi="IBM Plex Sans"/>
          <w:color w:val="334155"/>
          <w:sz w:val="21"/>
          <w:szCs w:val="21"/>
        </w:rPr>
        <w:t xml:space="preserve">Reposisi ibu ke posisi lateral (kiri atau kanan) untuk mengurangi kompresi vena kava inferior dan memperbaiki perfusi uteroplasenta</w:t>
      </w:r>
    </w:p>
    <w:p>
      <w:pPr>
        <w:pStyle w:val="ListParagraph"/>
        <w:numPr>
          <w:ilvl w:val="0"/>
          <w:numId w:val="1"/>
        </w:numPr>
        <w:spacing w:after="90" w:line="280"/>
      </w:pPr>
      <w:r>
        <w:rPr>
          <w:rFonts w:ascii="IBM Plex Sans" w:cs="IBM Plex Sans" w:eastAsia="IBM Plex Sans" w:hAnsi="IBM Plex Sans"/>
          <w:color w:val="334155"/>
          <w:sz w:val="21"/>
          <w:szCs w:val="21"/>
        </w:rPr>
        <w:t xml:space="preserve">Koreksi hipotensi maternal dengan bolus cairan intravena isotonik, terutama pasca-analgesia epidural</w:t>
      </w:r>
    </w:p>
    <w:p>
      <w:pPr>
        <w:pStyle w:val="ListParagraph"/>
        <w:numPr>
          <w:ilvl w:val="0"/>
          <w:numId w:val="1"/>
        </w:numPr>
        <w:spacing w:after="90" w:line="280"/>
      </w:pPr>
      <w:r>
        <w:rPr>
          <w:rFonts w:ascii="IBM Plex Sans" w:cs="IBM Plex Sans" w:eastAsia="IBM Plex Sans" w:hAnsi="IBM Plex Sans"/>
          <w:color w:val="334155"/>
          <w:sz w:val="21"/>
          <w:szCs w:val="21"/>
        </w:rPr>
        <w:t xml:space="preserve">Pengurangan atau penghentian sementara agen augmentasi/induksi (oksitosin) bila terdapat takisistol uterus</w:t>
      </w:r>
    </w:p>
    <w:p>
      <w:pPr>
        <w:pStyle w:val="ListParagraph"/>
        <w:numPr>
          <w:ilvl w:val="0"/>
          <w:numId w:val="1"/>
        </w:numPr>
        <w:spacing w:after="90" w:line="280"/>
      </w:pPr>
      <w:r>
        <w:rPr>
          <w:rFonts w:ascii="IBM Plex Sans" w:cs="IBM Plex Sans" w:eastAsia="IBM Plex Sans" w:hAnsi="IBM Plex Sans"/>
          <w:color w:val="334155"/>
          <w:sz w:val="21"/>
          <w:szCs w:val="21"/>
        </w:rPr>
        <w:t xml:space="preserve">Amnioinfusi pada kasus oligohidramnion atau deselerasi variabel berat berulang akibat kompresi tali pusat</w:t>
      </w:r>
    </w:p>
    <w:p>
      <w:pPr>
        <w:pStyle w:val="ListParagraph"/>
        <w:numPr>
          <w:ilvl w:val="0"/>
          <w:numId w:val="1"/>
        </w:numPr>
        <w:spacing w:after="90" w:line="280"/>
      </w:pPr>
      <w:r>
        <w:rPr>
          <w:rFonts w:ascii="IBM Plex Sans" w:cs="IBM Plex Sans" w:eastAsia="IBM Plex Sans" w:hAnsi="IBM Plex Sans"/>
          <w:color w:val="334155"/>
          <w:sz w:val="21"/>
          <w:szCs w:val="21"/>
        </w:rPr>
        <w:t xml:space="preserve">Persiapan segera fasilitas dan tim untuk persalinan operatif (vakum/forsep atau seksio sesarea emergensi) sesuai indikasi</w:t>
      </w:r>
    </w:p>
    <w:p>
      <w:pPr>
        <w:spacing w:after="160" w:line="300"/>
      </w:pPr>
      <w:r>
        <w:rPr>
          <w:rFonts w:ascii="IBM Plex Sans" w:cs="IBM Plex Sans" w:eastAsia="IBM Plex Sans" w:hAnsi="IBM Plex Sans"/>
          <w:color w:val="334155"/>
          <w:sz w:val="21"/>
          <w:szCs w:val="21"/>
        </w:rPr>
        <w:t xml:space="preserve">Suplementasi oksigen rutin pada ibu melalui masker TIDAK direkomendasikan untuk pola DJJ Kategori II atau III tanpa disertai hipoksia maternal yang terbukti, karena bukti terkini tidak menunjukkan manfaat konsisten terhadap luaran janin dan berpotensi menimbulkan efek merugikan melalui vasokonstriksi uteroplasenta; oksigen suplemental hanya diberikan bila terdapat indikasi hipoksia pada ibu sendiri (lihat Bagian 12).</w:t>
      </w:r>
    </w:p>
    <w:p>
      <w:pPr>
        <w:pStyle w:val="Heading2"/>
        <w:spacing w:after="120" w:before="200"/>
      </w:pPr>
      <w:r>
        <w:rPr>
          <w:rFonts w:ascii="Source Serif 4" w:cs="Source Serif 4" w:eastAsia="Source Serif 4" w:hAnsi="Source Serif 4"/>
          <w:b/>
          <w:bCs/>
          <w:color w:val="B45309"/>
        </w:rPr>
        <w:t xml:space="preserve">7.2 Tata Laksana Farmakologis</w:t>
      </w:r>
    </w:p>
    <w:p>
      <w:pPr>
        <w:pStyle w:val="ListParagraph"/>
        <w:numPr>
          <w:ilvl w:val="0"/>
          <w:numId w:val="1"/>
        </w:numPr>
        <w:spacing w:after="90" w:line="280"/>
      </w:pPr>
      <w:r>
        <w:rPr>
          <w:rFonts w:ascii="IBM Plex Sans" w:cs="IBM Plex Sans" w:eastAsia="IBM Plex Sans" w:hAnsi="IBM Plex Sans"/>
          <w:color w:val="334155"/>
          <w:sz w:val="21"/>
          <w:szCs w:val="21"/>
        </w:rPr>
        <w:t xml:space="preserve">Tokolisis akut (misalnya terbutalin subkutan) dapat dipertimbangkan pada kasus takisistol uterus persisten yang tidak membaik dengan penghentian oksitosin, untuk mengurangi frekuensi kontraksi dan memperbaiki perfusi uteroplasenta sementara</w:t>
      </w:r>
    </w:p>
    <w:p>
      <w:pPr>
        <w:pStyle w:val="ListParagraph"/>
        <w:numPr>
          <w:ilvl w:val="0"/>
          <w:numId w:val="1"/>
        </w:numPr>
        <w:spacing w:after="90" w:line="280"/>
      </w:pPr>
      <w:r>
        <w:rPr>
          <w:rFonts w:ascii="IBM Plex Sans" w:cs="IBM Plex Sans" w:eastAsia="IBM Plex Sans" w:hAnsi="IBM Plex Sans"/>
          <w:color w:val="334155"/>
          <w:sz w:val="21"/>
          <w:szCs w:val="21"/>
        </w:rPr>
        <w:t xml:space="preserve">Antipiretik (parasetamol) pada demam maternal yang berkontribusi terhadap takikardia janin</w:t>
      </w:r>
    </w:p>
    <w:p>
      <w:pPr>
        <w:pStyle w:val="ListParagraph"/>
        <w:numPr>
          <w:ilvl w:val="0"/>
          <w:numId w:val="1"/>
        </w:numPr>
        <w:spacing w:after="90" w:line="280"/>
      </w:pPr>
      <w:r>
        <w:rPr>
          <w:rFonts w:ascii="IBM Plex Sans" w:cs="IBM Plex Sans" w:eastAsia="IBM Plex Sans" w:hAnsi="IBM Plex Sans"/>
          <w:color w:val="334155"/>
          <w:sz w:val="21"/>
          <w:szCs w:val="21"/>
        </w:rPr>
        <w:t xml:space="preserve">Antibiotik empirik intravena bila terdapat kecurigaan klinis korioamnionitis sebagai faktor pencetus</w:t>
      </w:r>
    </w:p>
    <w:p>
      <w:pPr>
        <w:pStyle w:val="Heading2"/>
        <w:spacing w:after="120" w:before="200"/>
      </w:pPr>
      <w:r>
        <w:rPr>
          <w:rFonts w:ascii="Source Serif 4" w:cs="Source Serif 4" w:eastAsia="Source Serif 4" w:hAnsi="Source Serif 4"/>
          <w:b/>
          <w:bCs/>
          <w:color w:val="B45309"/>
        </w:rPr>
        <w:t xml:space="preserve">7.3 Tata Laksana Bedah/Prosedural</w:t>
      </w:r>
    </w:p>
    <w:p>
      <w:pPr>
        <w:pStyle w:val="ListParagraph"/>
        <w:numPr>
          <w:ilvl w:val="0"/>
          <w:numId w:val="1"/>
        </w:numPr>
        <w:spacing w:after="90" w:line="280"/>
      </w:pPr>
      <w:r>
        <w:rPr>
          <w:rFonts w:ascii="IBM Plex Sans" w:cs="IBM Plex Sans" w:eastAsia="IBM Plex Sans" w:hAnsi="IBM Plex Sans"/>
          <w:color w:val="334155"/>
          <w:sz w:val="21"/>
          <w:szCs w:val="21"/>
        </w:rPr>
        <w:t xml:space="preserve">Persalinan pervaginam operatif (ekstraksi vakum atau forsep) bila pembukaan serviks lengkap, stasion kepala janin cukup rendah, dan syarat persalinan operatif pervaginam terpenuhi</w:t>
      </w:r>
    </w:p>
    <w:p>
      <w:pPr>
        <w:pStyle w:val="ListParagraph"/>
        <w:numPr>
          <w:ilvl w:val="0"/>
          <w:numId w:val="1"/>
        </w:numPr>
        <w:spacing w:after="90" w:line="280"/>
      </w:pPr>
      <w:r>
        <w:rPr>
          <w:rFonts w:ascii="IBM Plex Sans" w:cs="IBM Plex Sans" w:eastAsia="IBM Plex Sans" w:hAnsi="IBM Plex Sans"/>
          <w:color w:val="334155"/>
          <w:sz w:val="21"/>
          <w:szCs w:val="21"/>
        </w:rPr>
        <w:t xml:space="preserve">Seksio sesarea emergensi (kategori 1) pada pola DJJ Kategori III yang persisten atau tidak berespons terhadap langkah resusitasi intrauterin, dengan target interval keputusan-ke-lahir sesingkat mungkin (lihat Bagian 11)</w:t>
      </w:r>
    </w:p>
    <w:p>
      <w:pPr>
        <w:pStyle w:val="ListParagraph"/>
        <w:numPr>
          <w:ilvl w:val="0"/>
          <w:numId w:val="1"/>
        </w:numPr>
        <w:spacing w:after="90" w:line="280"/>
      </w:pPr>
      <w:r>
        <w:rPr>
          <w:rFonts w:ascii="IBM Plex Sans" w:cs="IBM Plex Sans" w:eastAsia="IBM Plex Sans" w:hAnsi="IBM Plex Sans"/>
          <w:color w:val="334155"/>
          <w:sz w:val="21"/>
          <w:szCs w:val="21"/>
        </w:rPr>
        <w:t xml:space="preserve">Dekompresi manual tali pusat (elevasi bagian terbawah janin per vaginam) pada kecurigaan atau konfirmasi prolaps tali pusat, dipertahankan hingga persalinan operatif segera tercapai</w:t>
      </w:r>
    </w:p>
    <w:p>
      <w:pPr>
        <w:pStyle w:val="Heading2"/>
        <w:spacing w:after="120" w:before="200"/>
      </w:pPr>
      <w:r>
        <w:rPr>
          <w:rFonts w:ascii="Source Serif 4" w:cs="Source Serif 4" w:eastAsia="Source Serif 4" w:hAnsi="Source Serif 4"/>
          <w:b/>
          <w:bCs/>
          <w:color w:val="B45309"/>
        </w:rPr>
        <w:t xml:space="preserve">7.4 Kriteria Rujukan ke Subspesialis Fetomaternal</w:t>
      </w:r>
    </w:p>
    <w:p>
      <w:pPr>
        <w:spacing w:after="160" w:line="300"/>
      </w:pPr>
      <w:r>
        <w:rPr>
          <w:rFonts w:ascii="IBM Plex Sans" w:cs="IBM Plex Sans" w:eastAsia="IBM Plex Sans" w:hAnsi="IBM Plex Sans"/>
          <w:color w:val="334155"/>
          <w:sz w:val="21"/>
          <w:szCs w:val="21"/>
        </w:rPr>
        <w:t xml:space="preserve">Rujukan ke subspesialis Fetomaternal dipertimbangkan pada kondisi di luar kewenangan spesialis umum, meliputi:</w:t>
      </w:r>
    </w:p>
    <w:p>
      <w:pPr>
        <w:pStyle w:val="ListParagraph"/>
        <w:numPr>
          <w:ilvl w:val="0"/>
          <w:numId w:val="1"/>
        </w:numPr>
        <w:spacing w:after="90" w:line="280"/>
      </w:pPr>
      <w:r>
        <w:rPr>
          <w:rFonts w:ascii="IBM Plex Sans" w:cs="IBM Plex Sans" w:eastAsia="IBM Plex Sans" w:hAnsi="IBM Plex Sans"/>
          <w:color w:val="334155"/>
          <w:sz w:val="21"/>
          <w:szCs w:val="21"/>
        </w:rPr>
        <w:t xml:space="preserve">Restriksi pertumbuhan intrauterin berat disertai Doppler arteri umbilikalis abnormal (end-diastolic flow absent/reversed) yang memerlukan tata laksana ekspektatif terstruktur</w:t>
      </w:r>
    </w:p>
    <w:p>
      <w:pPr>
        <w:pStyle w:val="ListParagraph"/>
        <w:numPr>
          <w:ilvl w:val="0"/>
          <w:numId w:val="1"/>
        </w:numPr>
        <w:spacing w:after="90" w:line="280"/>
      </w:pPr>
      <w:r>
        <w:rPr>
          <w:rFonts w:ascii="IBM Plex Sans" w:cs="IBM Plex Sans" w:eastAsia="IBM Plex Sans" w:hAnsi="IBM Plex Sans"/>
          <w:color w:val="334155"/>
          <w:sz w:val="21"/>
          <w:szCs w:val="21"/>
        </w:rPr>
        <w:t xml:space="preserve">Kehamilan risiko tinggi kompleks dengan kegagalan berulang resusitasi intrauterin</w:t>
      </w:r>
    </w:p>
    <w:p>
      <w:pPr>
        <w:pStyle w:val="ListParagraph"/>
        <w:numPr>
          <w:ilvl w:val="0"/>
          <w:numId w:val="1"/>
        </w:numPr>
        <w:spacing w:after="90" w:line="280"/>
      </w:pPr>
      <w:r>
        <w:rPr>
          <w:rFonts w:ascii="IBM Plex Sans" w:cs="IBM Plex Sans" w:eastAsia="IBM Plex Sans" w:hAnsi="IBM Plex Sans"/>
          <w:color w:val="334155"/>
          <w:sz w:val="21"/>
          <w:szCs w:val="21"/>
        </w:rPr>
        <w:t xml:space="preserve">Fasilitas pelayanan tanpa kemampuan seksio sesarea emergensi dalam interval keputusan-ke-lahir yang memadai, memerlukan rujukan terencana lebih awal (bukan saat kegawatan telah terjadi)</w:t>
      </w:r>
    </w:p>
    <w:p>
      <w:pPr>
        <w:pStyle w:val="ListParagraph"/>
        <w:numPr>
          <w:ilvl w:val="0"/>
          <w:numId w:val="1"/>
        </w:numPr>
        <w:spacing w:after="90" w:line="280"/>
      </w:pPr>
      <w:r>
        <w:rPr>
          <w:rFonts w:ascii="IBM Plex Sans" w:cs="IBM Plex Sans" w:eastAsia="IBM Plex Sans" w:hAnsi="IBM Plex Sans"/>
          <w:color w:val="334155"/>
          <w:sz w:val="21"/>
          <w:szCs w:val="21"/>
        </w:rPr>
        <w:t xml:space="preserve">Kecurigaan anomali kongenital atau aritmia janin struktural yang menyerupai atau menyertai pola DJJ abnormal dan memerlukan evaluasi ekokardiografi janin lanjut</w:t>
      </w:r>
    </w:p>
    <w:p>
      <w:pPr>
        <w:pStyle w:val="Heading1"/>
        <w:spacing w:after="160" w:before="300"/>
      </w:pPr>
      <w:r>
        <w:rPr>
          <w:rFonts w:ascii="Source Serif 4" w:cs="Source Serif 4" w:eastAsia="Source Serif 4" w:hAnsi="Source Serif 4"/>
          <w:b/>
          <w:bCs/>
          <w:color w:val="4F46E5"/>
        </w:rPr>
        <w:t xml:space="preserve">8. Edukasi Pasien dan Keluarga</w:t>
      </w:r>
    </w:p>
    <w:p>
      <w:pPr>
        <w:spacing w:after="160" w:line="300"/>
      </w:pPr>
      <w:r>
        <w:rPr>
          <w:rFonts w:ascii="IBM Plex Sans" w:cs="IBM Plex Sans" w:eastAsia="IBM Plex Sans" w:hAnsi="IBM Plex Sans"/>
          <w:color w:val="334155"/>
          <w:sz w:val="21"/>
          <w:szCs w:val="21"/>
        </w:rPr>
        <w:t xml:space="preserve">Edukasi disampaikan secara jelas dan empatik mengingat sifat waktu-kritis kondisi ini:</w:t>
      </w:r>
    </w:p>
    <w:p>
      <w:pPr>
        <w:pStyle w:val="ListParagraph"/>
        <w:numPr>
          <w:ilvl w:val="0"/>
          <w:numId w:val="1"/>
        </w:numPr>
        <w:spacing w:after="90" w:line="280"/>
      </w:pPr>
      <w:r>
        <w:rPr>
          <w:rFonts w:ascii="IBM Plex Sans" w:cs="IBM Plex Sans" w:eastAsia="IBM Plex Sans" w:hAnsi="IBM Plex Sans"/>
          <w:color w:val="334155"/>
          <w:sz w:val="21"/>
          <w:szCs w:val="21"/>
        </w:rPr>
        <w:t xml:space="preserve">Penjelasan kondisi janin saat ini, dasar temuan klinis/pemantauan yang mendasari diagnosis, dan urgensi tindakan yang direncanakan</w:t>
      </w:r>
    </w:p>
    <w:p>
      <w:pPr>
        <w:pStyle w:val="ListParagraph"/>
        <w:numPr>
          <w:ilvl w:val="0"/>
          <w:numId w:val="1"/>
        </w:numPr>
        <w:spacing w:after="90" w:line="280"/>
      </w:pPr>
      <w:r>
        <w:rPr>
          <w:rFonts w:ascii="IBM Plex Sans" w:cs="IBM Plex Sans" w:eastAsia="IBM Plex Sans" w:hAnsi="IBM Plex Sans"/>
          <w:color w:val="334155"/>
          <w:sz w:val="21"/>
          <w:szCs w:val="21"/>
        </w:rPr>
        <w:t xml:space="preserve">Penjelasan risiko dan manfaat opsi persalinan (persalinan operatif pervaginam vs seksio sesarea emergensi), termasuk risiko terkait prosedur dan risiko bila tindakan tertunda</w:t>
      </w:r>
    </w:p>
    <w:p>
      <w:pPr>
        <w:pStyle w:val="ListParagraph"/>
        <w:numPr>
          <w:ilvl w:val="0"/>
          <w:numId w:val="1"/>
        </w:numPr>
        <w:spacing w:after="90" w:line="280"/>
      </w:pPr>
      <w:r>
        <w:rPr>
          <w:rFonts w:ascii="IBM Plex Sans" w:cs="IBM Plex Sans" w:eastAsia="IBM Plex Sans" w:hAnsi="IBM Plex Sans"/>
          <w:color w:val="334155"/>
          <w:sz w:val="21"/>
          <w:szCs w:val="21"/>
        </w:rPr>
        <w:t xml:space="preserve">Proses informed consent yang didokumentasikan sebelum tindakan operatif, dengan tetap memperhatikan keterbatasan waktu pada situasi kegawatdaruratan</w:t>
      </w:r>
    </w:p>
    <w:p>
      <w:pPr>
        <w:pStyle w:val="ListParagraph"/>
        <w:numPr>
          <w:ilvl w:val="0"/>
          <w:numId w:val="1"/>
        </w:numPr>
        <w:spacing w:after="90" w:line="280"/>
      </w:pPr>
      <w:r>
        <w:rPr>
          <w:rFonts w:ascii="IBM Plex Sans" w:cs="IBM Plex Sans" w:eastAsia="IBM Plex Sans" w:hAnsi="IBM Plex Sans"/>
          <w:color w:val="334155"/>
          <w:sz w:val="21"/>
          <w:szCs w:val="21"/>
        </w:rPr>
        <w:t xml:space="preserve">Informasi mengenai kemungkinan observasi intensif/rawat neonatal (NICU) pascalahir bila terdapat tanda asfiksia, termasuk rencana pemantauan lanjutan bayi</w:t>
      </w:r>
    </w:p>
    <w:p>
      <w:pPr>
        <w:pStyle w:val="Heading1"/>
        <w:spacing w:after="160" w:before="300"/>
      </w:pPr>
      <w:r>
        <w:rPr>
          <w:rFonts w:ascii="Source Serif 4" w:cs="Source Serif 4" w:eastAsia="Source Serif 4" w:hAnsi="Source Serif 4"/>
          <w:b/>
          <w:bCs/>
          <w:color w:val="4F46E5"/>
        </w:rPr>
        <w:t xml:space="preserve">9. Prognosis</w:t>
      </w:r>
    </w:p>
    <w:p>
      <w:pPr>
        <w:spacing w:after="160" w:line="300"/>
      </w:pPr>
      <w:r>
        <w:rPr>
          <w:rFonts w:ascii="IBM Plex Sans" w:cs="IBM Plex Sans" w:eastAsia="IBM Plex Sans" w:hAnsi="IBM Plex Sans"/>
          <w:color w:val="334155"/>
          <w:sz w:val="21"/>
          <w:szCs w:val="21"/>
        </w:rPr>
        <w:t xml:space="preserve">Prognosis bergantung pada derajat dan durasi hipoksia janin serta kecepatan pengenalan dan intervensi klinis. Deteksi dini disertai tindakan tepat waktu umumnya memberikan luaran neonatal baik. Keterlambatan pengenalan atau intervensi berisiko menyebabkan asidemia metabolik berat, ensefalopati hipoksik-iskemik neonatal, gangguan neurodevelopmental jangka panjang termasuk palsi serebral, hingga kematian perinatal.</w:t>
      </w:r>
    </w:p>
    <w:p>
      <w:pPr>
        <w:spacing w:after="160" w:line="300"/>
      </w:pPr>
      <w:r>
        <w:rPr>
          <w:rFonts w:ascii="IBM Plex Sans" w:cs="IBM Plex Sans" w:eastAsia="IBM Plex Sans" w:hAnsi="IBM Plex Sans"/>
          <w:color w:val="334155"/>
          <w:sz w:val="21"/>
          <w:szCs w:val="21"/>
        </w:rPr>
        <w:t xml:space="preserve">[DATA: insidens ensefalopati neonatal dan luaran neurodevelopmental akibat asfiksia intrapartum terkait gawat janin di Indonesia — rujuk laporan/registri resmi terbaru, mis. Kemenkes, POGI, atau registri perinatal rumah sakit pendidikan]</w:t>
      </w:r>
    </w:p>
    <w:p>
      <w:pPr>
        <w:pStyle w:val="Heading1"/>
        <w:spacing w:after="160" w:before="300"/>
      </w:pPr>
      <w:r>
        <w:rPr>
          <w:rFonts w:ascii="Source Serif 4" w:cs="Source Serif 4" w:eastAsia="Source Serif 4" w:hAnsi="Source Serif 4"/>
          <w:b/>
          <w:bCs/>
          <w:color w:val="4F46E5"/>
        </w:rPr>
        <w:t xml:space="preserve">10. Tingkat Evidens dan Rekomendasi</w:t>
      </w:r>
    </w:p>
    <w:p>
      <w:pPr>
        <w:spacing w:after="160" w:line="300"/>
      </w:pPr>
      <w:r>
        <w:rPr>
          <w:rFonts w:ascii="IBM Plex Sans" w:cs="IBM Plex Sans" w:eastAsia="IBM Plex Sans" w:hAnsi="IBM Plex Sans"/>
          <w:color w:val="334155"/>
          <w:sz w:val="21"/>
          <w:szCs w:val="21"/>
        </w:rPr>
        <w:t xml:space="preserve">Skala evidens yang digunakan mengikuti gradasi standar (Level I-IV, Rekomendasi Grade A-D) sebagaimana lazim digunakan pada penyusunan PNPK Kementerian Kesehatan.</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600"/>
        <w:gridCol w:w="1600"/>
        <w:gridCol w:w="1600"/>
        <w:gridCol w:w="2800"/>
      </w:tblGrid>
      <w:tr>
        <w:trPr>
          <w:tblHeader/>
        </w:trPr>
        <w:tc>
          <w:tcPr>
            <w:tcW w:type="dxa" w:w="3600"/>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Pernyataan</w:t>
            </w:r>
          </w:p>
        </w:tc>
        <w:tc>
          <w:tcPr>
            <w:tcW w:type="dxa" w:w="1600"/>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Tingkat Evidens</w:t>
            </w:r>
          </w:p>
        </w:tc>
        <w:tc>
          <w:tcPr>
            <w:tcW w:type="dxa" w:w="1600"/>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Grade Rekomendasi</w:t>
            </w:r>
          </w:p>
        </w:tc>
        <w:tc>
          <w:tcPr>
            <w:tcW w:type="dxa" w:w="2800"/>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Sumber</w:t>
            </w:r>
          </w:p>
        </w:tc>
      </w:tr>
      <w:tr>
        <w:tc>
          <w:tcPr>
            <w:tcW w:type="dxa" w:w="3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Klasifikasi KTG 3-tingkat (Kategori I/II/III, NICHD) digunakan sebagai kerangka utama interpretasi pola DJJ intrapartum</w:t>
            </w:r>
          </w:p>
        </w:tc>
        <w:tc>
          <w:tcPr>
            <w:tcW w:type="dxa" w:w="1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II</w:t>
            </w:r>
          </w:p>
        </w:tc>
        <w:tc>
          <w:tcPr>
            <w:tcW w:type="dxa" w:w="1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w:t>
            </w:r>
          </w:p>
        </w:tc>
        <w:tc>
          <w:tcPr>
            <w:tcW w:type="dxa" w:w="28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ACOG Clinical Practice Guideline No. 10 (2025)</w:t>
            </w:r>
          </w:p>
        </w:tc>
      </w:tr>
      <w:tr>
        <w:tc>
          <w:tcPr>
            <w:tcW w:type="dxa" w:w="36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Interpretasi fisiologis KTG (klasifikasi jenis hipoksia berdasarkan garis dasar, variabilitas, dan deselerasi) sebagai kerangka pelengkap</w:t>
            </w:r>
          </w:p>
        </w:tc>
        <w:tc>
          <w:tcPr>
            <w:tcW w:type="dxa" w:w="16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III</w:t>
            </w:r>
          </w:p>
        </w:tc>
        <w:tc>
          <w:tcPr>
            <w:tcW w:type="dxa" w:w="16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C</w:t>
            </w:r>
          </w:p>
        </w:tc>
        <w:tc>
          <w:tcPr>
            <w:tcW w:type="dxa" w:w="28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Chandraharan E, dkk. (2024)</w:t>
            </w:r>
          </w:p>
        </w:tc>
      </w:tr>
      <w:tr>
        <w:tc>
          <w:tcPr>
            <w:tcW w:type="dxa" w:w="3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Pemantauan KTG kontinu dibandingkan auskultasi intermiten menurunkan kejang neonatal namun meningkatkan angka persalinan operatif tanpa perbaikan bermakna angka palsi serebral</w:t>
            </w:r>
          </w:p>
        </w:tc>
        <w:tc>
          <w:tcPr>
            <w:tcW w:type="dxa" w:w="1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w:t>
            </w:r>
          </w:p>
        </w:tc>
        <w:tc>
          <w:tcPr>
            <w:tcW w:type="dxa" w:w="1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w:t>
            </w:r>
          </w:p>
        </w:tc>
        <w:tc>
          <w:tcPr>
            <w:tcW w:type="dxa" w:w="28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Alfirevic Z, dkk., Cochrane (2017)</w:t>
            </w:r>
          </w:p>
        </w:tc>
      </w:tr>
      <w:tr>
        <w:tc>
          <w:tcPr>
            <w:tcW w:type="dxa" w:w="36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Resusitasi intrauterin (reposisi, koreksi hipotensi, pengurangan/penghentian oksitosin) sebagai langkah awal sebelum tindakan operatif pada Kategori II</w:t>
            </w:r>
          </w:p>
        </w:tc>
        <w:tc>
          <w:tcPr>
            <w:tcW w:type="dxa" w:w="16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II</w:t>
            </w:r>
          </w:p>
        </w:tc>
        <w:tc>
          <w:tcPr>
            <w:tcW w:type="dxa" w:w="16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w:t>
            </w:r>
          </w:p>
        </w:tc>
        <w:tc>
          <w:tcPr>
            <w:tcW w:type="dxa" w:w="28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ACOG Clinical Practice Guideline No. 10 (2025)</w:t>
            </w:r>
          </w:p>
        </w:tc>
      </w:tr>
      <w:tr>
        <w:tc>
          <w:tcPr>
            <w:tcW w:type="dxa" w:w="3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Suplementasi oksigen maternal rutin TIDAK direkomendasikan pada Kategori II/III tanpa hipoksia maternal</w:t>
            </w:r>
          </w:p>
        </w:tc>
        <w:tc>
          <w:tcPr>
            <w:tcW w:type="dxa" w:w="1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II</w:t>
            </w:r>
          </w:p>
        </w:tc>
        <w:tc>
          <w:tcPr>
            <w:tcW w:type="dxa" w:w="1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w:t>
            </w:r>
          </w:p>
        </w:tc>
        <w:tc>
          <w:tcPr>
            <w:tcW w:type="dxa" w:w="28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ACOG Clinical Practice Guideline No. 10 (2025)</w:t>
            </w:r>
          </w:p>
        </w:tc>
      </w:tr>
      <w:tr>
        <w:tc>
          <w:tcPr>
            <w:tcW w:type="dxa" w:w="36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Analisis segmen-ST (STAN) sebagai tambahan KTG tidak menunjukkan manfaat bermakna terhadap luaran intrapartum dibandingkan KTG saja</w:t>
            </w:r>
          </w:p>
        </w:tc>
        <w:tc>
          <w:tcPr>
            <w:tcW w:type="dxa" w:w="16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w:t>
            </w:r>
          </w:p>
        </w:tc>
        <w:tc>
          <w:tcPr>
            <w:tcW w:type="dxa" w:w="16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w:t>
            </w:r>
          </w:p>
        </w:tc>
        <w:tc>
          <w:tcPr>
            <w:tcW w:type="dxa" w:w="2800"/>
            <w:shd w:fill="F8FAFC"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Blix E, dkk. (2024)</w:t>
            </w:r>
          </w:p>
        </w:tc>
      </w:tr>
      <w:tr>
        <w:tc>
          <w:tcPr>
            <w:tcW w:type="dxa" w:w="3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Doppler arteri umbilikalis abnormal pada restriksi pertumbuhan intrauterin meningkatkan risiko kompromis janin dan menjadi indikasi pemantauan intensif/persalinan terencana</w:t>
            </w:r>
          </w:p>
        </w:tc>
        <w:tc>
          <w:tcPr>
            <w:tcW w:type="dxa" w:w="1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w:t>
            </w:r>
          </w:p>
        </w:tc>
        <w:tc>
          <w:tcPr>
            <w:tcW w:type="dxa" w:w="16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w:t>
            </w:r>
          </w:p>
        </w:tc>
        <w:tc>
          <w:tcPr>
            <w:tcW w:type="dxa" w:w="2800"/>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ISUOG Practice Guidelines (Lees CC, dkk., 2020)</w:t>
            </w:r>
          </w:p>
        </w:tc>
      </w:tr>
    </w:tbl>
    <w:p>
      <w:pPr>
        <w:spacing w:after="160"/>
      </w:pPr>
    </w:p>
    <w:p>
      <w:pPr>
        <w:pStyle w:val="Heading1"/>
        <w:spacing w:after="160" w:before="300"/>
      </w:pPr>
      <w:r>
        <w:rPr>
          <w:rFonts w:ascii="Source Serif 4" w:cs="Source Serif 4" w:eastAsia="Source Serif 4" w:hAnsi="Source Serif 4"/>
          <w:b/>
          <w:bCs/>
          <w:color w:val="4F46E5"/>
        </w:rPr>
        <w:t xml:space="preserve">11. Indikator Medis</w:t>
      </w:r>
    </w:p>
    <w:p>
      <w:pPr>
        <w:spacing w:after="160" w:line="300"/>
      </w:pPr>
      <w:r>
        <w:rPr>
          <w:rFonts w:ascii="IBM Plex Sans" w:cs="IBM Plex Sans" w:eastAsia="IBM Plex Sans" w:hAnsi="IBM Plex Sans"/>
          <w:color w:val="334155"/>
          <w:sz w:val="21"/>
          <w:szCs w:val="21"/>
        </w:rPr>
        <w:t xml:space="preserve">Indikator keberhasilan tata laksana yang terukur meliputi:</w:t>
      </w:r>
    </w:p>
    <w:p>
      <w:pPr>
        <w:pStyle w:val="ListParagraph"/>
        <w:numPr>
          <w:ilvl w:val="0"/>
          <w:numId w:val="1"/>
        </w:numPr>
        <w:spacing w:after="90" w:line="280"/>
      </w:pPr>
      <w:r>
        <w:rPr>
          <w:rFonts w:ascii="IBM Plex Sans" w:cs="IBM Plex Sans" w:eastAsia="IBM Plex Sans" w:hAnsi="IBM Plex Sans"/>
          <w:color w:val="334155"/>
          <w:sz w:val="21"/>
          <w:szCs w:val="21"/>
        </w:rPr>
        <w:t xml:space="preserve">Interval keputusan-ke-lahir (decision-to-delivery interval) pada seksio sesarea kategori 1 tercapai dalam &lt;30 menit</w:t>
      </w:r>
    </w:p>
    <w:p>
      <w:pPr>
        <w:pStyle w:val="ListParagraph"/>
        <w:numPr>
          <w:ilvl w:val="0"/>
          <w:numId w:val="1"/>
        </w:numPr>
        <w:spacing w:after="90" w:line="280"/>
      </w:pPr>
      <w:r>
        <w:rPr>
          <w:rFonts w:ascii="IBM Plex Sans" w:cs="IBM Plex Sans" w:eastAsia="IBM Plex Sans" w:hAnsi="IBM Plex Sans"/>
          <w:color w:val="334155"/>
          <w:sz w:val="21"/>
          <w:szCs w:val="21"/>
        </w:rPr>
        <w:t xml:space="preserve">Nilai APGAR menit ke-5 ≥7</w:t>
      </w:r>
    </w:p>
    <w:p>
      <w:pPr>
        <w:pStyle w:val="ListParagraph"/>
        <w:numPr>
          <w:ilvl w:val="0"/>
          <w:numId w:val="1"/>
        </w:numPr>
        <w:spacing w:after="90" w:line="280"/>
      </w:pPr>
      <w:r>
        <w:rPr>
          <w:rFonts w:ascii="IBM Plex Sans" w:cs="IBM Plex Sans" w:eastAsia="IBM Plex Sans" w:hAnsi="IBM Plex Sans"/>
          <w:color w:val="334155"/>
          <w:sz w:val="21"/>
          <w:szCs w:val="21"/>
        </w:rPr>
        <w:t xml:space="preserve">pH arteri tali pusat ≥7,10 atau base excess &gt; ‒12 mmol/L pada analisis gas darah tali pusat</w:t>
      </w:r>
    </w:p>
    <w:p>
      <w:pPr>
        <w:pStyle w:val="ListParagraph"/>
        <w:numPr>
          <w:ilvl w:val="0"/>
          <w:numId w:val="1"/>
        </w:numPr>
        <w:spacing w:after="90" w:line="280"/>
      </w:pPr>
      <w:r>
        <w:rPr>
          <w:rFonts w:ascii="IBM Plex Sans" w:cs="IBM Plex Sans" w:eastAsia="IBM Plex Sans" w:hAnsi="IBM Plex Sans"/>
          <w:color w:val="334155"/>
          <w:sz w:val="21"/>
          <w:szCs w:val="21"/>
        </w:rPr>
        <w:t xml:space="preserve">Insidens rawat NICU akibat asfiksia perinatal pada kasus dengan diagnosis gawat janin</w:t>
      </w:r>
    </w:p>
    <w:p>
      <w:pPr>
        <w:pStyle w:val="ListParagraph"/>
        <w:numPr>
          <w:ilvl w:val="0"/>
          <w:numId w:val="1"/>
        </w:numPr>
        <w:spacing w:after="90" w:line="280"/>
      </w:pPr>
      <w:r>
        <w:rPr>
          <w:rFonts w:ascii="IBM Plex Sans" w:cs="IBM Plex Sans" w:eastAsia="IBM Plex Sans" w:hAnsi="IBM Plex Sans"/>
          <w:color w:val="334155"/>
          <w:sz w:val="21"/>
          <w:szCs w:val="21"/>
        </w:rPr>
        <w:t xml:space="preserve">Konsistensi/akurasi interpretasi KTG antar tenaga kesehatan melalui audit berkala (interobserver agreement)</w:t>
      </w:r>
    </w:p>
    <w:p>
      <w:pPr>
        <w:pStyle w:val="Heading1"/>
        <w:spacing w:after="160" w:before="300"/>
      </w:pPr>
      <w:r>
        <w:rPr>
          <w:rFonts w:ascii="Source Serif 4" w:cs="Source Serif 4" w:eastAsia="Source Serif 4" w:hAnsi="Source Serif 4"/>
          <w:b/>
          <w:bCs/>
          <w:color w:val="4F46E5"/>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Tabel 7 No. 24) menetapkan istilah diagnosis “Gawat janin (Fetal distress)” dengan kode ICD-10 O68.9 dan ICD-11 KB20 ; JA86.2. Standar internasional kontemporer menggunakan kerangka klasifikasi yang lebih bertingkat, dengan dua pendekatan utama yang saat ini berlaku berdampingan:</w:t>
      </w:r>
    </w:p>
    <w:p>
      <w:pPr>
        <w:pStyle w:val="ListParagraph"/>
        <w:numPr>
          <w:ilvl w:val="0"/>
          <w:numId w:val="1"/>
        </w:numPr>
        <w:spacing w:after="90" w:line="280"/>
      </w:pPr>
      <w:r>
        <w:rPr>
          <w:rFonts w:ascii="IBM Plex Sans" w:cs="IBM Plex Sans" w:eastAsia="IBM Plex Sans" w:hAnsi="IBM Plex Sans"/>
          <w:color w:val="334155"/>
          <w:sz w:val="21"/>
          <w:szCs w:val="21"/>
        </w:rPr>
        <w:t xml:space="preserve">ACOG Clinical Practice Guideline No. 10 (2025), yang menggantikan Practice Bulletin No. 106 dan No. 116 sebelumnya, menetapkan sistem klasifikasi kardiotokografi 3-tingkat (Category I/II/III, NICHD) sebagai kerangka standar Amerika Serikat. Pedoman ini secara eksplisit merekomendasikan terhadap pemberian oksigen suplemental maternal rutin pada Kategori II/III tanpa hipoksia maternal, terhadap penggunaan rutin pulse oximetry janin, terhadap analisis segmen-ST (STAN) rutin, dan terhadap ketergantungan utama pada interpretasi terkomputerisasi pola DJJ — seluruhnya merupakan pergeseran dari praktik yang sebelumnya lazim dilakukan</w:t>
      </w:r>
    </w:p>
    <w:p>
      <w:pPr>
        <w:pStyle w:val="ListParagraph"/>
        <w:numPr>
          <w:ilvl w:val="0"/>
          <w:numId w:val="1"/>
        </w:numPr>
        <w:spacing w:after="90" w:line="280"/>
      </w:pPr>
      <w:r>
        <w:rPr>
          <w:rFonts w:ascii="IBM Plex Sans" w:cs="IBM Plex Sans" w:eastAsia="IBM Plex Sans" w:hAnsi="IBM Plex Sans"/>
          <w:color w:val="334155"/>
          <w:sz w:val="21"/>
          <w:szCs w:val="21"/>
        </w:rPr>
        <w:t xml:space="preserve">Konsensus ahli internasional tentang interpretasi fisiologis KTG (Chandraharan E, dkk., revisi pertama 2024) menawarkan kerangka pelengkap yang mengklasifikasikan pola DJJ berdasarkan jenis hipoksia yang mendasari (akut, subakut, evolving/gradual, kronik memberat) alih-alih semata mengelompokkan fitur DJJ ke dalam kategori. Pendekatan ini telah diadopsi di lebih dari 20 unit maternitas di Inggris serta rumah sakit di berbagai negara, dengan sejumlah laporan penurunan angka ensefalopati hipoksik-iskemik terkait intrapartum di pusat yang mengadopsinya</w:t>
      </w:r>
    </w:p>
    <w:p>
      <w:pPr>
        <w:pStyle w:val="ListParagraph"/>
        <w:numPr>
          <w:ilvl w:val="0"/>
          <w:numId w:val="1"/>
        </w:numPr>
        <w:spacing w:after="90" w:line="280"/>
      </w:pPr>
      <w:r>
        <w:rPr>
          <w:rFonts w:ascii="IBM Plex Sans" w:cs="IBM Plex Sans" w:eastAsia="IBM Plex Sans" w:hAnsi="IBM Plex Sans"/>
          <w:color w:val="334155"/>
          <w:sz w:val="21"/>
          <w:szCs w:val="21"/>
        </w:rPr>
        <w:t xml:space="preserve">NICE (Inggris, pedoman Fetal monitoring in labour, terakhir diamendemen 2026) menetapkan kriteria stratifikasi risiko untuk memilih auskultasi intermiten versus KTG kontinu sejak awal persalinan, dengan penekanan pada penilaian sistematis per jam dan diskusi bersama ibu bersalin mengenai preferensi perawatan</w:t>
      </w:r>
    </w:p>
    <w:p>
      <w:pPr>
        <w:pStyle w:val="ListParagraph"/>
        <w:numPr>
          <w:ilvl w:val="0"/>
          <w:numId w:val="1"/>
        </w:numPr>
        <w:spacing w:after="90" w:line="280"/>
      </w:pPr>
      <w:r>
        <w:rPr>
          <w:rFonts w:ascii="IBM Plex Sans" w:cs="IBM Plex Sans" w:eastAsia="IBM Plex Sans" w:hAnsi="IBM Plex Sans"/>
          <w:color w:val="334155"/>
          <w:sz w:val="21"/>
          <w:szCs w:val="21"/>
        </w:rPr>
        <w:t xml:space="preserve">Tinjauan Cochrane (Alfirevic Z, Gyte GML, Cuthbert A, Devane D, 2017) tentang pemantauan KTG kontinu versus auskultasi intermiten menunjukkan penurunan kejang neonatal namun peningkatan angka persalinan operatif (seksio sesarea dan operatif pervaginam) tanpa perbaikan bermakna pada angka palsi serebral atau mortalitas perinatal secara keseluruhan</w:t>
      </w:r>
    </w:p>
    <w:p>
      <w:pPr>
        <w:pStyle w:val="ListParagraph"/>
        <w:numPr>
          <w:ilvl w:val="0"/>
          <w:numId w:val="1"/>
        </w:numPr>
        <w:spacing w:after="90" w:line="280"/>
      </w:pPr>
      <w:r>
        <w:rPr>
          <w:rFonts w:ascii="IBM Plex Sans" w:cs="IBM Plex Sans" w:eastAsia="IBM Plex Sans" w:hAnsi="IBM Plex Sans"/>
          <w:color w:val="334155"/>
          <w:sz w:val="21"/>
          <w:szCs w:val="21"/>
        </w:rPr>
        <w:t xml:space="preserve">ISUOG Practice Guidelines tentang restriksi pertumbuhan janin kecil untuk masa kehamilan (Lees CC, dkk., 2020) menekankan peran Doppler velocimetry arteri umbilikalis sebagai alat skrining tambahan pada kehamilan dengan restriksi pertumbuhan intrauterin untuk mengidentifikasi janin berisiko kompromis oksigenasi lebih awal</w:t>
      </w:r>
    </w:p>
    <w:p>
      <w:pPr>
        <w:spacing w:after="160" w:line="300"/>
      </w:pPr>
      <w:r>
        <w:rPr>
          <w:rFonts w:ascii="IBM Plex Sans" w:cs="IBM Plex Sans" w:eastAsia="IBM Plex Sans" w:hAnsi="IBM Plex Sans"/>
          <w:color w:val="334155"/>
          <w:sz w:val="21"/>
          <w:szCs w:val="21"/>
        </w:rPr>
        <w:t xml:space="preserve">Praktik di Indonesia mengikuti standar nasional (Kepkonsil) dalam penggunaan istilah dan kode diagnosis “Gawat janin” untuk keperluan pengodean dan pelaporan layanan kesehatan, sambil secara klinis-operasional mengadopsi kerangka klasifikasi KTG 3-tingkat internasional (ACOG) sebagai dasar interpretasi pola DJJ, dengan kerangka interpretasi fisiologis sebagai pelengkap pada fasilitas yang memiliki pelatihan khusus untuk itu.</w:t>
      </w:r>
    </w:p>
    <w:p>
      <w:pPr>
        <w:pStyle w:val="Heading1"/>
        <w:spacing w:after="160" w:before="300"/>
      </w:pPr>
      <w:r>
        <w:rPr>
          <w:rFonts w:ascii="Source Serif 4" w:cs="Source Serif 4" w:eastAsia="Source Serif 4" w:hAnsi="Source Serif 4"/>
          <w:b/>
          <w:bCs/>
          <w:color w:val="4F46E5"/>
        </w:rPr>
        <w:t xml:space="preserve">13. Kepustakaan</w:t>
      </w:r>
    </w:p>
    <w:p>
      <w:pPr>
        <w:pStyle w:val="ListParagraph"/>
        <w:numPr>
          <w:ilvl w:val="0"/>
          <w:numId w:val="1"/>
        </w:numPr>
        <w:spacing w:after="90" w:line="280"/>
      </w:pPr>
      <w:r>
        <w:rPr>
          <w:rFonts w:ascii="IBM Plex Sans" w:cs="IBM Plex Sans" w:eastAsia="IBM Plex Sans" w:hAnsi="IBM Plex Sans"/>
          <w:color w:val="334155"/>
          <w:sz w:val="21"/>
          <w:szCs w:val="21"/>
        </w:rPr>
        <w:t xml:space="preserve">Keputusan Ketua Konsil Kesehatan Indonesia No. HK.01.02/KKI/1318/2026 tentang Standar Kompetensi Dokter Spesialis dan Subspesialis Bidang Obstetri dan Ginekologi, Tabel 7 No. 24.</w:t>
      </w:r>
    </w:p>
    <w:p>
      <w:pPr>
        <w:pStyle w:val="ListParagraph"/>
        <w:numPr>
          <w:ilvl w:val="0"/>
          <w:numId w:val="1"/>
        </w:numPr>
        <w:spacing w:after="90" w:line="280"/>
      </w:pPr>
      <w:r>
        <w:rPr>
          <w:rFonts w:ascii="IBM Plex Sans" w:cs="IBM Plex Sans" w:eastAsia="IBM Plex Sans" w:hAnsi="IBM Plex Sans"/>
          <w:color w:val="334155"/>
          <w:sz w:val="21"/>
          <w:szCs w:val="21"/>
        </w:rPr>
        <w:t xml:space="preserve">American College of Obstetricians and Gynecologists (ACOG). Clinical Practice Guideline No. 10: Intrapartum Fetal Heart Rate Monitoring — Interpretation and Management. Obstetrics &amp; Gynecology. 2025;146(4):583–599.</w:t>
      </w:r>
    </w:p>
    <w:p>
      <w:pPr>
        <w:pStyle w:val="ListParagraph"/>
        <w:numPr>
          <w:ilvl w:val="0"/>
          <w:numId w:val="1"/>
        </w:numPr>
        <w:spacing w:after="90" w:line="280"/>
      </w:pPr>
      <w:r>
        <w:rPr>
          <w:rFonts w:ascii="IBM Plex Sans" w:cs="IBM Plex Sans" w:eastAsia="IBM Plex Sans" w:hAnsi="IBM Plex Sans"/>
          <w:color w:val="334155"/>
          <w:sz w:val="21"/>
          <w:szCs w:val="21"/>
        </w:rPr>
        <w:t xml:space="preserve">Chandraharan E, Pereira S, Ghi T, Gracia Perez-Bonfils A, Fieni S, Jia YJ, dkk. International expert consensus statement on physiological interpretation of cardiotocograph (CTG): First revision (2024). European Journal of Obstetrics &amp; Gynecology and Reproductive Biology. 2024;302:346–355.</w:t>
      </w:r>
    </w:p>
    <w:p>
      <w:pPr>
        <w:pStyle w:val="ListParagraph"/>
        <w:numPr>
          <w:ilvl w:val="0"/>
          <w:numId w:val="1"/>
        </w:numPr>
        <w:spacing w:after="90" w:line="280"/>
      </w:pPr>
      <w:r>
        <w:rPr>
          <w:rFonts w:ascii="IBM Plex Sans" w:cs="IBM Plex Sans" w:eastAsia="IBM Plex Sans" w:hAnsi="IBM Plex Sans"/>
          <w:color w:val="334155"/>
          <w:sz w:val="21"/>
          <w:szCs w:val="21"/>
        </w:rPr>
        <w:t xml:space="preserve">Ayres-de-Campos D, Spong CY, Chandraharan E, untuk FIGO Intrapartum Fetal Monitoring Expert Consensus Panel. FIGO consensus guidelines on intrapartum fetal monitoring: Cardiotocography. International Journal of Gynaecology and Obstetrics. 2015;131(1):13–24.</w:t>
      </w:r>
    </w:p>
    <w:p>
      <w:pPr>
        <w:pStyle w:val="ListParagraph"/>
        <w:numPr>
          <w:ilvl w:val="0"/>
          <w:numId w:val="1"/>
        </w:numPr>
        <w:spacing w:after="90" w:line="280"/>
      </w:pPr>
      <w:r>
        <w:rPr>
          <w:rFonts w:ascii="IBM Plex Sans" w:cs="IBM Plex Sans" w:eastAsia="IBM Plex Sans" w:hAnsi="IBM Plex Sans"/>
          <w:color w:val="334155"/>
          <w:sz w:val="21"/>
          <w:szCs w:val="21"/>
        </w:rPr>
        <w:t xml:space="preserve">National Institute for Health and Care Excellence (NICE). Fetal monitoring in labour (NG229). Terakhir diamendemen 2026.</w:t>
      </w:r>
    </w:p>
    <w:p>
      <w:pPr>
        <w:pStyle w:val="ListParagraph"/>
        <w:numPr>
          <w:ilvl w:val="0"/>
          <w:numId w:val="1"/>
        </w:numPr>
        <w:spacing w:after="90" w:line="280"/>
      </w:pPr>
      <w:r>
        <w:rPr>
          <w:rFonts w:ascii="IBM Plex Sans" w:cs="IBM Plex Sans" w:eastAsia="IBM Plex Sans" w:hAnsi="IBM Plex Sans"/>
          <w:color w:val="334155"/>
          <w:sz w:val="21"/>
          <w:szCs w:val="21"/>
        </w:rPr>
        <w:t xml:space="preserve">Lees CC, Stampalija T, Baschat A, da Silva Costa F, Ferrazzi E, Figueras F, dkk. ISUOG Practice Guidelines: diagnosis and management of small-for-gestational-age fetus and fetal growth restriction. Ultrasound in Obstetrics &amp; Gynecology. 2020;56(3):298–312.</w:t>
      </w:r>
    </w:p>
    <w:p>
      <w:pPr>
        <w:pStyle w:val="ListParagraph"/>
        <w:numPr>
          <w:ilvl w:val="0"/>
          <w:numId w:val="1"/>
        </w:numPr>
        <w:spacing w:after="90" w:line="280"/>
      </w:pPr>
      <w:r>
        <w:rPr>
          <w:rFonts w:ascii="IBM Plex Sans" w:cs="IBM Plex Sans" w:eastAsia="IBM Plex Sans" w:hAnsi="IBM Plex Sans"/>
          <w:color w:val="334155"/>
          <w:sz w:val="21"/>
          <w:szCs w:val="21"/>
        </w:rPr>
        <w:t xml:space="preserve">Alfirevic Z, Gyte GML, Cuthbert A, Devane D. Continuous cardiotocography (CTG) as a form of electronic fetal monitoring (EFM) for fetal assessment during labour. Cochrane Database of Systematic Reviews. 2017;2:CD006066.</w:t>
      </w:r>
    </w:p>
    <w:p>
      <w:pPr>
        <w:pStyle w:val="ListParagraph"/>
        <w:numPr>
          <w:ilvl w:val="0"/>
          <w:numId w:val="1"/>
        </w:numPr>
        <w:spacing w:after="90" w:line="280"/>
      </w:pPr>
      <w:r>
        <w:rPr>
          <w:rFonts w:ascii="IBM Plex Sans" w:cs="IBM Plex Sans" w:eastAsia="IBM Plex Sans" w:hAnsi="IBM Plex Sans"/>
          <w:color w:val="334155"/>
          <w:sz w:val="21"/>
          <w:szCs w:val="21"/>
        </w:rPr>
        <w:t xml:space="preserve">Blix E, Brurberg KG, Reierth E, dkk. ST waveform analysis versus cardiotocography alone for intrapartum fetal monitoring: an updated systematic review and meta-analysis of randomized trials. Acta Obstetricia et Gynecologica Scandinavica. 2024;103(3):437–448.</w:t>
      </w:r>
    </w:p>
    <w:p>
      <w:pPr>
        <w:pStyle w:val="ListParagraph"/>
        <w:numPr>
          <w:ilvl w:val="0"/>
          <w:numId w:val="1"/>
        </w:numPr>
        <w:spacing w:after="90" w:line="280"/>
      </w:pPr>
      <w:r>
        <w:rPr>
          <w:rFonts w:ascii="IBM Plex Sans" w:cs="IBM Plex Sans" w:eastAsia="IBM Plex Sans" w:hAnsi="IBM Plex Sans"/>
          <w:color w:val="334155"/>
          <w:sz w:val="21"/>
          <w:szCs w:val="21"/>
        </w:rPr>
        <w:t xml:space="preserve">Perkumpulan Obstetri dan Ginekologi Indonesia (POGI), Himpunan Kedokteran Feto Maternal (HKFM). Pedoman Nasional Pelayanan Kedokteran: Pengelolaan Kehamilan dengan Pertumbuhan Janin Terhambat. 2016.</w:t>
      </w:r>
    </w:p>
    <w:p>
      <w:pPr>
        <w:pStyle w:val="Heading1"/>
        <w:spacing w:after="160" w:before="300"/>
      </w:pPr>
      <w:r>
        <w:rPr>
          <w:rFonts w:ascii="Source Serif 4" w:cs="Source Serif 4" w:eastAsia="Source Serif 4" w:hAnsi="Source Serif 4"/>
          <w:b/>
          <w:bCs/>
          <w:color w:val="4F46E5"/>
        </w:rPr>
        <w:t xml:space="preserve">Glossarium</w:t>
      </w:r>
    </w:p>
    <w:p>
      <w:pPr>
        <w:spacing w:after="140" w:line="300"/>
      </w:pPr>
      <w:r>
        <w:rPr>
          <w:rFonts w:ascii="IBM Plex Sans" w:cs="IBM Plex Sans" w:eastAsia="IBM Plex Sans" w:hAnsi="IBM Plex Sans"/>
          <w:b/>
          <w:bCs/>
          <w:color w:val="334155"/>
          <w:sz w:val="21"/>
          <w:szCs w:val="21"/>
        </w:rPr>
        <w:t xml:space="preserve">Gawat janin (Fetal distress) — </w:t>
      </w:r>
      <w:r>
        <w:rPr>
          <w:rFonts w:ascii="IBM Plex Sans" w:cs="IBM Plex Sans" w:eastAsia="IBM Plex Sans" w:hAnsi="IBM Plex Sans"/>
          <w:color w:val="334155"/>
          <w:sz w:val="21"/>
          <w:szCs w:val="21"/>
        </w:rPr>
        <w:t xml:space="preserve">Istilah diagnosis Kepkonsil untuk gangguan oksigenasi janin yang memerlukan tindakan segera; pada literatur internasional kontemporer sepadan dengan “intrapartum fetal compromise” atau pola DJJ Kategori II/III.</w:t>
      </w:r>
    </w:p>
    <w:p>
      <w:pPr>
        <w:spacing w:after="140" w:line="300"/>
      </w:pPr>
      <w:r>
        <w:rPr>
          <w:rFonts w:ascii="IBM Plex Sans" w:cs="IBM Plex Sans" w:eastAsia="IBM Plex Sans" w:hAnsi="IBM Plex Sans"/>
          <w:b/>
          <w:bCs/>
          <w:color w:val="334155"/>
          <w:sz w:val="21"/>
          <w:szCs w:val="21"/>
        </w:rPr>
        <w:t xml:space="preserve">KTG (Kardiotokografi) / CTG (Cardiotocography) — </w:t>
      </w:r>
      <w:r>
        <w:rPr>
          <w:rFonts w:ascii="IBM Plex Sans" w:cs="IBM Plex Sans" w:eastAsia="IBM Plex Sans" w:hAnsi="IBM Plex Sans"/>
          <w:color w:val="334155"/>
          <w:sz w:val="21"/>
          <w:szCs w:val="21"/>
        </w:rPr>
        <w:t xml:space="preserve">Rekaman elektronik simultan denyut jantung janin dan kontraksi uterus, modalitas utama pemantauan kesejahteraan janin intrapartum.</w:t>
      </w:r>
    </w:p>
    <w:p>
      <w:pPr>
        <w:spacing w:after="140" w:line="300"/>
      </w:pPr>
      <w:r>
        <w:rPr>
          <w:rFonts w:ascii="IBM Plex Sans" w:cs="IBM Plex Sans" w:eastAsia="IBM Plex Sans" w:hAnsi="IBM Plex Sans"/>
          <w:b/>
          <w:bCs/>
          <w:color w:val="334155"/>
          <w:sz w:val="21"/>
          <w:szCs w:val="21"/>
        </w:rPr>
        <w:t xml:space="preserve">DJJ (Denyut Jantung Janin) / FHR (Fetal Heart Rate) — </w:t>
      </w:r>
      <w:r>
        <w:rPr>
          <w:rFonts w:ascii="IBM Plex Sans" w:cs="IBM Plex Sans" w:eastAsia="IBM Plex Sans" w:hAnsi="IBM Plex Sans"/>
          <w:color w:val="334155"/>
          <w:sz w:val="21"/>
          <w:szCs w:val="21"/>
        </w:rPr>
        <w:t xml:space="preserve">Frekuensi denyut jantung janin, dinilai dari garis dasar, variabilitas, akselerasi, dan deselerasi pada rekaman KTG.</w:t>
      </w:r>
    </w:p>
    <w:p>
      <w:pPr>
        <w:spacing w:after="140" w:line="300"/>
      </w:pPr>
      <w:r>
        <w:rPr>
          <w:rFonts w:ascii="IBM Plex Sans" w:cs="IBM Plex Sans" w:eastAsia="IBM Plex Sans" w:hAnsi="IBM Plex Sans"/>
          <w:b/>
          <w:bCs/>
          <w:color w:val="334155"/>
          <w:sz w:val="21"/>
          <w:szCs w:val="21"/>
        </w:rPr>
        <w:t xml:space="preserve">Deselerasi lambat (Late deceleration) — </w:t>
      </w:r>
      <w:r>
        <w:rPr>
          <w:rFonts w:ascii="IBM Plex Sans" w:cs="IBM Plex Sans" w:eastAsia="IBM Plex Sans" w:hAnsi="IBM Plex Sans"/>
          <w:color w:val="334155"/>
          <w:sz w:val="21"/>
          <w:szCs w:val="21"/>
        </w:rPr>
        <w:t xml:space="preserve">Penurunan DJJ yang dimulai setelah puncak kontraksi dan kembali ke garis dasar setelah kontraksi berakhir; berkaitan dengan insufisiensi uteroplasenta.</w:t>
      </w:r>
    </w:p>
    <w:p>
      <w:pPr>
        <w:spacing w:after="140" w:line="300"/>
      </w:pPr>
      <w:r>
        <w:rPr>
          <w:rFonts w:ascii="IBM Plex Sans" w:cs="IBM Plex Sans" w:eastAsia="IBM Plex Sans" w:hAnsi="IBM Plex Sans"/>
          <w:b/>
          <w:bCs/>
          <w:color w:val="334155"/>
          <w:sz w:val="21"/>
          <w:szCs w:val="21"/>
        </w:rPr>
        <w:t xml:space="preserve">Deselerasi variabel (Variable deceleration) — </w:t>
      </w:r>
      <w:r>
        <w:rPr>
          <w:rFonts w:ascii="IBM Plex Sans" w:cs="IBM Plex Sans" w:eastAsia="IBM Plex Sans" w:hAnsi="IBM Plex Sans"/>
          <w:color w:val="334155"/>
          <w:sz w:val="21"/>
          <w:szCs w:val="21"/>
        </w:rPr>
        <w:t xml:space="preserve">Penurunan DJJ mendadak yang bervariasi dalam waktu terhadap kontraksi; umumnya berkaitan dengan kompresi tali pusat.</w:t>
      </w:r>
    </w:p>
    <w:p>
      <w:pPr>
        <w:spacing w:after="140" w:line="300"/>
      </w:pPr>
      <w:r>
        <w:rPr>
          <w:rFonts w:ascii="IBM Plex Sans" w:cs="IBM Plex Sans" w:eastAsia="IBM Plex Sans" w:hAnsi="IBM Plex Sans"/>
          <w:b/>
          <w:bCs/>
          <w:color w:val="334155"/>
          <w:sz w:val="21"/>
          <w:szCs w:val="21"/>
        </w:rPr>
        <w:t xml:space="preserve">Takisistol uterus (Uterine tachysystole) — </w:t>
      </w:r>
      <w:r>
        <w:rPr>
          <w:rFonts w:ascii="IBM Plex Sans" w:cs="IBM Plex Sans" w:eastAsia="IBM Plex Sans" w:hAnsi="IBM Plex Sans"/>
          <w:color w:val="334155"/>
          <w:sz w:val="21"/>
          <w:szCs w:val="21"/>
        </w:rPr>
        <w:t xml:space="preserve">Frekuensi kontraksi uterus lebih dari 5 kali dalam 10 menit, rata-rata dalam periode 30 menit.</w:t>
      </w:r>
    </w:p>
    <w:p>
      <w:pPr>
        <w:spacing w:after="140" w:line="300"/>
      </w:pPr>
      <w:r>
        <w:rPr>
          <w:rFonts w:ascii="IBM Plex Sans" w:cs="IBM Plex Sans" w:eastAsia="IBM Plex Sans" w:hAnsi="IBM Plex Sans"/>
          <w:b/>
          <w:bCs/>
          <w:color w:val="334155"/>
          <w:sz w:val="21"/>
          <w:szCs w:val="21"/>
        </w:rPr>
        <w:t xml:space="preserve">Asidemia metabolik (Metabolic acidemia) — </w:t>
      </w:r>
      <w:r>
        <w:rPr>
          <w:rFonts w:ascii="IBM Plex Sans" w:cs="IBM Plex Sans" w:eastAsia="IBM Plex Sans" w:hAnsi="IBM Plex Sans"/>
          <w:color w:val="334155"/>
          <w:sz w:val="21"/>
          <w:szCs w:val="21"/>
        </w:rPr>
        <w:t xml:space="preserve">Peningkatan kadar asam (penurunan pH, peningkatan defisit basa) dalam darah janin akibat metabolisme anaerob akibat hipoksia berkepanjangan.</w:t>
      </w:r>
    </w:p>
    <w:p>
      <w:pPr>
        <w:spacing w:after="140" w:line="300"/>
      </w:pPr>
      <w:r>
        <w:rPr>
          <w:rFonts w:ascii="IBM Plex Sans" w:cs="IBM Plex Sans" w:eastAsia="IBM Plex Sans" w:hAnsi="IBM Plex Sans"/>
          <w:b/>
          <w:bCs/>
          <w:color w:val="334155"/>
          <w:sz w:val="21"/>
          <w:szCs w:val="21"/>
        </w:rPr>
        <w:t xml:space="preserve">Resusitasi intrauterin (Intrauterine resuscitation) — </w:t>
      </w:r>
      <w:r>
        <w:rPr>
          <w:rFonts w:ascii="IBM Plex Sans" w:cs="IBM Plex Sans" w:eastAsia="IBM Plex Sans" w:hAnsi="IBM Plex Sans"/>
          <w:color w:val="334155"/>
          <w:sz w:val="21"/>
          <w:szCs w:val="21"/>
        </w:rPr>
        <w:t xml:space="preserve">Rangkaian tindakan non-invasif segera (reposisi ibu, koreksi hipotensi, pengurangan oksitosin, amnioinfusi) untuk memperbaiki oksigenasi janin sebelum tindakan operatif.</w:t>
      </w:r>
    </w:p>
    <w:p>
      <w:pPr>
        <w:spacing w:after="140" w:line="300"/>
      </w:pPr>
      <w:r>
        <w:rPr>
          <w:rFonts w:ascii="IBM Plex Sans" w:cs="IBM Plex Sans" w:eastAsia="IBM Plex Sans" w:hAnsi="IBM Plex Sans"/>
          <w:b/>
          <w:bCs/>
          <w:color w:val="334155"/>
          <w:sz w:val="21"/>
          <w:szCs w:val="21"/>
        </w:rPr>
        <w:t xml:space="preserve">Doppler velocimetry — </w:t>
      </w:r>
      <w:r>
        <w:rPr>
          <w:rFonts w:ascii="IBM Plex Sans" w:cs="IBM Plex Sans" w:eastAsia="IBM Plex Sans" w:hAnsi="IBM Plex Sans"/>
          <w:color w:val="334155"/>
          <w:sz w:val="21"/>
          <w:szCs w:val="21"/>
        </w:rPr>
        <w:t xml:space="preserve">Teknik ultrasonografi untuk menilai kecepatan aliran darah pada pembuluh darah janin/plasenta (misalnya arteri umbilikalis), digunakan untuk menilai fungsi plasenta.</w:t>
      </w:r>
    </w:p>
    <w:p>
      <w:pPr>
        <w:spacing w:after="140" w:line="300"/>
      </w:pPr>
      <w:r>
        <w:rPr>
          <w:rFonts w:ascii="IBM Plex Sans" w:cs="IBM Plex Sans" w:eastAsia="IBM Plex Sans" w:hAnsi="IBM Plex Sans"/>
          <w:b/>
          <w:bCs/>
          <w:color w:val="334155"/>
          <w:sz w:val="21"/>
          <w:szCs w:val="21"/>
        </w:rPr>
        <w:t xml:space="preserve">IUGR / PJT (Restriksi Pertumbuhan Intrauterin / Pertumbuhan Janin Terhambat) — </w:t>
      </w:r>
      <w:r>
        <w:rPr>
          <w:rFonts w:ascii="IBM Plex Sans" w:cs="IBM Plex Sans" w:eastAsia="IBM Plex Sans" w:hAnsi="IBM Plex Sans"/>
          <w:color w:val="334155"/>
          <w:sz w:val="21"/>
          <w:szCs w:val="21"/>
        </w:rPr>
        <w:t xml:space="preserve">Kondisi janin tidak mencapai potensi pertumbuhan genetiknya akibat insufisiensi plasenta atau penyebab lain.</w:t>
      </w:r>
    </w:p>
    <w:p>
      <w:pPr>
        <w:spacing w:after="140" w:line="300"/>
      </w:pPr>
      <w:r>
        <w:rPr>
          <w:rFonts w:ascii="IBM Plex Sans" w:cs="IBM Plex Sans" w:eastAsia="IBM Plex Sans" w:hAnsi="IBM Plex Sans"/>
          <w:b/>
          <w:bCs/>
          <w:color w:val="334155"/>
          <w:sz w:val="21"/>
          <w:szCs w:val="21"/>
        </w:rPr>
        <w:t xml:space="preserve">Profil biofisik (Biophysical profile) — </w:t>
      </w:r>
      <w:r>
        <w:rPr>
          <w:rFonts w:ascii="IBM Plex Sans" w:cs="IBM Plex Sans" w:eastAsia="IBM Plex Sans" w:hAnsi="IBM Plex Sans"/>
          <w:color w:val="334155"/>
          <w:sz w:val="21"/>
          <w:szCs w:val="21"/>
        </w:rPr>
        <w:t xml:space="preserve">Penilaian kesejahteraan janin gabungan berbasis USG dan KTG, mencakup gerak napas janin, gerak tubuh, tonus, volume cairan ketuban, dan reaktivitas DJJ.</w:t>
      </w:r>
    </w:p>
    <w:p>
      <w:pPr>
        <w:spacing w:after="140" w:line="300"/>
      </w:pPr>
      <w:r>
        <w:rPr>
          <w:rFonts w:ascii="IBM Plex Sans" w:cs="IBM Plex Sans" w:eastAsia="IBM Plex Sans" w:hAnsi="IBM Plex Sans"/>
          <w:b/>
          <w:bCs/>
          <w:color w:val="334155"/>
          <w:sz w:val="21"/>
          <w:szCs w:val="21"/>
        </w:rPr>
        <w:t xml:space="preserve">Interval keputusan-ke-lahir (Decision-to-delivery interval) — </w:t>
      </w:r>
      <w:r>
        <w:rPr>
          <w:rFonts w:ascii="IBM Plex Sans" w:cs="IBM Plex Sans" w:eastAsia="IBM Plex Sans" w:hAnsi="IBM Plex Sans"/>
          <w:color w:val="334155"/>
          <w:sz w:val="21"/>
          <w:szCs w:val="21"/>
        </w:rPr>
        <w:t xml:space="preserve">Rentang waktu dari keputusan klinis untuk melakukan persalinan operatif hingga bayi lahir; indikator kecepatan respons layanan kegawatdaruratan obstetri.</w:t>
      </w:r>
    </w:p>
    <w:p>
      <w:pPr>
        <w:spacing w:after="140" w:line="300"/>
      </w:pPr>
      <w:r>
        <w:rPr>
          <w:rFonts w:ascii="IBM Plex Sans" w:cs="IBM Plex Sans" w:eastAsia="IBM Plex Sans" w:hAnsi="IBM Plex Sans"/>
          <w:b/>
          <w:bCs/>
          <w:color w:val="334155"/>
          <w:sz w:val="21"/>
          <w:szCs w:val="21"/>
        </w:rPr>
        <w:t xml:space="preserve">STAN (ST-segment Analysis) — </w:t>
      </w:r>
      <w:r>
        <w:rPr>
          <w:rFonts w:ascii="IBM Plex Sans" w:cs="IBM Plex Sans" w:eastAsia="IBM Plex Sans" w:hAnsi="IBM Plex Sans"/>
          <w:color w:val="334155"/>
          <w:sz w:val="21"/>
          <w:szCs w:val="21"/>
        </w:rPr>
        <w:t xml:space="preserve">Analisis morfologi segmen-ST pada elektrokardiogram janin sebagai pelengkap KTG; penggunaan rutin tidak lagi direkomendasikan berdasarkan bukti terkini.</w:t>
      </w:r>
    </w:p>
    <w:p>
      <w:pPr>
        <w:spacing w:after="140" w:line="300"/>
      </w:pPr>
      <w:r>
        <w:rPr>
          <w:rFonts w:ascii="IBM Plex Sans" w:cs="IBM Plex Sans" w:eastAsia="IBM Plex Sans" w:hAnsi="IBM Plex Sans"/>
          <w:b/>
          <w:bCs/>
          <w:color w:val="334155"/>
          <w:sz w:val="21"/>
          <w:szCs w:val="21"/>
        </w:rPr>
        <w:t xml:space="preserve">Interpretasi fisiologis KTG (Physiological CTG interpretation) — </w:t>
      </w:r>
      <w:r>
        <w:rPr>
          <w:rFonts w:ascii="IBM Plex Sans" w:cs="IBM Plex Sans" w:eastAsia="IBM Plex Sans" w:hAnsi="IBM Plex Sans"/>
          <w:color w:val="334155"/>
          <w:sz w:val="21"/>
          <w:szCs w:val="21"/>
        </w:rPr>
        <w:t xml:space="preserve">Kerangka interpretasi KTG yang mengklasifikasikan pola DJJ berdasarkan jenis dan mekanisme hipoksia janin yang mendasari, bukan semata pengelompokan fitur.</w:t>
      </w:r>
    </w:p>
    <w:p>
      <w:r>
        <w:br w:type="page"/>
      </w:r>
    </w:p>
    <w:p>
      <w:pPr>
        <w:spacing w:after="120"/>
      </w:pPr>
      <w:r>
        <w:rPr>
          <w:rFonts w:ascii="IBM Plex Sans" w:cs="IBM Plex Sans" w:eastAsia="IBM Plex Sans" w:hAnsi="IBM Plex Sans"/>
          <w:b/>
          <w:bCs/>
          <w:color w:val="B45309"/>
          <w:sz w:val="20"/>
          <w:szCs w:val="20"/>
        </w:rPr>
        <w:t xml:space="preserve">PPK No. 24 dari 73</w:t>
      </w:r>
    </w:p>
    <w:p>
      <w:pPr>
        <w:spacing w:after="80"/>
      </w:pPr>
      <w:r>
        <w:rPr>
          <w:rFonts w:ascii="IBM Plex Sans" w:cs="IBM Plex Sans" w:eastAsia="IBM Plex Sans" w:hAnsi="IBM Plex Sans"/>
          <w:color w:val="334155"/>
          <w:sz w:val="20"/>
          <w:szCs w:val="20"/>
        </w:rPr>
        <w:t xml:space="preserve">← Sebelumnya: PPK No. 23 — Ketuban Pecah pada Kehamilan Preterm</w:t>
      </w:r>
    </w:p>
    <w:p>
      <w:pPr>
        <w:spacing w:after="400"/>
      </w:pPr>
      <w:r>
        <w:rPr>
          <w:rFonts w:ascii="IBM Plex Sans" w:cs="IBM Plex Sans" w:eastAsia="IBM Plex Sans" w:hAnsi="IBM Plex Sans"/>
          <w:color w:val="334155"/>
          <w:sz w:val="20"/>
          <w:szCs w:val="20"/>
        </w:rPr>
        <w:t xml:space="preserve">Berikutnya: PPK No. 25 — Janin Kecil untuk Masa Kehamilan →</w:t>
      </w:r>
    </w:p>
    <w:p>
      <w:pPr>
        <w:pBdr>
          <w:top w:val="single" w:color="E2E8F0" w:sz="4"/>
        </w:pBdr>
        <w:spacing w:after="40" w:before="300"/>
        <w:jc w:val="center"/>
      </w:pPr>
      <w:r>
        <w:rPr>
          <w:rFonts w:ascii="IBM Plex Sans" w:cs="IBM Plex Sans" w:eastAsia="IBM Plex Sans" w:hAnsi="IBM Plex Sans"/>
          <w:color w:val="64748B"/>
          <w:sz w:val="16"/>
          <w:szCs w:val="16"/>
        </w:rPr>
        <w:t xml:space="preserve">Dr. dr. Budi Siswanto, Sp.OG., Subsp.Obginsos., SH., S.Kom.</w:t>
      </w:r>
    </w:p>
    <w:p>
      <w:pPr>
        <w:spacing w:after="40"/>
        <w:jc w:val="center"/>
      </w:pPr>
      <w:r>
        <w:rPr>
          <w:rFonts w:ascii="IBM Plex Sans" w:cs="IBM Plex Sans" w:eastAsia="IBM Plex Sans" w:hAnsi="IBM Plex Sans"/>
          <w:color w:val="64748B"/>
          <w:sz w:val="16"/>
          <w:szCs w:val="16"/>
        </w:rPr>
        <w:t xml:space="preserve">Perpustakaan Digital ABBA — Jl. Kerinci Raya No. 9, Malang 65138</w:t>
      </w:r>
    </w:p>
    <w:p>
      <w:pPr>
        <w:spacing w:after="0"/>
        <w:jc w:val="center"/>
      </w:pPr>
      <w:r>
        <w:rPr>
          <w:rFonts w:ascii="IBM Plex Sans" w:cs="IBM Plex Sans" w:eastAsia="IBM Plex Sans" w:hAnsi="IBM Plex Sans"/>
          <w:color w:val="64748B"/>
          <w:sz w:val="16"/>
          <w:szCs w:val="16"/>
        </w:rPr>
        <w:t xml:space="preserve">2026</w:t>
      </w:r>
    </w:p>
    <w:sectPr>
      <w:head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6"/>
        <w:szCs w:val="16"/>
      </w:rPr>
      <w:t xml:space="preserve">PPK No. 24/73 — Gawat Janin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00"/>
      <w:outlineLvl w:val="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00"/>
      <w:outlineLvl w:val="1"/>
    </w:pPr>
    <w:rPr>
      <w:rFonts w:ascii="Source Serif 4" w:cs="Source Serif 4" w:eastAsia="Source Serif 4" w:hAnsi="Source Serif 4"/>
      <w:b/>
      <w:bCs/>
      <w:color w:val="B4530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2026-08-17T10:58:39.937Z</dcterms:created>
  <dcterms:modified xsi:type="dcterms:W3CDTF">2026-08-17T10:58:39.937Z</dcterms:modified>
</cp:coreProperties>
</file>

<file path=docProps/custom.xml><?xml version="1.0" encoding="utf-8"?>
<Properties xmlns="http://schemas.openxmlformats.org/officeDocument/2006/custom-properties" xmlns:vt="http://schemas.openxmlformats.org/officeDocument/2006/docPropsVTypes"/>
</file>