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rFonts w:ascii="IBM Plex Mono" w:cs="IBM Plex Mono" w:eastAsia="IBM Plex Mono" w:hAnsi="IBM Plex Mono"/>
          <w:b/>
          <w:bCs/>
          <w:color w:val="B45309"/>
          <w:sz w:val="20"/>
          <w:szCs w:val="20"/>
        </w:rPr>
        <w:t xml:space="preserve">Perpustakaan Digital ABBA</w:t>
      </w:r>
    </w:p>
    <w:p>
      <w:pPr>
        <w:spacing w:after="600"/>
        <w:jc w:val="center"/>
      </w:pPr>
      <w:r>
        <w:rPr>
          <w:rFonts w:ascii="IBM Plex Sans" w:cs="IBM Plex Sans" w:eastAsia="IBM Plex Sans" w:hAnsi="IBM Plex Sans"/>
          <w:color w:val="64748B"/>
          <w:sz w:val="18"/>
          <w:szCs w:val="18"/>
        </w:rPr>
        <w:t xml:space="preserve">Jl. Kerinci Raya No. 9, Malang 65138</w:t>
      </w:r>
    </w:p>
    <w:p>
      <w:pPr>
        <w:spacing w:after="120" w:before="400"/>
        <w:jc w:val="center"/>
      </w:pPr>
      <w:r>
        <w:rPr>
          <w:rFonts w:ascii="IBM Plex Mono" w:cs="IBM Plex Mono" w:eastAsia="IBM Plex Mono" w:hAnsi="IBM Plex Mono"/>
          <w:b/>
          <w:bCs/>
          <w:color w:val="4F46E5"/>
          <w:sz w:val="22"/>
          <w:szCs w:val="22"/>
        </w:rPr>
        <w:t xml:space="preserve">Panduan Praktik Klinis (PPK) No. 25 dari 73</w:t>
      </w:r>
    </w:p>
    <w:p>
      <w:pPr>
        <w:spacing w:after="100" w:before="200"/>
        <w:jc w:val="center"/>
      </w:pPr>
      <w:r>
        <w:rPr>
          <w:rFonts w:ascii="Source Serif 4" w:cs="Source Serif 4" w:eastAsia="Source Serif 4" w:hAnsi="Source Serif 4"/>
          <w:b/>
          <w:bCs/>
          <w:color w:val="4F46E5"/>
          <w:sz w:val="44"/>
          <w:szCs w:val="44"/>
        </w:rPr>
        <w:t xml:space="preserve">Janin Kecil untuk Masa Kehamilan</w:t>
      </w:r>
    </w:p>
    <w:p>
      <w:pPr>
        <w:spacing w:after="500"/>
        <w:jc w:val="center"/>
      </w:pPr>
      <w:r>
        <w:rPr>
          <w:rFonts w:ascii="Source Serif 4" w:cs="Source Serif 4" w:eastAsia="Source Serif 4" w:hAnsi="Source Serif 4"/>
          <w:i/>
          <w:iCs/>
          <w:color w:val="64748B"/>
          <w:sz w:val="26"/>
          <w:szCs w:val="26"/>
        </w:rPr>
        <w:t xml:space="preserve">Small for Gestational Age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c>
          <w:tcPr>
            <w:tcW w:type="dxa" w:w="2800"/>
            <w:shd w:fill="EEF2FF" w:val="clear"/>
            <w:tcMar>
              <w:top w:type="dxa" w:w="80"/>
              <w:left w:type="dxa" w:w="120"/>
              <w:bottom w:type="dxa" w:w="80"/>
              <w:right w:type="dxa" w:w="80"/>
            </w:tcMar>
          </w:tcPr>
          <w:p>
            <w:r>
              <w:rPr>
                <w:rFonts w:ascii="IBM Plex Mono" w:cs="IBM Plex Mono" w:eastAsia="IBM Plex Mono" w:hAnsi="IBM Plex Mono"/>
                <w:b/>
                <w:bCs/>
                <w:color w:val="4F46E5"/>
                <w:sz w:val="17"/>
                <w:szCs w:val="17"/>
              </w:rPr>
              <w:t xml:space="preserve">Kode Unit</w:t>
            </w:r>
          </w:p>
        </w:tc>
        <w:tc>
          <w:tcPr>
            <w:tcW w:type="dxa" w:w="6200"/>
            <w:shd w:fill="FFFFFF" w:val="clear"/>
            <w:tcMar>
              <w:top w:type="dxa" w:w="80"/>
              <w:left w:type="dxa" w:w="120"/>
              <w:bottom w:type="dxa" w:w="80"/>
              <w:right w:type="dxa" w:w="80"/>
            </w:tcMar>
          </w:tcPr>
          <w:p>
            <w:r>
              <w:rPr>
                <w:rFonts w:ascii="IBM Plex Sans" w:cs="IBM Plex Sans" w:eastAsia="IBM Plex Sans" w:hAnsi="IBM Plex Sans"/>
                <w:color w:val="334155"/>
                <w:sz w:val="20"/>
                <w:szCs w:val="20"/>
              </w:rPr>
              <w:t xml:space="preserve">PPK-025 (25 dari 73)</w:t>
            </w:r>
          </w:p>
        </w:tc>
      </w:tr>
      <w:tr>
        <w:tc>
          <w:tcPr>
            <w:tcW w:type="dxa" w:w="2800"/>
            <w:shd w:fill="EEF2FF" w:val="clear"/>
            <w:tcMar>
              <w:top w:type="dxa" w:w="80"/>
              <w:left w:type="dxa" w:w="120"/>
              <w:bottom w:type="dxa" w:w="80"/>
              <w:right w:type="dxa" w:w="80"/>
            </w:tcMar>
          </w:tcPr>
          <w:p>
            <w:r>
              <w:rPr>
                <w:rFonts w:ascii="IBM Plex Mono" w:cs="IBM Plex Mono" w:eastAsia="IBM Plex Mono" w:hAnsi="IBM Plex Mono"/>
                <w:b/>
                <w:bCs/>
                <w:color w:val="4F46E5"/>
                <w:sz w:val="17"/>
                <w:szCs w:val="17"/>
              </w:rPr>
              <w:t xml:space="preserve">ICD-10</w:t>
            </w:r>
          </w:p>
        </w:tc>
        <w:tc>
          <w:tcPr>
            <w:tcW w:type="dxa" w:w="6200"/>
            <w:shd w:fill="FFFFFF" w:val="clear"/>
            <w:tcMar>
              <w:top w:type="dxa" w:w="80"/>
              <w:left w:type="dxa" w:w="120"/>
              <w:bottom w:type="dxa" w:w="80"/>
              <w:right w:type="dxa" w:w="80"/>
            </w:tcMar>
          </w:tcPr>
          <w:p>
            <w:r>
              <w:rPr>
                <w:rFonts w:ascii="IBM Plex Sans" w:cs="IBM Plex Sans" w:eastAsia="IBM Plex Sans" w:hAnsi="IBM Plex Sans"/>
                <w:color w:val="334155"/>
                <w:sz w:val="20"/>
                <w:szCs w:val="20"/>
              </w:rPr>
              <w:t xml:space="preserve">P05.1</w:t>
            </w:r>
          </w:p>
        </w:tc>
      </w:tr>
      <w:tr>
        <w:tc>
          <w:tcPr>
            <w:tcW w:type="dxa" w:w="2800"/>
            <w:shd w:fill="EEF2FF" w:val="clear"/>
            <w:tcMar>
              <w:top w:type="dxa" w:w="80"/>
              <w:left w:type="dxa" w:w="120"/>
              <w:bottom w:type="dxa" w:w="80"/>
              <w:right w:type="dxa" w:w="80"/>
            </w:tcMar>
          </w:tcPr>
          <w:p>
            <w:r>
              <w:rPr>
                <w:rFonts w:ascii="IBM Plex Mono" w:cs="IBM Plex Mono" w:eastAsia="IBM Plex Mono" w:hAnsi="IBM Plex Mono"/>
                <w:b/>
                <w:bCs/>
                <w:color w:val="4F46E5"/>
                <w:sz w:val="17"/>
                <w:szCs w:val="17"/>
              </w:rPr>
              <w:t xml:space="preserve">ICD-11</w:t>
            </w:r>
          </w:p>
        </w:tc>
        <w:tc>
          <w:tcPr>
            <w:tcW w:type="dxa" w:w="6200"/>
            <w:shd w:fill="FFFFFF" w:val="clear"/>
            <w:tcMar>
              <w:top w:type="dxa" w:w="80"/>
              <w:left w:type="dxa" w:w="120"/>
              <w:bottom w:type="dxa" w:w="80"/>
              <w:right w:type="dxa" w:w="80"/>
            </w:tcMar>
          </w:tcPr>
          <w:p>
            <w:r>
              <w:rPr>
                <w:rFonts w:ascii="IBM Plex Sans" w:cs="IBM Plex Sans" w:eastAsia="IBM Plex Sans" w:hAnsi="IBM Plex Sans"/>
                <w:color w:val="334155"/>
                <w:sz w:val="20"/>
                <w:szCs w:val="20"/>
              </w:rPr>
              <w:t xml:space="preserve">KA20.0 ; JA86.4</w:t>
            </w:r>
          </w:p>
        </w:tc>
      </w:tr>
      <w:tr>
        <w:tc>
          <w:tcPr>
            <w:tcW w:type="dxa" w:w="2800"/>
            <w:shd w:fill="EEF2FF" w:val="clear"/>
            <w:tcMar>
              <w:top w:type="dxa" w:w="80"/>
              <w:left w:type="dxa" w:w="120"/>
              <w:bottom w:type="dxa" w:w="80"/>
              <w:right w:type="dxa" w:w="80"/>
            </w:tcMar>
          </w:tcPr>
          <w:p>
            <w:r>
              <w:rPr>
                <w:rFonts w:ascii="IBM Plex Mono" w:cs="IBM Plex Mono" w:eastAsia="IBM Plex Mono" w:hAnsi="IBM Plex Mono"/>
                <w:b/>
                <w:bCs/>
                <w:color w:val="4F46E5"/>
                <w:sz w:val="17"/>
                <w:szCs w:val="17"/>
              </w:rPr>
              <w:t xml:space="preserve">Divisi Pengampu</w:t>
            </w:r>
          </w:p>
        </w:tc>
        <w:tc>
          <w:tcPr>
            <w:tcW w:type="dxa" w:w="6200"/>
            <w:shd w:fill="FFFFFF" w:val="clear"/>
            <w:tcMar>
              <w:top w:type="dxa" w:w="80"/>
              <w:left w:type="dxa" w:w="120"/>
              <w:bottom w:type="dxa" w:w="80"/>
              <w:right w:type="dxa" w:w="80"/>
            </w:tcMar>
          </w:tcPr>
          <w:p>
            <w:r>
              <w:rPr>
                <w:rFonts w:ascii="IBM Plex Sans" w:cs="IBM Plex Sans" w:eastAsia="IBM Plex Sans" w:hAnsi="IBM Plex Sans"/>
                <w:color w:val="334155"/>
                <w:sz w:val="20"/>
                <w:szCs w:val="20"/>
              </w:rPr>
              <w:t xml:space="preserve">Fetomaternal</w:t>
            </w:r>
          </w:p>
        </w:tc>
      </w:tr>
      <w:tr>
        <w:tc>
          <w:tcPr>
            <w:tcW w:type="dxa" w:w="2800"/>
            <w:shd w:fill="EEF2FF" w:val="clear"/>
            <w:tcMar>
              <w:top w:type="dxa" w:w="80"/>
              <w:left w:type="dxa" w:w="120"/>
              <w:bottom w:type="dxa" w:w="80"/>
              <w:right w:type="dxa" w:w="80"/>
            </w:tcMar>
          </w:tcPr>
          <w:p>
            <w:r>
              <w:rPr>
                <w:rFonts w:ascii="IBM Plex Mono" w:cs="IBM Plex Mono" w:eastAsia="IBM Plex Mono" w:hAnsi="IBM Plex Mono"/>
                <w:b/>
                <w:bCs/>
                <w:color w:val="4F46E5"/>
                <w:sz w:val="17"/>
                <w:szCs w:val="17"/>
              </w:rPr>
              <w:t xml:space="preserve">Dasar Regulasi</w:t>
            </w:r>
          </w:p>
        </w:tc>
        <w:tc>
          <w:tcPr>
            <w:tcW w:type="dxa" w:w="6200"/>
            <w:shd w:fill="FFFFFF" w:val="clear"/>
            <w:tcMar>
              <w:top w:type="dxa" w:w="80"/>
              <w:left w:type="dxa" w:w="120"/>
              <w:bottom w:type="dxa" w:w="80"/>
              <w:right w:type="dxa" w:w="80"/>
            </w:tcMar>
          </w:tcPr>
          <w:p>
            <w:r>
              <w:rPr>
                <w:rFonts w:ascii="IBM Plex Sans" w:cs="IBM Plex Sans" w:eastAsia="IBM Plex Sans" w:hAnsi="IBM Plex Sans"/>
                <w:color w:val="334155"/>
                <w:sz w:val="20"/>
                <w:szCs w:val="20"/>
              </w:rPr>
              <w:t xml:space="preserve">Kepkonsil HK.01.02/KKI/1318/2026, Tabel 7 No. 25</w:t>
            </w:r>
          </w:p>
        </w:tc>
      </w:tr>
    </w:tbl>
    <w:p>
      <w:pPr>
        <w:spacing w:after="40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FFF7ED" w:sz="2"/>
              <w:left w:val="single" w:color="B45309" w:sz="24"/>
              <w:bottom w:val="single" w:color="FFF7ED" w:sz="2"/>
              <w:right w:val="single" w:color="FFF7ED" w:sz="2"/>
            </w:tcBorders>
            <w:shd w:fill="FFF7ED" w:val="clear"/>
            <w:tcMar>
              <w:top w:type="dxa" w:w="140"/>
              <w:left w:type="dxa" w:w="200"/>
              <w:bottom w:type="dxa" w:w="14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0"/>
                <w:szCs w:val="20"/>
              </w:rPr>
              <w:t xml:space="preserve">Kepkonsil No. HK.01.02/KKI/1318/2026, Lampiran Tabel 7 (Spektrum Penyakit dan Kondisi Klinis), entri No. 25</w:t>
            </w:r>
          </w:p>
        </w:tc>
      </w:tr>
    </w:tbl>
    <w:p>
      <w:pPr>
        <w:spacing w:after="80" w:before="800"/>
        <w:jc w:val="center"/>
      </w:pPr>
      <w:r>
        <w:rPr>
          <w:rFonts w:ascii="IBM Plex Sans" w:cs="IBM Plex Sans" w:eastAsia="IBM Plex Sans" w:hAnsi="IBM Plex Sans"/>
          <w:color w:val="334155"/>
          <w:sz w:val="20"/>
          <w:szCs w:val="20"/>
        </w:rPr>
        <w:t xml:space="preserve">Divisi Pengampu: Fetomaternal</w:t>
      </w:r>
    </w:p>
    <w:p>
      <w:pPr>
        <w:spacing w:after="40"/>
        <w:jc w:val="center"/>
      </w:pPr>
      <w:r>
        <w:rPr>
          <w:rFonts w:ascii="IBM Plex Sans" w:cs="IBM Plex Sans" w:eastAsia="IBM Plex Sans" w:hAnsi="IBM Plex Sans"/>
          <w:color w:val="334155"/>
          <w:sz w:val="20"/>
          <w:szCs w:val="20"/>
        </w:rPr>
        <w:t xml:space="preserve">Dr.dr. Budi Siswanto, Sp.OG., Subsp.Obginsos., SH., S.Kom.</w:t>
      </w:r>
    </w:p>
    <w:p>
      <w:r>
        <w:br w:type="page"/>
      </w:r>
    </w:p>
    <w:p>
      <w:pPr>
        <w:sectPr>
          <w:pgSz w:w="11906" w:h="16838" w:orient="portrait"/>
          <w:pgMar w:top="1134" w:right="1134" w:bottom="1134" w:left="1134" w:header="708" w:footer="708" w:gutter="0"/>
          <w:pgNumType/>
          <w:docGrid w:linePitch="360"/>
        </w:sectPr>
      </w:pPr>
    </w:p>
    <w:p>
      <w:pPr>
        <w:spacing w:after="200"/>
      </w:pPr>
      <w:r>
        <w:rPr>
          <w:rFonts w:ascii="IBM Plex Sans" w:cs="IBM Plex Sans" w:eastAsia="IBM Plex Sans" w:hAnsi="IBM Plex Sans"/>
          <w:i/>
          <w:iCs/>
          <w:color w:val="334155"/>
          <w:sz w:val="22"/>
          <w:szCs w:val="22"/>
        </w:rPr>
        <w:t xml:space="preserve">Panduan ini merupakan turunan operasional dari bab Restriksi Pertumbuhan Janin dan Insufisiensi Plasenta pada Buku Tematik B3 — Obstetri Patologis dan Kegawatdaruratan Maternal, dan disusun berdasarkan entri No. 25 Tabel 7 Lampiran Kepkonsil No. HK.01.02/KKI/1318/2026 tentang Standar Kompetensi Dokter Spesialis dan Subspesialis Bidang Obstetri dan Ginekologi, dengan diagnosis "Janin kecil untuk masa kehamilan (Small for gestation)", kode ICD-10 P05.1 dan ICD-11 KA20.0 ; JA86.4, keterangan/populasi resmi: restriksi pertumbuhan intrauterin dengan risiko morbiditas neonatal.</w:t>
      </w:r>
    </w:p>
    <w:p>
      <w:pPr>
        <w:pStyle w:val="Heading1"/>
        <w:spacing w:after="140" w:before="360"/>
      </w:pPr>
      <w:r>
        <w:rPr>
          <w:rFonts w:ascii="Source Serif 4" w:cs="Source Serif 4" w:eastAsia="Source Serif 4" w:hAnsi="Source Serif 4"/>
          <w:b/>
          <w:bCs/>
          <w:color w:val="4F46E5"/>
          <w:sz w:val="30"/>
          <w:szCs w:val="30"/>
        </w:rPr>
        <w:t xml:space="preserve">1. Pengertian/Definisi</w:t>
      </w:r>
    </w:p>
    <w:p>
      <w:pPr>
        <w:spacing w:after="160" w:line="276"/>
      </w:pPr>
      <w:r>
        <w:rPr>
          <w:rFonts w:ascii="IBM Plex Sans" w:cs="IBM Plex Sans" w:eastAsia="IBM Plex Sans" w:hAnsi="IBM Plex Sans"/>
          <w:color w:val="334155"/>
          <w:sz w:val="22"/>
          <w:szCs w:val="22"/>
        </w:rPr>
        <w:t xml:space="preserve">Janin kecil untuk masa kehamilan (small for gestational age, SGA) adalah janin dengan taksiran berat janin (estimated fetal weight, EFW) dan/atau lingkar perut (abdominal circumference, AC) di bawah persentil ke-10 kurva pertumbuhan janin yang sesuai untuk usia kehamilan, sebagaimana tercakup dalam entri diagnosis Tabel 7 Kepkonsil No. HK.01.02/KKI/1318/2026 No. 25 dengan keterangan resmi "restriksi pertumbuhan intrauterin; risiko morbiditas neonatal".</w:t>
      </w:r>
    </w:p>
    <w:p>
      <w:pPr>
        <w:spacing w:after="160" w:line="276"/>
      </w:pPr>
      <w:r>
        <w:rPr>
          <w:rFonts w:ascii="IBM Plex Sans" w:cs="IBM Plex Sans" w:eastAsia="IBM Plex Sans" w:hAnsi="IBM Plex Sans"/>
          <w:color w:val="334155"/>
          <w:sz w:val="22"/>
          <w:szCs w:val="22"/>
        </w:rPr>
        <w:t xml:space="preserve">Secara klinis, kondisi ini perlu dibedakan menjadi dua kelompok yang menentukan tata laksana: (a) SGA konstitusional, yaitu janin kecil namun proporsional, tumbuh sesuai potensi genetiknya (dipengaruhi antara lain oleh tinggi badan, berat badan, etnis, dan paritas ibu), dengan Doppler dan cairan amnion normal; dan (b) restriksi pertumbuhan janin (fetal growth restriction, FGR), yaitu janin yang gagal mencapai potensi pertumbuhan genetiknya, paling sering akibat insufisiensi plasenta, disertai kelainan Doppler dan/atau oligohidramnion. SGA berat didefinisikan sebagai EFW, AC, atau berat lahir di bawah persentil ke-3. Pembedaan SGA konstitusional versus FGR ini digunakan sebagai pengayaan karena Kepkonsil tidak merinci subklasifikasi tersebut secara eksplisit; definisi operasionalnya mengikuti konsensus internasional (Gordijn dkk., 2016) sebagaimana diadopsi oleh pedoman ISUOG, RCOG, dan FIGO.</w:t>
      </w:r>
    </w:p>
    <w:p>
      <w:pPr>
        <w:spacing w:after="160" w:line="276"/>
      </w:pPr>
      <w:r>
        <w:rPr>
          <w:rFonts w:ascii="IBM Plex Sans" w:cs="IBM Plex Sans" w:eastAsia="IBM Plex Sans" w:hAnsi="IBM Plex Sans"/>
          <w:color w:val="334155"/>
          <w:sz w:val="22"/>
          <w:szCs w:val="22"/>
        </w:rPr>
        <w:t xml:space="preserve">Berdasarkan usia kehamilan saat onset, FGR dibedakan menjadi early-onset (terdiagnosis sebelum 32 minggu, umumnya berat, sering disertai preeklampsia, dan lebih mudah dikenali dari kelainan Doppler arteri umbilikalis) dan late-onset (terdiagnosis pada atau setelah 32 minggu, umumnya lebih ringan namun secara klinis lebih sulit dideteksi karena kelainan Doppler arteri umbilikalis sering masih normal; deteksi mengandalkan rasio serebroplasenta dan tren pertumbuhan serial).</w:t>
      </w:r>
    </w:p>
    <w:p>
      <w:pPr>
        <w:spacing w:after="160" w:line="276"/>
      </w:pPr>
      <w:r>
        <w:rPr>
          <w:rFonts w:ascii="IBM Plex Sans" w:cs="IBM Plex Sans" w:eastAsia="IBM Plex Sans" w:hAnsi="IBM Plex Sans"/>
          <w:color w:val="334155"/>
          <w:sz w:val="22"/>
          <w:szCs w:val="22"/>
        </w:rPr>
        <w:t xml:space="preserve">Secara patofisiologi, penyebab FGR dikelompokkan menjadi tiga: (1) plasenta — insufisiensi akibat gangguan remodeling arteri spiralis (penyebab tersering), plasenta previa, atau kelainan struktural plasenta/tali pusat; (2) janin — kelainan kromosom, sindrom genetik, infeksi kongenital, atau kehamilan multipel dengan diskordansi pertumbuhan; dan (3) maternal — penyakit vaskular kronik, gizi kurang, atau paparan zat berisiko. Identifikasi kelompok penyebab ini memandu arah pemeriksaan penunjang pada bagian 6.</w:t>
      </w:r>
    </w:p>
    <w:p>
      <w:pPr>
        <w:pStyle w:val="Heading1"/>
        <w:spacing w:after="140" w:before="360"/>
      </w:pPr>
      <w:r>
        <w:rPr>
          <w:rFonts w:ascii="Source Serif 4" w:cs="Source Serif 4" w:eastAsia="Source Serif 4" w:hAnsi="Source Serif 4"/>
          <w:b/>
          <w:bCs/>
          <w:color w:val="4F46E5"/>
          <w:sz w:val="30"/>
          <w:szCs w:val="30"/>
        </w:rPr>
        <w:t xml:space="preserve">2. Anamnesis</w:t>
      </w:r>
    </w:p>
    <w:p>
      <w:pPr>
        <w:spacing w:after="160" w:line="276"/>
      </w:pPr>
      <w:r>
        <w:rPr>
          <w:rFonts w:ascii="IBM Plex Sans" w:cs="IBM Plex Sans" w:eastAsia="IBM Plex Sans" w:hAnsi="IBM Plex Sans"/>
          <w:color w:val="334155"/>
          <w:sz w:val="22"/>
          <w:szCs w:val="22"/>
        </w:rPr>
        <w:t xml:space="preserve">Anamnesis diarahkan untuk mengidentifikasi faktor risiko maternal, plasenta, dan janin yang berkaitan dengan restriksi pertumbuhan intrauterin, sebagaimana keterangan populasi resmi pada Tabel 7 Kepkonsil, sekaligus menjadi dasar penilaian risiko terstruktur pada kunjungan pertama (booking) sebelum usia kehamilan 14 minggu.</w:t>
      </w:r>
    </w:p>
    <w:p>
      <w:pPr>
        <w:spacing w:after="80" w:before="120"/>
      </w:pPr>
      <w:r>
        <w:rPr>
          <w:rFonts w:ascii="IBM Plex Sans" w:cs="IBM Plex Sans" w:eastAsia="IBM Plex Sans" w:hAnsi="IBM Plex Sans"/>
          <w:b/>
          <w:bCs/>
          <w:color w:val="B45309"/>
          <w:sz w:val="22"/>
          <w:szCs w:val="22"/>
        </w:rPr>
        <w:t xml:space="preserve">Faktor risiko maternal</w:t>
      </w:r>
    </w:p>
    <w:p>
      <w:pPr>
        <w:pStyle w:val="ListParagraph"/>
        <w:numPr>
          <w:ilvl w:val="0"/>
          <w:numId w:val="1"/>
        </w:numPr>
        <w:spacing w:after="100" w:line="268"/>
      </w:pPr>
      <w:r>
        <w:rPr>
          <w:rFonts w:ascii="IBM Plex Sans" w:cs="IBM Plex Sans" w:eastAsia="IBM Plex Sans" w:hAnsi="IBM Plex Sans"/>
          <w:color w:val="334155"/>
          <w:sz w:val="21"/>
          <w:szCs w:val="21"/>
        </w:rPr>
        <w:t xml:space="preserve">Riwayat kehamilan sebelumnya dengan SGA/FGR, preeklampsia, solusio plasenta, atau lahir mati (stillbirth) — faktor risiko mayor yang menentukan kebutuhan pemantauan biometri serial sejak awal trimester ketiga.</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Penyakit kronik: hipertensi kronik, penyakit ginjal kronik, diabetes melitus dengan vaskulopati, penyakit jantung (termasuk penyakit jantung sianotik dan penyakit jantung kongenital kompleks), penyakit autoimun (lupus eritematosus sistemik, sindrom antifosfolipid).</w:t>
      </w:r>
    </w:p>
    <w:p>
      <w:pPr>
        <w:pStyle w:val="ListParagraph"/>
        <w:numPr>
          <w:ilvl w:val="0"/>
          <w:numId w:val="1"/>
        </w:numPr>
        <w:spacing w:after="100" w:line="268"/>
      </w:pPr>
      <w:r>
        <w:rPr>
          <w:rFonts w:ascii="IBM Plex Sans" w:cs="IBM Plex Sans" w:eastAsia="IBM Plex Sans" w:hAnsi="IBM Plex Sans"/>
          <w:color w:val="334155"/>
          <w:sz w:val="21"/>
          <w:szCs w:val="21"/>
        </w:rPr>
        <w:t xml:space="preserve">Status gizi ibu: indeks massa tubuh pra-hamil rendah (&lt;18,5 kg/m²), kenaikan berat badan kehamilan tidak adekuat, riwayat gangguan makan.</w:t>
      </w:r>
    </w:p>
    <w:p>
      <w:pPr>
        <w:pStyle w:val="ListParagraph"/>
        <w:numPr>
          <w:ilvl w:val="0"/>
          <w:numId w:val="1"/>
        </w:numPr>
        <w:spacing w:after="100" w:line="268"/>
      </w:pPr>
      <w:r>
        <w:rPr>
          <w:rFonts w:ascii="IBM Plex Sans" w:cs="IBM Plex Sans" w:eastAsia="IBM Plex Sans" w:hAnsi="IBM Plex Sans"/>
          <w:color w:val="334155"/>
          <w:sz w:val="21"/>
          <w:szCs w:val="21"/>
        </w:rPr>
        <w:t xml:space="preserve">Perilaku berisiko: merokok aktif/pasif, konsumsi alkohol, penyalahgunaan zat (kokain, metamfetamin).</w:t>
      </w:r>
    </w:p>
    <w:p>
      <w:pPr>
        <w:pStyle w:val="ListParagraph"/>
        <w:numPr>
          <w:ilvl w:val="0"/>
          <w:numId w:val="1"/>
        </w:numPr>
        <w:spacing w:after="100" w:line="268"/>
      </w:pPr>
      <w:r>
        <w:rPr>
          <w:rFonts w:ascii="IBM Plex Sans" w:cs="IBM Plex Sans" w:eastAsia="IBM Plex Sans" w:hAnsi="IBM Plex Sans"/>
          <w:color w:val="334155"/>
          <w:sz w:val="21"/>
          <w:szCs w:val="21"/>
        </w:rPr>
        <w:t xml:space="preserve">Usia ibu ekstrem (&lt;18 tahun atau &gt;35 tahun), jarak kehamilan pendek (&lt;6 bulan) atau panjang (&gt;60 bulan), paritas tinggi, riwayat prosedur bedah rahim (miomektomi, konisasi).</w:t>
      </w:r>
    </w:p>
    <w:p>
      <w:pPr>
        <w:pStyle w:val="ListParagraph"/>
        <w:numPr>
          <w:ilvl w:val="0"/>
          <w:numId w:val="1"/>
        </w:numPr>
        <w:spacing w:after="100" w:line="268"/>
      </w:pPr>
      <w:r>
        <w:rPr>
          <w:rFonts w:ascii="IBM Plex Sans" w:cs="IBM Plex Sans" w:eastAsia="IBM Plex Sans" w:hAnsi="IBM Plex Sans"/>
          <w:color w:val="334155"/>
          <w:sz w:val="21"/>
          <w:szCs w:val="21"/>
        </w:rPr>
        <w:t xml:space="preserve">Riwayat infeksi TORCH (toksoplasmosis, rubela, sitomegalovirus, herpes simpleks) serta malaria dan sifilis pada kehamilan berjalan, yang relevan pada konteks epidemiologi Indonesia.</w:t>
      </w:r>
    </w:p>
    <w:p>
      <w:pPr>
        <w:pStyle w:val="ListParagraph"/>
        <w:numPr>
          <w:ilvl w:val="0"/>
          <w:numId w:val="1"/>
        </w:numPr>
        <w:spacing w:after="100" w:line="268"/>
      </w:pPr>
      <w:r>
        <w:rPr>
          <w:rFonts w:ascii="IBM Plex Sans" w:cs="IBM Plex Sans" w:eastAsia="IBM Plex Sans" w:hAnsi="IBM Plex Sans"/>
          <w:color w:val="334155"/>
          <w:sz w:val="21"/>
          <w:szCs w:val="21"/>
        </w:rPr>
        <w:t xml:space="preserve">Riwayat first trimester screening (bila tersedia): kadar rendah pregnancy-associated plasma protein A (PAPP-A) berkaitan dengan peningkatan risiko SGA dan perlu dicatat sebagai penanda risiko tambahan.</w:t>
      </w:r>
    </w:p>
    <w:p>
      <w:pPr>
        <w:spacing w:after="80" w:before="120"/>
      </w:pPr>
      <w:r>
        <w:rPr>
          <w:rFonts w:ascii="IBM Plex Sans" w:cs="IBM Plex Sans" w:eastAsia="IBM Plex Sans" w:hAnsi="IBM Plex Sans"/>
          <w:b/>
          <w:bCs/>
          <w:color w:val="B45309"/>
          <w:sz w:val="22"/>
          <w:szCs w:val="22"/>
        </w:rPr>
        <w:t xml:space="preserve">Keluhan dan riwayat kehamilan berjalan</w:t>
      </w:r>
    </w:p>
    <w:p>
      <w:pPr>
        <w:pStyle w:val="ListParagraph"/>
        <w:numPr>
          <w:ilvl w:val="0"/>
          <w:numId w:val="1"/>
        </w:numPr>
        <w:spacing w:after="100" w:line="268"/>
      </w:pPr>
      <w:r>
        <w:rPr>
          <w:rFonts w:ascii="IBM Plex Sans" w:cs="IBM Plex Sans" w:eastAsia="IBM Plex Sans" w:hAnsi="IBM Plex Sans"/>
          <w:color w:val="334155"/>
          <w:sz w:val="21"/>
          <w:szCs w:val="21"/>
        </w:rPr>
        <w:t xml:space="preserve">Persepsi ibu terhadap berkurangnya gerakan janin — tanyakan pola gerak janin harian dan bandingkan dengan pola biasanya, bukan hanya jumlah absolut.</w:t>
      </w:r>
    </w:p>
    <w:p>
      <w:pPr>
        <w:pStyle w:val="ListParagraph"/>
        <w:numPr>
          <w:ilvl w:val="0"/>
          <w:numId w:val="1"/>
        </w:numPr>
        <w:spacing w:after="100" w:line="268"/>
      </w:pPr>
      <w:r>
        <w:rPr>
          <w:rFonts w:ascii="IBM Plex Sans" w:cs="IBM Plex Sans" w:eastAsia="IBM Plex Sans" w:hAnsi="IBM Plex Sans"/>
          <w:color w:val="334155"/>
          <w:sz w:val="21"/>
          <w:szCs w:val="21"/>
        </w:rPr>
        <w:t xml:space="preserve">Tinggi fundus uteri yang dilaporkan tidak sesuai usia kehamilan pada kunjungan antenatal sebelumnya, atau hasil skrining simfisis-fundus (SFH) yang menyimpang dari kurva rujukan.</w:t>
      </w:r>
    </w:p>
    <w:p>
      <w:pPr>
        <w:pStyle w:val="ListParagraph"/>
        <w:numPr>
          <w:ilvl w:val="0"/>
          <w:numId w:val="1"/>
        </w:numPr>
        <w:spacing w:after="100" w:line="268"/>
      </w:pPr>
      <w:r>
        <w:rPr>
          <w:rFonts w:ascii="IBM Plex Sans" w:cs="IBM Plex Sans" w:eastAsia="IBM Plex Sans" w:hAnsi="IBM Plex Sans"/>
          <w:color w:val="334155"/>
          <w:sz w:val="21"/>
          <w:szCs w:val="21"/>
        </w:rPr>
        <w:t xml:space="preserve">Gejala preeklampsia yang menyertai: nyeri kepala persisten, gangguan penglihatan, nyeri epigastrium/kuadran kanan atas, edema mendadak pada wajah/tangan.</w:t>
      </w:r>
    </w:p>
    <w:p>
      <w:pPr>
        <w:pStyle w:val="ListParagraph"/>
        <w:numPr>
          <w:ilvl w:val="0"/>
          <w:numId w:val="1"/>
        </w:numPr>
        <w:spacing w:after="100" w:line="268"/>
      </w:pPr>
      <w:r>
        <w:rPr>
          <w:rFonts w:ascii="IBM Plex Sans" w:cs="IBM Plex Sans" w:eastAsia="IBM Plex Sans" w:hAnsi="IBM Plex Sans"/>
          <w:color w:val="334155"/>
          <w:sz w:val="21"/>
          <w:szCs w:val="21"/>
        </w:rPr>
        <w:t xml:space="preserve">Riwayat pajanan lingkungan/pekerjaan berisiko (radiasi, pelarut organik) dan riwayat penggunaan obat yang berpotensi memengaruhi pertumbuhan janin.</w:t>
      </w:r>
    </w:p>
    <w:p>
      <w:pPr>
        <w:pStyle w:val="Heading1"/>
        <w:spacing w:after="140" w:before="360"/>
      </w:pPr>
      <w:r>
        <w:rPr>
          <w:rFonts w:ascii="Source Serif 4" w:cs="Source Serif 4" w:eastAsia="Source Serif 4" w:hAnsi="Source Serif 4"/>
          <w:b/>
          <w:bCs/>
          <w:color w:val="4F46E5"/>
          <w:sz w:val="30"/>
          <w:szCs w:val="30"/>
        </w:rPr>
        <w:t xml:space="preserve">3. Pemeriksaan Fisik</w:t>
      </w:r>
    </w:p>
    <w:p>
      <w:pPr>
        <w:spacing w:after="160" w:line="276"/>
      </w:pPr>
      <w:r>
        <w:rPr>
          <w:rFonts w:ascii="IBM Plex Sans" w:cs="IBM Plex Sans" w:eastAsia="IBM Plex Sans" w:hAnsi="IBM Plex Sans"/>
          <w:color w:val="334155"/>
          <w:sz w:val="22"/>
          <w:szCs w:val="22"/>
        </w:rPr>
        <w:t xml:space="preserve">Pemeriksaan fisik obstetri difokuskan pada penilaian pertumbuhan janin secara klinis dan skrining komplikasi hipertensif yang sering menyertai FGR.</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Pengukuran tinggi fundus uteri (TFU) terstandardisasi (pita ukur, kandung kemih kosong, posisi terlentang dengan sedikit kemiringan lateral) dan diplot pada kurva TFU sesuai usia kehamilan; selisih ≥3 cm dari yang diharapkan, atau TFU yang menyeberang garis persentil pada pengukuran serial, merupakan indikasi rujukan USG biometri.</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Pengukuran tekanan darah dengan teknik baku dan pemeriksaan tanda preeklampsia (edema patologis, refleks tendon hiperaktif, nyeri tekan kuadran kanan atas), mengingat keterkaitan erat FGR dengan gangguan hipertensi dalam kehamilan.</w:t>
      </w:r>
    </w:p>
    <w:p>
      <w:pPr>
        <w:pStyle w:val="ListParagraph"/>
        <w:numPr>
          <w:ilvl w:val="0"/>
          <w:numId w:val="1"/>
        </w:numPr>
        <w:spacing w:after="100" w:line="268"/>
      </w:pPr>
      <w:r>
        <w:rPr>
          <w:rFonts w:ascii="IBM Plex Sans" w:cs="IBM Plex Sans" w:eastAsia="IBM Plex Sans" w:hAnsi="IBM Plex Sans"/>
          <w:color w:val="334155"/>
          <w:sz w:val="21"/>
          <w:szCs w:val="21"/>
        </w:rPr>
        <w:t xml:space="preserve">Auskultasi denyut jantung janin dan penilaian subjektif gerak janin oleh pemeriksa saat kunjungan.</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Penilaian status gizi ibu (berat badan, indeks massa tubuh pra-hamil, kenaikan berat badan kumulatif dibandingkan target sesuai kategori IMT awal).</w:t>
      </w:r>
    </w:p>
    <w:p>
      <w:pPr>
        <w:pStyle w:val="ListParagraph"/>
        <w:numPr>
          <w:ilvl w:val="0"/>
          <w:numId w:val="1"/>
        </w:numPr>
        <w:spacing w:after="100" w:line="268"/>
      </w:pPr>
      <w:r>
        <w:rPr>
          <w:rFonts w:ascii="IBM Plex Sans" w:cs="IBM Plex Sans" w:eastAsia="IBM Plex Sans" w:hAnsi="IBM Plex Sans"/>
          <w:color w:val="334155"/>
          <w:sz w:val="21"/>
          <w:szCs w:val="21"/>
        </w:rPr>
        <w:t xml:space="preserve">Pemeriksaan tanda infeksi kongenital bila dicurigai secara klinis (ruam kulit, limfadenopati, ikterus).</w:t>
      </w:r>
    </w:p>
    <w:p>
      <w:pPr>
        <w:pStyle w:val="Heading1"/>
        <w:spacing w:after="140" w:before="360"/>
      </w:pPr>
      <w:r>
        <w:rPr>
          <w:rFonts w:ascii="Source Serif 4" w:cs="Source Serif 4" w:eastAsia="Source Serif 4" w:hAnsi="Source Serif 4"/>
          <w:b/>
          <w:bCs/>
          <w:color w:val="4F46E5"/>
          <w:sz w:val="30"/>
          <w:szCs w:val="30"/>
        </w:rPr>
        <w:t xml:space="preserve">4. Kriteria Diagnosis</w:t>
      </w:r>
    </w:p>
    <w:p>
      <w:pPr>
        <w:spacing w:after="160" w:line="276"/>
      </w:pPr>
      <w:r>
        <w:rPr>
          <w:rFonts w:ascii="IBM Plex Sans" w:cs="IBM Plex Sans" w:eastAsia="IBM Plex Sans" w:hAnsi="IBM Plex Sans"/>
          <w:color w:val="334155"/>
          <w:sz w:val="22"/>
          <w:szCs w:val="22"/>
        </w:rPr>
        <w:t xml:space="preserve">Diagnosis Janin kecil untuk masa kehamilan (Small for gestation), kode ICD-10 P05.1 dan ICD-11 KA20.0 ; JA86.4 (terverifikasi terhadap Tabel 7 Kepkonsil No. HK.01.02/KKI/1318/2026, entri No. 25), ditegakkan berdasarkan kriteria biometrik ultrasonografi berikut, mengikuti kriteria konsensus yang diadopsi RCOG, ISUOG, dan FIGO.</w:t>
      </w:r>
    </w:p>
    <w:p>
      <w:pPr>
        <w:pStyle w:val="ListParagraph"/>
        <w:numPr>
          <w:ilvl w:val="0"/>
          <w:numId w:val="1"/>
        </w:numPr>
        <w:spacing w:after="100" w:line="268"/>
      </w:pPr>
      <w:r>
        <w:rPr>
          <w:rFonts w:ascii="IBM Plex Sans" w:cs="IBM Plex Sans" w:eastAsia="IBM Plex Sans" w:hAnsi="IBM Plex Sans"/>
          <w:color w:val="334155"/>
          <w:sz w:val="21"/>
          <w:szCs w:val="21"/>
        </w:rPr>
        <w:t xml:space="preserve">EFW dan/atau AC di bawah persentil ke-10 untuk usia kehamilan pada kurva pertumbuhan janin yang telah divalidasi (population-based atau customized) — kriteria dasar untuk SGA.</w:t>
      </w:r>
    </w:p>
    <w:p>
      <w:pPr>
        <w:pStyle w:val="ListParagraph"/>
        <w:numPr>
          <w:ilvl w:val="0"/>
          <w:numId w:val="1"/>
        </w:numPr>
        <w:spacing w:after="100" w:line="268"/>
      </w:pPr>
      <w:r>
        <w:rPr>
          <w:rFonts w:ascii="IBM Plex Sans" w:cs="IBM Plex Sans" w:eastAsia="IBM Plex Sans" w:hAnsi="IBM Plex Sans"/>
          <w:color w:val="334155"/>
          <w:sz w:val="21"/>
          <w:szCs w:val="21"/>
        </w:rPr>
        <w:t xml:space="preserve">EFW atau AC di bawah persentil ke-3 dianggap sebagai SGA berat/FGR tanpa memandang temuan Doppler, dan memenuhi kriteria diagnostik FGR secara tunggal.</w:t>
      </w:r>
    </w:p>
    <w:p>
      <w:pPr>
        <w:pStyle w:val="ListParagraph"/>
        <w:numPr>
          <w:ilvl w:val="0"/>
          <w:numId w:val="1"/>
        </w:numPr>
        <w:spacing w:after="100" w:line="268"/>
      </w:pPr>
      <w:r>
        <w:rPr>
          <w:rFonts w:ascii="IBM Plex Sans" w:cs="IBM Plex Sans" w:eastAsia="IBM Plex Sans" w:hAnsi="IBM Plex Sans"/>
          <w:color w:val="334155"/>
          <w:sz w:val="21"/>
          <w:szCs w:val="21"/>
        </w:rPr>
        <w:t xml:space="preserve">Pada EFW atau AC persentil ke-3 hingga ke-10, diagnosis FGR (bukan SGA konstitusional semata) ditegakkan bila disertai minimal satu dari: indeks pulsatilitas arteri umbilikalis atau arteri uterina di atas persentil ke-95, rasio serebroplasenta (CPR) di bawah persentil ke-5, atau perlambatan pertumbuhan lintas-persentil (crossing centiles) pada pemantauan biometri serial.</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Penapisan usia kehamilan yang akurat (idealnya berdasarkan USG trimester pertama, crown-rump length pada 11–13 minggu) wajib dipastikan sebelum diagnosis ditegakkan, untuk menyingkirkan kesalahan penanggalan sebagai penyebab semu SGA.</w:t>
      </w:r>
    </w:p>
    <w:p>
      <w:pPr>
        <w:pStyle w:val="ListParagraph"/>
        <w:numPr>
          <w:ilvl w:val="0"/>
          <w:numId w:val="1"/>
        </w:numPr>
        <w:spacing w:after="100" w:line="268"/>
      </w:pPr>
      <w:r>
        <w:rPr>
          <w:rFonts w:ascii="IBM Plex Sans" w:cs="IBM Plex Sans" w:eastAsia="IBM Plex Sans" w:hAnsi="IBM Plex Sans"/>
          <w:color w:val="334155"/>
          <w:sz w:val="21"/>
          <w:szCs w:val="21"/>
        </w:rPr>
        <w:t xml:space="preserve">Klasifikasi awitan: early-onset bila terdiagnosis sebelum 32 minggu, late-onset bila terdiagnosis pada atau setelah 32 minggu — pembagian ini menentukan pola pemantauan dan waktu persalinan pada bagian 7.</w:t>
      </w:r>
    </w:p>
    <w:p>
      <w:pPr>
        <w:pStyle w:val="Heading1"/>
        <w:spacing w:after="140" w:before="360"/>
      </w:pPr>
      <w:r>
        <w:rPr>
          <w:rFonts w:ascii="Source Serif 4" w:cs="Source Serif 4" w:eastAsia="Source Serif 4" w:hAnsi="Source Serif 4"/>
          <w:b/>
          <w:bCs/>
          <w:color w:val="4F46E5"/>
          <w:sz w:val="30"/>
          <w:szCs w:val="30"/>
        </w:rP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Janin kecil untuk masa kehamilan (P05.1 / KA20.0 ; JA86.4), dengan penjelasan subklasifikasi SGA konstitusional versus FGR (early-onset atau late-onset) sesuai temuan Doppler dan cairan amnion.</w:t>
      </w:r>
    </w:p>
    <w:p>
      <w:pPr>
        <w:spacing w:after="80" w:before="120"/>
      </w:pPr>
      <w:r>
        <w:rPr>
          <w:rFonts w:ascii="IBM Plex Sans" w:cs="IBM Plex Sans" w:eastAsia="IBM Plex Sans" w:hAnsi="IBM Plex Sans"/>
          <w:b/>
          <w:bCs/>
          <w:color w:val="B45309"/>
          <w:sz w:val="22"/>
          <w:szCs w:val="22"/>
        </w:rPr>
        <w:t xml:space="preserve">Diagnosis banding yang wajib disingkirkan</w:t>
      </w:r>
    </w:p>
    <w:p>
      <w:pPr>
        <w:pStyle w:val="ListParagraph"/>
        <w:numPr>
          <w:ilvl w:val="0"/>
          <w:numId w:val="1"/>
        </w:numPr>
        <w:spacing w:after="100" w:line="268"/>
      </w:pPr>
      <w:r>
        <w:rPr>
          <w:rFonts w:ascii="IBM Plex Sans" w:cs="IBM Plex Sans" w:eastAsia="IBM Plex Sans" w:hAnsi="IBM Plex Sans"/>
          <w:color w:val="334155"/>
          <w:sz w:val="21"/>
          <w:szCs w:val="21"/>
        </w:rPr>
        <w:t xml:space="preserve">Kesalahan estimasi usia kehamilan (dating error) akibat ketiadaan atau ketidaksesuaian USG trimester pertama.</w:t>
      </w:r>
    </w:p>
    <w:p>
      <w:pPr>
        <w:pStyle w:val="ListParagraph"/>
        <w:numPr>
          <w:ilvl w:val="0"/>
          <w:numId w:val="1"/>
        </w:numPr>
        <w:spacing w:after="100" w:line="268"/>
      </w:pPr>
      <w:r>
        <w:rPr>
          <w:rFonts w:ascii="IBM Plex Sans" w:cs="IBM Plex Sans" w:eastAsia="IBM Plex Sans" w:hAnsi="IBM Plex Sans"/>
          <w:color w:val="334155"/>
          <w:sz w:val="21"/>
          <w:szCs w:val="21"/>
        </w:rPr>
        <w:t xml:space="preserve">Kelainan kromosom/genetik janin (misalnya trisomi 13, 18, atau 21) — dipertimbangkan terutama pada FGR early-onset simetris disertai anomali struktural, dan menjadi indikasi konseling genetik.</w:t>
      </w:r>
    </w:p>
    <w:p>
      <w:pPr>
        <w:pStyle w:val="ListParagraph"/>
        <w:numPr>
          <w:ilvl w:val="0"/>
          <w:numId w:val="1"/>
        </w:numPr>
        <w:spacing w:after="100" w:line="268"/>
      </w:pPr>
      <w:r>
        <w:rPr>
          <w:rFonts w:ascii="IBM Plex Sans" w:cs="IBM Plex Sans" w:eastAsia="IBM Plex Sans" w:hAnsi="IBM Plex Sans"/>
          <w:color w:val="334155"/>
          <w:sz w:val="21"/>
          <w:szCs w:val="21"/>
        </w:rPr>
        <w:t xml:space="preserve">Infeksi kongenital (TORCH, terutama sitomegalovirus, serta malaria dan sifilis kongenital sesuai konteks epidemiologi setempat) sebagai penyebab FGR simetris.</w:t>
      </w:r>
    </w:p>
    <w:p>
      <w:pPr>
        <w:pStyle w:val="ListParagraph"/>
        <w:numPr>
          <w:ilvl w:val="0"/>
          <w:numId w:val="1"/>
        </w:numPr>
        <w:spacing w:after="100" w:line="268"/>
      </w:pPr>
      <w:r>
        <w:rPr>
          <w:rFonts w:ascii="IBM Plex Sans" w:cs="IBM Plex Sans" w:eastAsia="IBM Plex Sans" w:hAnsi="IBM Plex Sans"/>
          <w:color w:val="334155"/>
          <w:sz w:val="21"/>
          <w:szCs w:val="21"/>
        </w:rPr>
        <w:t xml:space="preserve">Kehamilan multipel dengan diskordansi pertumbuhan atau sindrom transfusi janin-ke-janin (twin-to-twin transfusion syndrome, TTTS) pada kehamilan kembar monokorionik.</w:t>
      </w:r>
    </w:p>
    <w:p>
      <w:pPr>
        <w:pStyle w:val="ListParagraph"/>
        <w:numPr>
          <w:ilvl w:val="0"/>
          <w:numId w:val="1"/>
        </w:numPr>
        <w:spacing w:after="100" w:line="268"/>
      </w:pPr>
      <w:r>
        <w:rPr>
          <w:rFonts w:ascii="IBM Plex Sans" w:cs="IBM Plex Sans" w:eastAsia="IBM Plex Sans" w:hAnsi="IBM Plex Sans"/>
          <w:color w:val="334155"/>
          <w:sz w:val="21"/>
          <w:szCs w:val="21"/>
        </w:rPr>
        <w:t xml:space="preserve">Anomali struktural janin atau kelainan plasenta/tali pusat struktural (insersi velamentosa, arteri umbilikalis tunggal, plasenta sirkumvalata).</w:t>
      </w:r>
    </w:p>
    <w:p>
      <w:pPr>
        <w:pStyle w:val="Heading1"/>
        <w:spacing w:after="140" w:before="360"/>
      </w:pPr>
      <w:r>
        <w:rPr>
          <w:rFonts w:ascii="Source Serif 4" w:cs="Source Serif 4" w:eastAsia="Source Serif 4" w:hAnsi="Source Serif 4"/>
          <w:b/>
          <w:bCs/>
          <w:color w:val="4F46E5"/>
          <w:sz w:val="30"/>
          <w:szCs w:val="30"/>
        </w:rPr>
        <w:t xml:space="preserve">6. Pemeriksaan Penunjang</w:t>
      </w:r>
    </w:p>
    <w:p>
      <w:pPr>
        <w:spacing w:after="160" w:line="276"/>
      </w:pPr>
      <w:r>
        <w:rPr>
          <w:rFonts w:ascii="IBM Plex Sans" w:cs="IBM Plex Sans" w:eastAsia="IBM Plex Sans" w:hAnsi="IBM Plex Sans"/>
          <w:color w:val="334155"/>
          <w:sz w:val="22"/>
          <w:szCs w:val="22"/>
        </w:rPr>
        <w:t xml:space="preserve">Pemilihan kurva biometri janin memengaruhi tingkat deteksi SGA/FGR; unit pelayanan wajib memastikan konsistensi penggunaan satu kurva rujukan tervalidasi (population-based atau customized) pada seluruh rangkaian pemeriksaan seorang pasien, karena pergantian kurva di tengah pemantauan dapat menimbulkan kesan perubahan pertumbuhan yang semu.</w:t>
      </w:r>
    </w:p>
    <w:p>
      <w:pPr>
        <w:pStyle w:val="ListParagraph"/>
        <w:numPr>
          <w:ilvl w:val="0"/>
          <w:numId w:val="1"/>
        </w:numPr>
        <w:spacing w:after="100" w:line="268"/>
      </w:pPr>
      <w:r>
        <w:rPr>
          <w:rFonts w:ascii="IBM Plex Sans" w:cs="IBM Plex Sans" w:eastAsia="IBM Plex Sans" w:hAnsi="IBM Plex Sans"/>
          <w:color w:val="334155"/>
          <w:sz w:val="21"/>
          <w:szCs w:val="21"/>
        </w:rPr>
        <w:t xml:space="preserve">Ultrasonografi biometri janin serial, dengan interval umumnya tidak kurang dari 2 minggu antar-pemeriksaan pada kasus berisiko tinggi, untuk konfirmasi dan pemantauan tren pertumbuhan; interval yang lebih rapat berisiko menghasilkan kesalahan interpretasi akibat margin kesalahan pengukuran.</w:t>
      </w:r>
    </w:p>
    <w:p>
      <w:pPr>
        <w:pStyle w:val="ListParagraph"/>
        <w:numPr>
          <w:ilvl w:val="0"/>
          <w:numId w:val="1"/>
        </w:numPr>
        <w:spacing w:after="100" w:line="268"/>
      </w:pPr>
      <w:r>
        <w:rPr>
          <w:rFonts w:ascii="IBM Plex Sans" w:cs="IBM Plex Sans" w:eastAsia="IBM Plex Sans" w:hAnsi="IBM Plex Sans"/>
          <w:color w:val="334155"/>
          <w:sz w:val="21"/>
          <w:szCs w:val="21"/>
        </w:rPr>
        <w:t xml:space="preserve">Velocimetri Doppler arteri umbilikalis sebagai pemeriksaan utama pada FGR terkonfirmasi, dilengkapi Doppler arteri uterina dan arteri serebri media (untuk perhitungan rasio serebroplasenta) sebagai penilaian fungsi plasenta dan status hemodinamik janin.</w:t>
      </w:r>
    </w:p>
    <w:p>
      <w:pPr>
        <w:pStyle w:val="ListParagraph"/>
        <w:numPr>
          <w:ilvl w:val="0"/>
          <w:numId w:val="1"/>
        </w:numPr>
        <w:spacing w:after="100" w:line="268"/>
      </w:pPr>
      <w:r>
        <w:rPr>
          <w:rFonts w:ascii="IBM Plex Sans" w:cs="IBM Plex Sans" w:eastAsia="IBM Plex Sans" w:hAnsi="IBM Plex Sans"/>
          <w:color w:val="334155"/>
          <w:sz w:val="21"/>
          <w:szCs w:val="21"/>
        </w:rPr>
        <w:t xml:space="preserve">Doppler arteri uterina bilateral pada usia kehamilan 20–24 minggu dipertimbangkan pada kehamilan dengan faktor risiko mayor untuk memprediksi risiko insufisiensi plasenta lanjut.</w:t>
      </w:r>
    </w:p>
    <w:p>
      <w:pPr>
        <w:pStyle w:val="ListParagraph"/>
        <w:numPr>
          <w:ilvl w:val="0"/>
          <w:numId w:val="1"/>
        </w:numPr>
        <w:spacing w:after="100" w:line="268"/>
      </w:pPr>
      <w:r>
        <w:rPr>
          <w:rFonts w:ascii="IBM Plex Sans" w:cs="IBM Plex Sans" w:eastAsia="IBM Plex Sans" w:hAnsi="IBM Plex Sans"/>
          <w:color w:val="334155"/>
          <w:sz w:val="21"/>
          <w:szCs w:val="21"/>
        </w:rPr>
        <w:t xml:space="preserve">Doppler duktus venosus dan penilaian profil biofisik pada FGR early-onset berat sebagai penanda dekompensasi janin lanjut yang memandu waktu persalinan.</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Penilaian indeks cairan amnion (AFI) atau kantong vertikal tunggal terdalam (single deepest pocket); oligohidramnion menguatkan kecurigaan insufisiensi plasenta.</w:t>
      </w:r>
    </w:p>
    <w:p>
      <w:pPr>
        <w:pStyle w:val="ListParagraph"/>
        <w:numPr>
          <w:ilvl w:val="0"/>
          <w:numId w:val="1"/>
        </w:numPr>
        <w:spacing w:after="100" w:line="268"/>
      </w:pPr>
      <w:r>
        <w:rPr>
          <w:rFonts w:ascii="IBM Plex Sans" w:cs="IBM Plex Sans" w:eastAsia="IBM Plex Sans" w:hAnsi="IBM Plex Sans"/>
          <w:color w:val="334155"/>
          <w:sz w:val="21"/>
          <w:szCs w:val="21"/>
        </w:rPr>
        <w:t xml:space="preserve">Kardiotokografi (NST), termasuk analisis komputerisasi variabilitas jangka pendek (short-term variability) bila tersedia, sebagai penilaian kesejahteraan janin antepartum, terutama pada FGR early-onset dengan Doppler abnormal.</w:t>
      </w:r>
    </w:p>
    <w:p>
      <w:pPr>
        <w:pStyle w:val="ListParagraph"/>
        <w:numPr>
          <w:ilvl w:val="0"/>
          <w:numId w:val="1"/>
        </w:numPr>
        <w:spacing w:after="100" w:line="268"/>
      </w:pPr>
      <w:r>
        <w:rPr>
          <w:rFonts w:ascii="IBM Plex Sans" w:cs="IBM Plex Sans" w:eastAsia="IBM Plex Sans" w:hAnsi="IBM Plex Sans"/>
          <w:color w:val="334155"/>
          <w:sz w:val="21"/>
          <w:szCs w:val="21"/>
        </w:rPr>
        <w:t xml:space="preserve">Pemeriksaan tekanan darah serial dan protein urin untuk skrining preeklampsia yang menyertai.</w:t>
      </w:r>
    </w:p>
    <w:p>
      <w:pPr>
        <w:pStyle w:val="ListParagraph"/>
        <w:numPr>
          <w:ilvl w:val="0"/>
          <w:numId w:val="1"/>
        </w:numPr>
        <w:spacing w:after="100" w:line="268"/>
      </w:pPr>
      <w:r>
        <w:rPr>
          <w:rFonts w:ascii="IBM Plex Sans" w:cs="IBM Plex Sans" w:eastAsia="IBM Plex Sans" w:hAnsi="IBM Plex Sans"/>
          <w:color w:val="334155"/>
          <w:sz w:val="21"/>
          <w:szCs w:val="21"/>
        </w:rPr>
        <w:t xml:space="preserve">Pertimbangan pemeriksaan kariotipe janin/NIPT dan skrining infeksi TORCH pada FGR early-onset berat, FGR simetris, atau FGR disertai anomali struktural — dilakukan sesuai indikasi klinis, bukan sebagai pemeriksaan rutin pada seluruh kasus SGA.</w:t>
      </w:r>
    </w:p>
    <w:p>
      <w:pPr>
        <w:pStyle w:val="ListParagraph"/>
        <w:numPr>
          <w:ilvl w:val="0"/>
          <w:numId w:val="1"/>
        </w:numPr>
        <w:spacing w:after="100" w:line="268"/>
      </w:pPr>
      <w:r>
        <w:rPr>
          <w:rFonts w:ascii="IBM Plex Sans" w:cs="IBM Plex Sans" w:eastAsia="IBM Plex Sans" w:hAnsi="IBM Plex Sans"/>
          <w:color w:val="334155"/>
          <w:sz w:val="21"/>
          <w:szCs w:val="21"/>
        </w:rPr>
        <w:t xml:space="preserve">Pemeriksaan biomarker angiogenik (rasio sFlt-1/PlGF atau kadar PlGF tunggal), bila tersedia di fasilitas, dapat membantu membedakan FGR terkait insufisiensi plasenta dari SGA konstitusional pada kasus meragukan; nilai tambahnya untuk keputusan tata laksana rutin masih dalam evaluasi lebih lanjut dan belum menggantikan Doppler sebagai baku pemantauan utama.</w:t>
      </w:r>
    </w:p>
    <w:p>
      <w:pPr>
        <w:pStyle w:val="Heading1"/>
        <w:spacing w:after="140" w:before="360"/>
      </w:pPr>
      <w:r>
        <w:rPr>
          <w:rFonts w:ascii="Source Serif 4" w:cs="Source Serif 4" w:eastAsia="Source Serif 4" w:hAnsi="Source Serif 4"/>
          <w:b/>
          <w:bCs/>
          <w:color w:val="4F46E5"/>
          <w:sz w:val="30"/>
          <w:szCs w:val="30"/>
        </w:rPr>
        <w:t xml:space="preserve">7. Tata Laksana</w:t>
      </w:r>
    </w:p>
    <w:p>
      <w:pPr>
        <w:spacing w:after="160" w:line="276"/>
      </w:pPr>
      <w:r>
        <w:rPr>
          <w:rFonts w:ascii="IBM Plex Sans" w:cs="IBM Plex Sans" w:eastAsia="IBM Plex Sans" w:hAnsi="IBM Plex Sans"/>
          <w:color w:val="334155"/>
          <w:sz w:val="22"/>
          <w:szCs w:val="22"/>
        </w:rPr>
        <w:t xml:space="preserve">Tata laksana disesuaikan dengan subklasifikasi (SGA konstitusional vs FGR), usia kehamilan saat diagnosis, dan derajat keparahan temuan Doppler.</w:t>
      </w:r>
    </w:p>
    <w:p>
      <w:pPr>
        <w:pStyle w:val="Heading2"/>
        <w:spacing w:after="140" w:before="260"/>
      </w:pPr>
      <w:r>
        <w:rPr>
          <w:rFonts w:ascii="Source Serif 4" w:cs="Source Serif 4" w:eastAsia="Source Serif 4" w:hAnsi="Source Serif 4"/>
          <w:b/>
          <w:bCs/>
          <w:color w:val="4F46E5"/>
          <w:sz w:val="25"/>
          <w:szCs w:val="25"/>
        </w:rPr>
        <w:t xml:space="preserve">7.1 Tata Laksana Non-Farmakologis</w:t>
      </w:r>
    </w:p>
    <w:p>
      <w:pPr>
        <w:pStyle w:val="ListParagraph"/>
        <w:numPr>
          <w:ilvl w:val="0"/>
          <w:numId w:val="1"/>
        </w:numPr>
        <w:spacing w:after="100" w:line="268"/>
      </w:pPr>
      <w:r>
        <w:rPr>
          <w:rFonts w:ascii="IBM Plex Sans" w:cs="IBM Plex Sans" w:eastAsia="IBM Plex Sans" w:hAnsi="IBM Plex Sans"/>
          <w:color w:val="334155"/>
          <w:sz w:val="21"/>
          <w:szCs w:val="21"/>
        </w:rPr>
        <w:t xml:space="preserve">Pemantauan pertumbuhan janin serial dengan interval disesuaikan derajat risiko: umumnya setiap 2 minggu untuk biometri pada FGR terkonfirmasi, dan lebih sering untuk Doppler serta penilaian kesejahteraan janin pada kasus berisiko tinggi atau Doppler abnormal.</w:t>
      </w:r>
    </w:p>
    <w:p>
      <w:pPr>
        <w:pStyle w:val="ListParagraph"/>
        <w:numPr>
          <w:ilvl w:val="0"/>
          <w:numId w:val="1"/>
        </w:numPr>
        <w:spacing w:after="100" w:line="268"/>
      </w:pPr>
      <w:r>
        <w:rPr>
          <w:rFonts w:ascii="IBM Plex Sans" w:cs="IBM Plex Sans" w:eastAsia="IBM Plex Sans" w:hAnsi="IBM Plex Sans"/>
          <w:color w:val="334155"/>
          <w:sz w:val="21"/>
          <w:szCs w:val="21"/>
        </w:rPr>
        <w:t xml:space="preserve">Edukasi nutrisi ibu yang adekuat dan penghentian rokok, alkohol, serta zat berisiko lain.</w:t>
      </w:r>
    </w:p>
    <w:p>
      <w:pPr>
        <w:pStyle w:val="ListParagraph"/>
        <w:numPr>
          <w:ilvl w:val="0"/>
          <w:numId w:val="1"/>
        </w:numPr>
        <w:spacing w:after="100" w:line="268"/>
      </w:pPr>
      <w:r>
        <w:rPr>
          <w:rFonts w:ascii="IBM Plex Sans" w:cs="IBM Plex Sans" w:eastAsia="IBM Plex Sans" w:hAnsi="IBM Plex Sans"/>
          <w:color w:val="334155"/>
          <w:sz w:val="21"/>
          <w:szCs w:val="21"/>
        </w:rPr>
        <w:t xml:space="preserve">Tirah baring total tidak direkomendasikan secara rutin karena tidak terbukti memperbaiki luaran dan berisiko tromboemboli — hal ini dicantumkan secara eksplisit sebagai koreksi terhadap praktik lama yang belum berbasis bukti.</w:t>
      </w:r>
    </w:p>
    <w:p>
      <w:pPr>
        <w:pStyle w:val="ListParagraph"/>
        <w:numPr>
          <w:ilvl w:val="0"/>
          <w:numId w:val="1"/>
        </w:numPr>
        <w:spacing w:after="100" w:line="268"/>
      </w:pPr>
      <w:r>
        <w:rPr>
          <w:rFonts w:ascii="IBM Plex Sans" w:cs="IBM Plex Sans" w:eastAsia="IBM Plex Sans" w:hAnsi="IBM Plex Sans"/>
          <w:color w:val="334155"/>
          <w:sz w:val="21"/>
          <w:szCs w:val="21"/>
        </w:rPr>
        <w:t xml:space="preserve">Pemantauan mandiri gerak janin oleh ibu dengan instruksi jelas kapan harus segera mencari pertolongan.</w:t>
      </w:r>
    </w:p>
    <w:p>
      <w:pPr>
        <w:pStyle w:val="Heading2"/>
        <w:spacing w:after="140" w:before="260"/>
      </w:pPr>
      <w:r>
        <w:rPr>
          <w:rFonts w:ascii="Source Serif 4" w:cs="Source Serif 4" w:eastAsia="Source Serif 4" w:hAnsi="Source Serif 4"/>
          <w:b/>
          <w:bCs/>
          <w:color w:val="4F46E5"/>
          <w:sz w:val="25"/>
          <w:szCs w:val="25"/>
        </w:rPr>
        <w:t xml:space="preserve">7.2 Tata Laksana Farmakologis</w:t>
      </w:r>
    </w:p>
    <w:p>
      <w:pPr>
        <w:pStyle w:val="ListParagraph"/>
        <w:numPr>
          <w:ilvl w:val="0"/>
          <w:numId w:val="1"/>
        </w:numPr>
        <w:spacing w:after="100" w:line="268"/>
      </w:pPr>
      <w:r>
        <w:rPr>
          <w:rFonts w:ascii="IBM Plex Sans" w:cs="IBM Plex Sans" w:eastAsia="IBM Plex Sans" w:hAnsi="IBM Plex Sans"/>
          <w:color w:val="334155"/>
          <w:sz w:val="21"/>
          <w:szCs w:val="21"/>
        </w:rPr>
        <w:t xml:space="preserve">Tidak terdapat terapi farmakologis kuratif untuk FGR yang telah terjadi. Sildenafil sitrat telah diuji dalam rangkaian uji klinis acak terkontrol plasebo STRIDER pada FGR early-onset berat; hasil menunjukkan tidak ada perbaikan luaran pertumbuhan janin maupun kelangsungan hidup, dan pada salah satu cabang uji (STRIDER Belanda) penelitian dihentikan lebih awal karena sinyal potensi bahaya berupa peningkatan hipertensi pulmonal persisten dan mortalitas neonatal pada kelompok sildenafil. Atas dasar ini, sildenafil sitrat tidak direkomendasikan untuk tata laksana FGR di luar konteks penelitian yang diawasi ketat.</w:t>
      </w:r>
    </w:p>
    <w:p>
      <w:pPr>
        <w:pStyle w:val="ListParagraph"/>
        <w:numPr>
          <w:ilvl w:val="0"/>
          <w:numId w:val="1"/>
        </w:numPr>
        <w:spacing w:after="100" w:line="268"/>
      </w:pPr>
      <w:r>
        <w:rPr>
          <w:rFonts w:ascii="IBM Plex Sans" w:cs="IBM Plex Sans" w:eastAsia="IBM Plex Sans" w:hAnsi="IBM Plex Sans"/>
          <w:color w:val="334155"/>
          <w:sz w:val="21"/>
          <w:szCs w:val="21"/>
        </w:rPr>
        <w:t xml:space="preserve">Aspirin dosis rendah (150 mg per hari, diminum malam hari, dimulai pada usia kehamilan 11–14 minggu hingga 36 minggu) direkomendasikan sebagai profilaksis pada kehamilan berikutnya bagi ibu dengan riwayat FGR terkait preeklampsia, faktor risiko preeklampsia mayor, atau insufisiensi plasenta, mengikuti bukti dari uji klinis acak ASPRE. Inisiasi setelah 16 minggu tidak terbukti memberikan manfaat setara.</w:t>
      </w:r>
    </w:p>
    <w:p>
      <w:pPr>
        <w:pStyle w:val="ListParagraph"/>
        <w:numPr>
          <w:ilvl w:val="0"/>
          <w:numId w:val="1"/>
        </w:numPr>
        <w:spacing w:after="100" w:line="268"/>
      </w:pPr>
      <w:r>
        <w:rPr>
          <w:rFonts w:ascii="IBM Plex Sans" w:cs="IBM Plex Sans" w:eastAsia="IBM Plex Sans" w:hAnsi="IBM Plex Sans"/>
          <w:color w:val="334155"/>
          <w:sz w:val="21"/>
          <w:szCs w:val="21"/>
        </w:rPr>
        <w:t xml:space="preserve">Kortikosteroid antenatal (deksametason atau betametason sesuai ketersediaan dan protokol setempat) diberikan bila terdapat risiko persalinan preterm sebelum 34 minggu untuk pematangan paru janin.</w:t>
      </w:r>
    </w:p>
    <w:p>
      <w:pPr>
        <w:pStyle w:val="ListParagraph"/>
        <w:numPr>
          <w:ilvl w:val="0"/>
          <w:numId w:val="1"/>
        </w:numPr>
        <w:spacing w:after="100" w:line="268"/>
      </w:pPr>
      <w:r>
        <w:rPr>
          <w:rFonts w:ascii="IBM Plex Sans" w:cs="IBM Plex Sans" w:eastAsia="IBM Plex Sans" w:hAnsi="IBM Plex Sans"/>
          <w:color w:val="334155"/>
          <w:sz w:val="21"/>
          <w:szCs w:val="21"/>
        </w:rPr>
        <w:t xml:space="preserve">Magnesium sulfat untuk neuroproteksi janin diberikan bila persalinan preterm sebelum 32 minggu diantisipasi dalam waktu dekat, sesuai protokol neuroproteksi fasilitas setempat.</w:t>
      </w:r>
    </w:p>
    <w:p>
      <w:pPr>
        <w:pStyle w:val="Heading2"/>
        <w:spacing w:after="140" w:before="260"/>
      </w:pPr>
      <w:r>
        <w:rPr>
          <w:rFonts w:ascii="Source Serif 4" w:cs="Source Serif 4" w:eastAsia="Source Serif 4" w:hAnsi="Source Serif 4"/>
          <w:b/>
          <w:bCs/>
          <w:color w:val="4F46E5"/>
          <w:sz w:val="25"/>
          <w:szCs w:val="25"/>
        </w:rPr>
        <w:t xml:space="preserve">7.3 Tata Laksana Bedah/Prosedural</w:t>
      </w:r>
    </w:p>
    <w:p>
      <w:pPr>
        <w:pStyle w:val="ListParagraph"/>
        <w:numPr>
          <w:ilvl w:val="0"/>
          <w:numId w:val="1"/>
        </w:numPr>
        <w:spacing w:after="100" w:line="268"/>
      </w:pPr>
      <w:r>
        <w:rPr>
          <w:rFonts w:ascii="IBM Plex Sans" w:cs="IBM Plex Sans" w:eastAsia="IBM Plex Sans" w:hAnsi="IBM Plex Sans"/>
          <w:color w:val="334155"/>
          <w:sz w:val="21"/>
          <w:szCs w:val="21"/>
        </w:rPr>
        <w:t xml:space="preserve">Waktu dan cara persalinan ditentukan oleh keseimbangan antara risiko prematuritas iatrogenik dan risiko kematian janin intrauterin, mengikuti prinsip stratifikasi berjenjang berdasarkan temuan Doppler dan kardiotokografi (merujuk pada prinsip pemantauan uji TRUFFLE untuk FGR preterm berat).</w:t>
      </w:r>
    </w:p>
    <w:p>
      <w:pPr>
        <w:pStyle w:val="ListParagraph"/>
        <w:numPr>
          <w:ilvl w:val="0"/>
          <w:numId w:val="1"/>
        </w:numPr>
        <w:spacing w:after="100" w:line="268"/>
      </w:pPr>
      <w:r>
        <w:rPr>
          <w:rFonts w:ascii="IBM Plex Sans" w:cs="IBM Plex Sans" w:eastAsia="IBM Plex Sans" w:hAnsi="IBM Plex Sans"/>
          <w:color w:val="334155"/>
          <w:sz w:val="21"/>
          <w:szCs w:val="21"/>
        </w:rPr>
        <w:t xml:space="preserve">Pada FGR dengan Doppler arteri umbilikalis absent atau reversed end-diastolic flow, duktus venosus abnormal, profil biofisik buruk, atau pola kardiotokografi mencurigakan/patologis, persalinan segera (umumnya seksio sesarea) diindikasikan karena persalinan pervaginam tidak aman dilakukan.</w:t>
      </w:r>
    </w:p>
    <w:p>
      <w:pPr>
        <w:pStyle w:val="ListParagraph"/>
        <w:numPr>
          <w:ilvl w:val="0"/>
          <w:numId w:val="1"/>
        </w:numPr>
        <w:spacing w:after="100" w:line="268"/>
      </w:pPr>
      <w:r>
        <w:rPr>
          <w:rFonts w:ascii="IBM Plex Sans" w:cs="IBM Plex Sans" w:eastAsia="IBM Plex Sans" w:hAnsi="IBM Plex Sans"/>
          <w:color w:val="334155"/>
          <w:sz w:val="21"/>
          <w:szCs w:val="21"/>
        </w:rPr>
        <w:t xml:space="preserve">Pada SGA/FGR late-onset tanpa kelainan Doppler berat, kecenderungan pedoman internasional terkini adalah persalinan tidak lagi disegerakan secara rutin pada 37 minggu, melainkan dipertimbangkan lebih mendekati aterm (sekitar 39 minggu) apabila pemantauan Doppler dan kesejahteraan janin tetap meyakinkan, karena persalinan yang terlalu dini pada kasus ringan juga membawa risiko morbiditas terkait prematuritas. Keputusan akhir tetap individual berdasarkan derajat keparahan, tren pertumbuhan, dan kondisi maternal.</w:t>
      </w:r>
    </w:p>
    <w:p>
      <w:pPr>
        <w:pStyle w:val="ListParagraph"/>
        <w:numPr>
          <w:ilvl w:val="0"/>
          <w:numId w:val="1"/>
        </w:numPr>
        <w:spacing w:after="100" w:line="268"/>
      </w:pPr>
      <w:r>
        <w:rPr>
          <w:rFonts w:ascii="IBM Plex Sans" w:cs="IBM Plex Sans" w:eastAsia="IBM Plex Sans" w:hAnsi="IBM Plex Sans"/>
          <w:color w:val="334155"/>
          <w:sz w:val="21"/>
          <w:szCs w:val="21"/>
        </w:rPr>
        <w:t xml:space="preserve">Persalinan pervaginam terpandu dapat dipertimbangkan pada SGA/FGR late-onset ringan tanpa kelainan Doppler berat, dengan pemantauan janin kontinu intrapartum.</w:t>
      </w:r>
    </w:p>
    <w:p>
      <w:pPr>
        <w:pStyle w:val="Heading2"/>
        <w:spacing w:after="140" w:before="260"/>
      </w:pPr>
      <w:r>
        <w:rPr>
          <w:rFonts w:ascii="Source Serif 4" w:cs="Source Serif 4" w:eastAsia="Source Serif 4" w:hAnsi="Source Serif 4"/>
          <w:b/>
          <w:bCs/>
          <w:color w:val="4F46E5"/>
          <w:sz w:val="25"/>
          <w:szCs w:val="25"/>
        </w:rPr>
        <w:t xml:space="preserve">7.4 Kriteria Rujukan ke Subspesialis Fetomaternal</w:t>
      </w:r>
    </w:p>
    <w:p>
      <w:pPr>
        <w:pStyle w:val="ListParagraph"/>
        <w:numPr>
          <w:ilvl w:val="0"/>
          <w:numId w:val="1"/>
        </w:numPr>
        <w:spacing w:after="100" w:line="268"/>
      </w:pPr>
      <w:r>
        <w:rPr>
          <w:rFonts w:ascii="IBM Plex Sans" w:cs="IBM Plex Sans" w:eastAsia="IBM Plex Sans" w:hAnsi="IBM Plex Sans"/>
          <w:color w:val="334155"/>
          <w:sz w:val="21"/>
          <w:szCs w:val="21"/>
        </w:rPr>
        <w:t xml:space="preserve">FGR early-onset (terdiagnosis sebelum 32 minggu usia kehamilan).</w:t>
      </w:r>
    </w:p>
    <w:p>
      <w:pPr>
        <w:pStyle w:val="ListParagraph"/>
        <w:numPr>
          <w:ilvl w:val="0"/>
          <w:numId w:val="1"/>
        </w:numPr>
        <w:spacing w:after="100" w:line="268"/>
      </w:pPr>
      <w:r>
        <w:rPr>
          <w:rFonts w:ascii="IBM Plex Sans" w:cs="IBM Plex Sans" w:eastAsia="IBM Plex Sans" w:hAnsi="IBM Plex Sans"/>
          <w:color w:val="334155"/>
          <w:sz w:val="21"/>
          <w:szCs w:val="21"/>
        </w:rPr>
        <w:t xml:space="preserve">Kelainan Doppler berat: absent/reversed end-diastolic flow arteri umbilikalis, duktus venosus abnormal, atau profil biofisik ≤4/10.</w:t>
      </w:r>
    </w:p>
    <w:p>
      <w:pPr>
        <w:pStyle w:val="ListParagraph"/>
        <w:numPr>
          <w:ilvl w:val="0"/>
          <w:numId w:val="1"/>
        </w:numPr>
        <w:spacing w:after="100" w:line="268"/>
      </w:pPr>
      <w:r>
        <w:rPr>
          <w:rFonts w:ascii="IBM Plex Sans" w:cs="IBM Plex Sans" w:eastAsia="IBM Plex Sans" w:hAnsi="IBM Plex Sans"/>
          <w:color w:val="334155"/>
          <w:sz w:val="21"/>
          <w:szCs w:val="21"/>
        </w:rPr>
        <w:t xml:space="preserve">Kecurigaan kelainan kromosom/genetik atau anomali struktural janin yang menyertai FGR.</w:t>
      </w:r>
    </w:p>
    <w:p>
      <w:pPr>
        <w:pStyle w:val="ListParagraph"/>
        <w:numPr>
          <w:ilvl w:val="0"/>
          <w:numId w:val="1"/>
        </w:numPr>
        <w:spacing w:after="100" w:line="268"/>
      </w:pPr>
      <w:r>
        <w:rPr>
          <w:rFonts w:ascii="IBM Plex Sans" w:cs="IBM Plex Sans" w:eastAsia="IBM Plex Sans" w:hAnsi="IBM Plex Sans"/>
          <w:color w:val="334155"/>
          <w:sz w:val="21"/>
          <w:szCs w:val="21"/>
        </w:rPr>
        <w:t xml:space="preserve">Kebutuhan prosedur invasif (amniosentesis diagnostik, pemeriksaan kariotipe janin).</w:t>
      </w:r>
    </w:p>
    <w:p>
      <w:pPr>
        <w:pStyle w:val="ListParagraph"/>
        <w:numPr>
          <w:ilvl w:val="0"/>
          <w:numId w:val="1"/>
        </w:numPr>
        <w:spacing w:after="100" w:line="268"/>
      </w:pPr>
      <w:r>
        <w:rPr>
          <w:rFonts w:ascii="IBM Plex Sans" w:cs="IBM Plex Sans" w:eastAsia="IBM Plex Sans" w:hAnsi="IBM Plex Sans"/>
          <w:color w:val="334155"/>
          <w:sz w:val="21"/>
          <w:szCs w:val="21"/>
        </w:rPr>
        <w:t xml:space="preserve">Rencana persalinan risiko tinggi pada usia kehamilan &lt;34 minggu atau kondisi maternal-fetal yang berada di luar kewenangan spesialis obstetri-ginekologi umum.</w:t>
      </w:r>
    </w:p>
    <w:p>
      <w:pPr>
        <w:pStyle w:val="Heading1"/>
        <w:spacing w:after="140" w:before="36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Penjelasan mengenai definisi kondisi, perbedaan SGA konstitusional dan FGR, serta implikasinya terhadap rencana pemantauan.</w:t>
      </w:r>
    </w:p>
    <w:p>
      <w:pPr>
        <w:pStyle w:val="ListParagraph"/>
        <w:numPr>
          <w:ilvl w:val="0"/>
          <w:numId w:val="1"/>
        </w:numPr>
        <w:spacing w:after="100" w:line="268"/>
      </w:pPr>
      <w:r>
        <w:rPr>
          <w:rFonts w:ascii="IBM Plex Sans" w:cs="IBM Plex Sans" w:eastAsia="IBM Plex Sans" w:hAnsi="IBM Plex Sans"/>
          <w:color w:val="334155"/>
          <w:sz w:val="21"/>
          <w:szCs w:val="21"/>
        </w:rPr>
        <w:t xml:space="preserve">Jadwal kontrol antenatal dan pemeriksaan USG/Doppler berjenjang yang harus dipatuhi, termasuk konsekuensi bila kontrol terlewat.</w:t>
      </w:r>
    </w:p>
    <w:p>
      <w:pPr>
        <w:pStyle w:val="ListParagraph"/>
        <w:numPr>
          <w:ilvl w:val="0"/>
          <w:numId w:val="1"/>
        </w:numPr>
        <w:spacing w:after="100" w:line="268"/>
      </w:pPr>
      <w:r>
        <w:rPr>
          <w:rFonts w:ascii="IBM Plex Sans" w:cs="IBM Plex Sans" w:eastAsia="IBM Plex Sans" w:hAnsi="IBM Plex Sans"/>
          <w:color w:val="334155"/>
          <w:sz w:val="21"/>
          <w:szCs w:val="21"/>
        </w:rPr>
        <w:t xml:space="preserve">Tanda bahaya yang memerlukan pertolongan segera: penurunan gerak janin secara bermakna, perdarahan, nyeri kepala hebat, gangguan penglihatan.</w:t>
      </w:r>
    </w:p>
    <w:p>
      <w:pPr>
        <w:pStyle w:val="ListParagraph"/>
        <w:numPr>
          <w:ilvl w:val="0"/>
          <w:numId w:val="1"/>
        </w:numPr>
        <w:spacing w:after="100" w:line="268"/>
      </w:pPr>
      <w:r>
        <w:rPr>
          <w:rFonts w:ascii="IBM Plex Sans" w:cs="IBM Plex Sans" w:eastAsia="IBM Plex Sans" w:hAnsi="IBM Plex Sans"/>
          <w:color w:val="334155"/>
          <w:sz w:val="21"/>
          <w:szCs w:val="21"/>
        </w:rPr>
        <w:t xml:space="preserve">Rencana dan kemungkinan waktu persalinan, termasuk kemungkinan kelahiran preterm terencana bila kondisi janin memburuk, disampaikan secara bertahap dan empatik.</w:t>
      </w:r>
    </w:p>
    <w:p>
      <w:pPr>
        <w:pStyle w:val="ListParagraph"/>
        <w:numPr>
          <w:ilvl w:val="0"/>
          <w:numId w:val="1"/>
        </w:numPr>
        <w:spacing w:after="100" w:line="268"/>
      </w:pPr>
      <w:r>
        <w:rPr>
          <w:rFonts w:ascii="IBM Plex Sans" w:cs="IBM Plex Sans" w:eastAsia="IBM Plex Sans" w:hAnsi="IBM Plex Sans"/>
          <w:color w:val="334155"/>
          <w:sz w:val="21"/>
          <w:szCs w:val="21"/>
        </w:rPr>
        <w:t xml:space="preserve">Prognosis neonatal jangka pendek dan jangka panjang disampaikan secara jujur dan proporsional sesuai derajat keparahan dan usia kehamilan saat persalinan.</w:t>
      </w:r>
    </w:p>
    <w:p>
      <w:pPr>
        <w:pStyle w:val="ListParagraph"/>
        <w:numPr>
          <w:ilvl w:val="0"/>
          <w:numId w:val="1"/>
        </w:numPr>
        <w:spacing w:after="100" w:line="268"/>
      </w:pPr>
      <w:r>
        <w:rPr>
          <w:rFonts w:ascii="IBM Plex Sans" w:cs="IBM Plex Sans" w:eastAsia="IBM Plex Sans" w:hAnsi="IBM Plex Sans"/>
          <w:color w:val="334155"/>
          <w:sz w:val="21"/>
          <w:szCs w:val="21"/>
        </w:rPr>
        <w:t xml:space="preserve">Pentingnya rujukan tepat waktu ke fasilitas dengan layanan neonatal intensif (NICU) yang sesuai bila diperkirakan persalinan preterm.</w:t>
      </w:r>
    </w:p>
    <w:p>
      <w:pPr>
        <w:pStyle w:val="Heading1"/>
        <w:spacing w:after="140" w:before="360"/>
      </w:pPr>
      <w:r>
        <w:rPr>
          <w:rFonts w:ascii="Source Serif 4" w:cs="Source Serif 4" w:eastAsia="Source Serif 4" w:hAnsi="Source Serif 4"/>
          <w:b/>
          <w:bCs/>
          <w:color w:val="4F46E5"/>
          <w:sz w:val="30"/>
          <w:szCs w:val="30"/>
        </w:rPr>
        <w:t xml:space="preserve">9. Prognosis</w:t>
      </w:r>
    </w:p>
    <w:p>
      <w:pPr>
        <w:spacing w:after="160" w:line="276"/>
      </w:pPr>
      <w:r>
        <w:rPr>
          <w:rFonts w:ascii="IBM Plex Sans" w:cs="IBM Plex Sans" w:eastAsia="IBM Plex Sans" w:hAnsi="IBM Plex Sans"/>
          <w:color w:val="334155"/>
          <w:sz w:val="22"/>
          <w:szCs w:val="22"/>
        </w:rPr>
        <w:t xml:space="preserve">Prognosis sangat bergantung pada etiologi, usia kehamilan saat onset, dan derajat keparahan kelainan Doppler. SGA konstitusional pada umumnya memiliki luaran perinatal baik, setara kehamilan normal. FGR early-onset berat membawa risiko morbiditas dan mortalitas perinatal yang bermakna lebih tinggi, termasuk risiko kematian janin intrauterin, dibandingkan FGR late-onset yang umumnya memiliki luaran lebih baik namun tetap memerlukan kewaspadaan karena deteksi klinisnya lebih sulit.</w:t>
      </w:r>
    </w:p>
    <w:p>
      <w:pPr>
        <w:spacing w:after="160" w:line="276"/>
      </w:pPr>
      <w:r>
        <w:rPr>
          <w:rFonts w:ascii="IBM Plex Sans" w:cs="IBM Plex Sans" w:eastAsia="IBM Plex Sans" w:hAnsi="IBM Plex Sans"/>
          <w:color w:val="334155"/>
          <w:sz w:val="22"/>
          <w:szCs w:val="22"/>
        </w:rPr>
        <w:t xml:space="preserve">Risiko jangka panjang pada bayi dengan riwayat FGR mencakup potensi gangguan neurodevelopmental serta peningkatan risiko penyakit metabolik dan kardiovaskular pada usia dewasa, sejalan dengan hipotesis asal-usul janin pada penyakit dewasa (fetal origins of adult disease). Besaran risiko epidemiologis spesifik pada populasi Indonesia belum tersedia secara resmi dan perlu dirujuk pada laporan atau registri terbaru Kementerian Kesehatan, BKKBN, atau POGI apabila diperlukan untuk keperluan perencanaan program.</w:t>
      </w:r>
    </w:p>
    <w:p>
      <w:pPr>
        <w:pStyle w:val="Heading1"/>
        <w:spacing w:after="140" w:before="360"/>
      </w:pPr>
      <w:r>
        <w:rPr>
          <w:rFonts w:ascii="Source Serif 4" w:cs="Source Serif 4" w:eastAsia="Source Serif 4" w:hAnsi="Source Serif 4"/>
          <w:b/>
          <w:bCs/>
          <w:color w:val="4F46E5"/>
          <w:sz w:val="30"/>
          <w:szCs w:val="30"/>
        </w:rPr>
        <w:t xml:space="preserve">10. Tingkat Evidens dan Rekomendasi</w:t>
      </w:r>
    </w:p>
    <w:p>
      <w:pPr>
        <w:spacing w:after="160" w:line="276"/>
      </w:pPr>
      <w:r>
        <w:rPr>
          <w:rFonts w:ascii="IBM Plex Sans" w:cs="IBM Plex Sans" w:eastAsia="IBM Plex Sans" w:hAnsi="IBM Plex Sans"/>
          <w:color w:val="334155"/>
          <w:sz w:val="22"/>
          <w:szCs w:val="22"/>
        </w:rPr>
        <w:t xml:space="preserve">Tingkat evidens dan gradasi rekomendasi pada panduan ini disusun mengikuti sistem gradasi yang lazim digunakan pada pedoman praktik klinis internasional rujukan (ACOG, RCOG), karena Kepkonsil No. HK.01.02/KKI/1318/2026 tidak menetapkan skala gradasi evidens tersendiri untuk entri Tabel 7.</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Rekomendasi</w:t>
            </w:r>
          </w:p>
        </w:tc>
        <w:tc>
          <w:tcPr>
            <w:tcW w:type="dxa" w:w="2250"/>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Kekuatan Rekomendasi</w:t>
            </w:r>
          </w:p>
        </w:tc>
        <w:tc>
          <w:tcPr>
            <w:tcW w:type="dxa" w:w="2250"/>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Sumber</w:t>
            </w:r>
          </w:p>
        </w:tc>
      </w:tr>
      <w:tr>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Diagnosis FGR berdasarkan EFW/AC di bawah persentil ke-10 pada USG dengan penanggalan kehamilan akurat</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II-2</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B</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ACOG Practice Bulletin No. 227 (2021)</w:t>
            </w:r>
          </w:p>
        </w:tc>
      </w:tr>
      <w:tr>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Doppler arteri umbilikalis sebagai pemantauan utama FGR terkonfirmasi</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ISUOG Practice Guidelines (Lees dkk., 2020); Cochrane Review (Alfirevic dkk., 2017)</w:t>
            </w:r>
          </w:p>
        </w:tc>
      </w:tr>
      <w:tr>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Aspirin dosis rendah profilaksis pada kehamilan berisiko tinggi berikutnya</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Uji ASPRE (Rolnik dkk., 2017); RCOG Green-top Guideline No. 31 (2024)</w:t>
            </w:r>
          </w:p>
        </w:tc>
      </w:tr>
      <w:tr>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Tirah baring total tidak direkomendasikan secara rutin</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 (rekomendasi negatif)</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RCOG Green-top Guideline No. 31 (2024)</w:t>
            </w:r>
          </w:p>
        </w:tc>
      </w:tr>
      <w:tr>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Sildenafil sitrat tidak direkomendasikan untuk tata laksana FGR</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 (rekomendasi negatif)</w:t>
            </w:r>
          </w:p>
        </w:tc>
        <w:tc>
          <w:tcPr>
            <w:tcW w:type="dxa" w:w="225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Uji klinis STRIDER; ISUOG Practice Guidelines (Lees dkk., 2020)</w:t>
            </w:r>
          </w:p>
        </w:tc>
      </w:tr>
      <w:tr>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Persalinan SGA/FGR late-onset ringan tanpa kelainan Doppler dipertimbangkan mendekati usia aterm, bukan disegerakan rutin pada 37 minggu</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II-2</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B</w:t>
            </w:r>
          </w:p>
        </w:tc>
        <w:tc>
          <w:tcPr>
            <w:tcW w:type="dxa" w:w="225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RCOG Green-top Guideline No. 31 (2024)</w:t>
            </w:r>
          </w:p>
        </w:tc>
      </w:tr>
    </w:tbl>
    <w:p>
      <w:pPr>
        <w:spacing w:after="160"/>
      </w:pPr>
    </w:p>
    <w:p>
      <w:pPr>
        <w:pStyle w:val="Heading1"/>
        <w:spacing w:after="140" w:before="360"/>
      </w:pPr>
      <w:r>
        <w:rPr>
          <w:rFonts w:ascii="Source Serif 4" w:cs="Source Serif 4" w:eastAsia="Source Serif 4" w:hAnsi="Source Serif 4"/>
          <w:b/>
          <w:bCs/>
          <w:color w:val="4F46E5"/>
          <w:sz w:val="30"/>
          <w:szCs w:val="30"/>
        </w:rPr>
        <w:t xml:space="preserve">11. Indikator Medis</w:t>
      </w:r>
    </w:p>
    <w:p>
      <w:pPr>
        <w:spacing w:after="160" w:line="276"/>
      </w:pPr>
      <w:r>
        <w:rPr>
          <w:rFonts w:ascii="IBM Plex Sans" w:cs="IBM Plex Sans" w:eastAsia="IBM Plex Sans" w:hAnsi="IBM Plex Sans"/>
          <w:color w:val="334155"/>
          <w:sz w:val="22"/>
          <w:szCs w:val="22"/>
        </w:rPr>
        <w:t xml:space="preserve">Indikator berikut merupakan indikator proses dan luaran internal untuk audit mutu tata laksana, bukan data epidemiologi populasi, dan target numerik ditetapkan sebagai sasaran mutu internal fasilitas pelayanan.</w:t>
      </w:r>
    </w:p>
    <w:p>
      <w:pPr>
        <w:pStyle w:val="ListParagraph"/>
        <w:numPr>
          <w:ilvl w:val="0"/>
          <w:numId w:val="1"/>
        </w:numPr>
        <w:spacing w:after="100" w:line="268"/>
      </w:pPr>
      <w:r>
        <w:rPr>
          <w:rFonts w:ascii="IBM Plex Sans" w:cs="IBM Plex Sans" w:eastAsia="IBM Plex Sans" w:hAnsi="IBM Plex Sans"/>
          <w:color w:val="334155"/>
          <w:sz w:val="21"/>
          <w:szCs w:val="21"/>
        </w:rPr>
        <w:t xml:space="preserve">Proporsi kasus SGA/FGR yang terdeteksi dan terdokumentasi pada trimester ketiga (target internal ≥90% dari kasus berisiko tinggi teridentifikasi).</w:t>
      </w:r>
    </w:p>
    <w:p>
      <w:pPr>
        <w:pStyle w:val="ListParagraph"/>
        <w:numPr>
          <w:ilvl w:val="0"/>
          <w:numId w:val="1"/>
        </w:numPr>
        <w:spacing w:after="100" w:line="268"/>
      </w:pPr>
      <w:r>
        <w:rPr>
          <w:rFonts w:ascii="IBM Plex Sans" w:cs="IBM Plex Sans" w:eastAsia="IBM Plex Sans" w:hAnsi="IBM Plex Sans"/>
          <w:color w:val="334155"/>
          <w:sz w:val="21"/>
          <w:szCs w:val="21"/>
        </w:rPr>
        <w:t xml:space="preserve">Kepatuhan pelaksanaan Doppler serial sesuai interval yang ditetapkan pada kasus FGR terkonfirmasi.</w:t>
      </w:r>
    </w:p>
    <w:p>
      <w:pPr>
        <w:pStyle w:val="ListParagraph"/>
        <w:numPr>
          <w:ilvl w:val="0"/>
          <w:numId w:val="1"/>
        </w:numPr>
        <w:spacing w:after="100" w:line="268"/>
      </w:pPr>
      <w:r>
        <w:rPr>
          <w:rFonts w:ascii="IBM Plex Sans" w:cs="IBM Plex Sans" w:eastAsia="IBM Plex Sans" w:hAnsi="IBM Plex Sans"/>
          <w:color w:val="334155"/>
          <w:sz w:val="21"/>
          <w:szCs w:val="21"/>
        </w:rPr>
        <w:t xml:space="preserve">Proporsi pemberian kortikosteroid antenatal tepat waktu pada kasus FGR dengan risiko persalinan preterm sebelum 34 minggu.</w:t>
      </w:r>
    </w:p>
    <w:p>
      <w:pPr>
        <w:pStyle w:val="ListParagraph"/>
        <w:numPr>
          <w:ilvl w:val="0"/>
          <w:numId w:val="1"/>
        </w:numPr>
        <w:spacing w:after="100" w:line="268"/>
      </w:pPr>
      <w:r>
        <w:rPr>
          <w:rFonts w:ascii="IBM Plex Sans" w:cs="IBM Plex Sans" w:eastAsia="IBM Plex Sans" w:hAnsi="IBM Plex Sans"/>
          <w:color w:val="334155"/>
          <w:sz w:val="21"/>
          <w:szCs w:val="21"/>
        </w:rPr>
        <w:t xml:space="preserve">Tingkat kesesuaian keputusan waktu dan cara persalinan dengan kriteria Doppler/profil biofisik pada rekam medis (audit kepatuhan protokol).</w:t>
      </w:r>
    </w:p>
    <w:p>
      <w:pPr>
        <w:pStyle w:val="ListParagraph"/>
        <w:numPr>
          <w:ilvl w:val="0"/>
          <w:numId w:val="1"/>
        </w:numPr>
        <w:spacing w:after="100" w:line="268"/>
      </w:pPr>
      <w:r>
        <w:rPr>
          <w:rFonts w:ascii="IBM Plex Sans" w:cs="IBM Plex Sans" w:eastAsia="IBM Plex Sans" w:hAnsi="IBM Plex Sans"/>
          <w:color w:val="334155"/>
          <w:sz w:val="21"/>
          <w:szCs w:val="21"/>
        </w:rPr>
        <w:t xml:space="preserve">Angka rujukan tepat waktu ke subspesialis Fetomaternal sesuai kriteria pada bagian 7.4.</w:t>
      </w:r>
    </w:p>
    <w:p>
      <w:pPr>
        <w:pStyle w:val="Heading1"/>
        <w:spacing w:after="140" w:before="360"/>
      </w:pPr>
      <w:r>
        <w:rPr>
          <w:rFonts w:ascii="Source Serif 4" w:cs="Source Serif 4" w:eastAsia="Source Serif 4" w:hAnsi="Source Serif 4"/>
          <w:b/>
          <w:bCs/>
          <w:color w:val="4F46E5"/>
          <w:sz w:val="30"/>
          <w:szCs w:val="30"/>
        </w:rP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Standar nasional (Kepkonsil No. HK.01.02/KKI/1318/2026) menetapkan diagnosis Janin kecil untuk masa kehamilan sebagai satu entri kompetensi wajib spesialis obstetri-ginekologi (Tabel 7 No. 25) tanpa merinci protokol teknis Doppler atau algoritma tata laksana berjenjang. Standar internasional berikut digunakan sebagai pengayaan yang bersifat memperkaya, bukan menggantikan standar nasional:</w:t>
      </w:r>
    </w:p>
    <w:p>
      <w:pPr>
        <w:pStyle w:val="ListParagraph"/>
        <w:numPr>
          <w:ilvl w:val="0"/>
          <w:numId w:val="1"/>
        </w:numPr>
        <w:spacing w:after="100" w:line="268"/>
      </w:pPr>
      <w:r>
        <w:rPr>
          <w:rFonts w:ascii="IBM Plex Sans" w:cs="IBM Plex Sans" w:eastAsia="IBM Plex Sans" w:hAnsi="IBM Plex Sans"/>
          <w:color w:val="334155"/>
          <w:sz w:val="21"/>
          <w:szCs w:val="21"/>
        </w:rPr>
        <w:t xml:space="preserve">ACOG Practice Bulletin No. 227 (2021) — Fetal Growth Restriction: menetapkan kriteria diagnosis EFW/AC di bawah persentil ke-10, protokol pemantauan Doppler dan biometri serial, serta rekomendasi waktu persalinan berjenjang berdasarkan derajat keparahan Doppler dan usia kehamilan.</w:t>
      </w:r>
    </w:p>
    <w:p>
      <w:pPr>
        <w:pStyle w:val="ListParagraph"/>
        <w:numPr>
          <w:ilvl w:val="0"/>
          <w:numId w:val="1"/>
        </w:numPr>
        <w:spacing w:after="100" w:line="268"/>
      </w:pPr>
      <w:r>
        <w:rPr>
          <w:rFonts w:ascii="IBM Plex Sans" w:cs="IBM Plex Sans" w:eastAsia="IBM Plex Sans" w:hAnsi="IBM Plex Sans"/>
          <w:color w:val="334155"/>
          <w:sz w:val="21"/>
          <w:szCs w:val="21"/>
        </w:rPr>
        <w:t xml:space="preserve">RCOG Green-top Guideline No. 31, edisi ke-3 (2024) — Investigation and Care of a Small-for-Gestational-Age Fetus and a Growth Restricted Fetus: memperbarui edisi 2013 dengan penilaian risiko terstruktur sejak booking, model risiko kompetitif untuk memprediksi kematian janin terkait disfungsi plasenta, dan pergeseran anjuran waktu persalinan pada SGA/FGR late-onset ringan tanpa kelainan Doppler dari 37 minggu menjadi mendekati 39 minggu — praktik di Indonesia tetap mengikuti pertimbangan klinis individual berdasarkan kondisi janin dan fasilitas setempat karena Kepkonsil tidak mengatur batas usia kehamilan persalinan secara spesifik.</w:t>
      </w:r>
    </w:p>
    <w:p>
      <w:pPr>
        <w:pStyle w:val="ListParagraph"/>
        <w:numPr>
          <w:ilvl w:val="0"/>
          <w:numId w:val="1"/>
        </w:numPr>
        <w:spacing w:after="100" w:line="268"/>
      </w:pPr>
      <w:r>
        <w:rPr>
          <w:rFonts w:ascii="IBM Plex Sans" w:cs="IBM Plex Sans" w:eastAsia="IBM Plex Sans" w:hAnsi="IBM Plex Sans"/>
          <w:color w:val="334155"/>
          <w:sz w:val="21"/>
          <w:szCs w:val="21"/>
        </w:rPr>
        <w:t xml:space="preserve">ISUOG Practice Guidelines: diagnosis and management of small-for-gestational-age fetus and fetal growth restriction (Lees dkk., 2020): pedoman khusus ISUOG untuk diagnosis dan tata laksana SGA/FGR, merekomendasikan Doppler arteri umbilikalis sebagai penilaian utama serta penggunaan rasio serebroplasenta dan Doppler duktus venosus sebagai penanda tambahan risiko luaran buruk, khususnya pada FGR late-onset.</w:t>
      </w:r>
    </w:p>
    <w:p>
      <w:pPr>
        <w:pStyle w:val="ListParagraph"/>
        <w:numPr>
          <w:ilvl w:val="0"/>
          <w:numId w:val="1"/>
        </w:numPr>
        <w:spacing w:after="100" w:line="268"/>
      </w:pPr>
      <w:r>
        <w:rPr>
          <w:rFonts w:ascii="IBM Plex Sans" w:cs="IBM Plex Sans" w:eastAsia="IBM Plex Sans" w:hAnsi="IBM Plex Sans"/>
          <w:color w:val="334155"/>
          <w:sz w:val="21"/>
          <w:szCs w:val="21"/>
        </w:rPr>
        <w:t xml:space="preserve">FIGO initiative on fetal growth (Melamed dkk., 2021): memberikan konsensus multidisiplin lintas-negara mengenai skrining, diagnosis, dan tata laksana FGR, mendukung definisi konsensus Delphi (Gordijn dkk., 2016) sebagai kerangka diagnostik yang dianjurkan secara internasional.</w:t>
      </w:r>
    </w:p>
    <w:p>
      <w:pPr>
        <w:pStyle w:val="ListParagraph"/>
        <w:numPr>
          <w:ilvl w:val="0"/>
          <w:numId w:val="1"/>
        </w:numPr>
        <w:spacing w:after="100" w:line="268"/>
      </w:pPr>
      <w:r>
        <w:rPr>
          <w:rFonts w:ascii="IBM Plex Sans" w:cs="IBM Plex Sans" w:eastAsia="IBM Plex Sans" w:hAnsi="IBM Plex Sans"/>
          <w:color w:val="334155"/>
          <w:sz w:val="21"/>
          <w:szCs w:val="21"/>
        </w:rPr>
        <w:t xml:space="preserve">WHO Recommendations on Antenatal Care for a Positive Pregnancy Experience (2016): merekomendasikan pengukuran simfisis-fundus (SFH) sebagai skrining lini pertama pada fasilitas dengan akses USG terbatas, dengan USG rutin trimester ketiga dipertimbangkan bila sumber daya memungkinkan untuk deteksi dini SGA/FGR — praktik di Indonesia mengikuti standar nasional yang mengutamakan akses USG antenatal terintegrasi dalam layanan spesialis sesuai kompetensi Kepkonsil.</w:t>
      </w:r>
    </w:p>
    <w:p>
      <w:pPr>
        <w:pStyle w:val="ListParagraph"/>
        <w:numPr>
          <w:ilvl w:val="0"/>
          <w:numId w:val="1"/>
        </w:numPr>
        <w:spacing w:after="100" w:line="268"/>
      </w:pPr>
      <w:r>
        <w:rPr>
          <w:rFonts w:ascii="IBM Plex Sans" w:cs="IBM Plex Sans" w:eastAsia="IBM Plex Sans" w:hAnsi="IBM Plex Sans"/>
          <w:color w:val="334155"/>
          <w:sz w:val="21"/>
          <w:szCs w:val="21"/>
        </w:rPr>
        <w:t xml:space="preserve">Tinjauan pembanding lintas-pedoman terbaru (Di Mascio dkk., 2026, American Journal of Obstetrics &amp; Gynecology) yang membandingkan enam pedoman nasional dan internasional (termasuk RCOG, ISUOG, dan FIGO) menyimpulkan adanya kesepakatan luas mengenai peran sentral Doppler arteri umbilikalis dan duktus venosus untuk stratifikasi risiko, namun perbedaan yang masih berlangsung dalam definisi FGR dan ambang pemantauan — dicantumkan sebagai catatan bahwa harmonisasi definisi internasional masih terus berkembang hingga saat panduan ini disusun.</w:t>
      </w:r>
    </w:p>
    <w:p>
      <w:pPr>
        <w:pStyle w:val="ListParagraph"/>
        <w:numPr>
          <w:ilvl w:val="0"/>
          <w:numId w:val="1"/>
        </w:numPr>
        <w:spacing w:after="100" w:line="268"/>
      </w:pPr>
      <w:r>
        <w:rPr>
          <w:rFonts w:ascii="IBM Plex Sans" w:cs="IBM Plex Sans" w:eastAsia="IBM Plex Sans" w:hAnsi="IBM Plex Sans"/>
          <w:color w:val="334155"/>
          <w:sz w:val="21"/>
          <w:szCs w:val="21"/>
        </w:rPr>
        <w:t xml:space="preserve">Sebagai catatan praktik terkini di Inggris: pada Desember 2025, otoritas layanan kesehatan nasional Inggris (NHS England) menginstruksikan seluruh unit maternitas untuk menghentikan penggunaan kurva taksiran berat janin Intergrowth-21 (versi 2000 maupun 2017) karena kekhawatiran kurva tersebut menurunkan tingkat deteksi SGA pada populasi setempat; hal ini menegaskan pentingnya validasi lokal sebelum suatu kurva pertumbuhan janin diadopsi secara luas, dan menjadi pertimbangan bagi pengembangan kurva rujukan nasional Indonesia ke depan.</w:t>
      </w:r>
    </w:p>
    <w:p>
      <w:pPr>
        <w:pStyle w:val="Heading1"/>
        <w:spacing w:after="140" w:before="360"/>
      </w:pPr>
      <w:r>
        <w:rPr>
          <w:rFonts w:ascii="Source Serif 4" w:cs="Source Serif 4" w:eastAsia="Source Serif 4" w:hAnsi="Source Serif 4"/>
          <w:b/>
          <w:bCs/>
          <w:color w:val="4F46E5"/>
          <w:sz w:val="30"/>
          <w:szCs w:val="30"/>
        </w:rPr>
        <w:t xml:space="preserve">13. Kepustakaan</w:t>
      </w:r>
    </w:p>
    <w:p>
      <w:pPr>
        <w:pStyle w:val="ListParagraph"/>
        <w:numPr>
          <w:ilvl w:val="0"/>
          <w:numId w:val="1"/>
        </w:numPr>
        <w:spacing w:after="100" w:line="268"/>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7 Mei 2026.</w:t>
      </w:r>
    </w:p>
    <w:p>
      <w:pPr>
        <w:pStyle w:val="ListParagraph"/>
        <w:numPr>
          <w:ilvl w:val="0"/>
          <w:numId w:val="1"/>
        </w:numPr>
        <w:spacing w:after="100" w:line="268"/>
      </w:pPr>
      <w:r>
        <w:rPr>
          <w:rFonts w:ascii="IBM Plex Sans" w:cs="IBM Plex Sans" w:eastAsia="IBM Plex Sans" w:hAnsi="IBM Plex Sans"/>
          <w:color w:val="334155"/>
          <w:sz w:val="21"/>
          <w:szCs w:val="21"/>
        </w:rPr>
        <w:t xml:space="preserve">American College of Obstetricians and Gynecologists. Fetal Growth Restriction. ACOG Practice Bulletin No. 227. Obstetrics &amp; Gynecology. 2021;137(2):e16–e28.</w:t>
      </w:r>
    </w:p>
    <w:p>
      <w:pPr>
        <w:pStyle w:val="ListParagraph"/>
        <w:numPr>
          <w:ilvl w:val="0"/>
          <w:numId w:val="1"/>
        </w:numPr>
        <w:spacing w:after="100" w:line="268"/>
      </w:pPr>
      <w:r>
        <w:rPr>
          <w:rFonts w:ascii="IBM Plex Sans" w:cs="IBM Plex Sans" w:eastAsia="IBM Plex Sans" w:hAnsi="IBM Plex Sans"/>
          <w:color w:val="334155"/>
          <w:sz w:val="21"/>
          <w:szCs w:val="21"/>
        </w:rPr>
        <w:t xml:space="preserve">Morris RK, Johnstone E, Lees C, Morton V, Smith G, on behalf of the Royal College of Obstetricians and Gynaecologists. Investigation and Care of a Small-for-Gestational-Age Fetus and a Growth Restricted Fetus (Green-top Guideline No. 31, edisi ke-3). BJOG. 2024;131(9):e31–e80.</w:t>
      </w:r>
    </w:p>
    <w:p>
      <w:pPr>
        <w:pStyle w:val="ListParagraph"/>
        <w:numPr>
          <w:ilvl w:val="0"/>
          <w:numId w:val="1"/>
        </w:numPr>
        <w:spacing w:after="100" w:line="268"/>
      </w:pPr>
      <w:r>
        <w:rPr>
          <w:rFonts w:ascii="IBM Plex Sans" w:cs="IBM Plex Sans" w:eastAsia="IBM Plex Sans" w:hAnsi="IBM Plex Sans"/>
          <w:color w:val="334155"/>
          <w:sz w:val="21"/>
          <w:szCs w:val="21"/>
        </w:rPr>
        <w:t xml:space="preserve">Lees CC, Stampalija T, Baschat A, da Silva Costa F, Ferrazzi E, Figueras F, Hecher K, Kingdom J, Poon LC, Salomon LJ, Unterscheider J. ISUOG Practice Guidelines: diagnosis and management of small-for-gestational-age fetus and fetal growth restriction. Ultrasound in Obstetrics &amp; Gynecology. 2020;56(2):298–312.</w:t>
      </w:r>
    </w:p>
    <w:p>
      <w:pPr>
        <w:pStyle w:val="ListParagraph"/>
        <w:numPr>
          <w:ilvl w:val="0"/>
          <w:numId w:val="1"/>
        </w:numPr>
        <w:spacing w:after="100" w:line="268"/>
      </w:pPr>
      <w:r>
        <w:rPr>
          <w:rFonts w:ascii="IBM Plex Sans" w:cs="IBM Plex Sans" w:eastAsia="IBM Plex Sans" w:hAnsi="IBM Plex Sans"/>
          <w:color w:val="334155"/>
          <w:sz w:val="21"/>
          <w:szCs w:val="21"/>
        </w:rPr>
        <w:t xml:space="preserve">Bhide A, Acharya G, Baschat A, dkk. ISUOG Practice Guidelines (updated): use of Doppler velocimetry in obstetrics. Ultrasound in Obstetrics &amp; Gynecology. 2021;58(2):331–339.</w:t>
      </w:r>
    </w:p>
    <w:p>
      <w:pPr>
        <w:pStyle w:val="ListParagraph"/>
        <w:numPr>
          <w:ilvl w:val="0"/>
          <w:numId w:val="1"/>
        </w:numPr>
        <w:spacing w:after="100" w:line="268"/>
      </w:pPr>
      <w:r>
        <w:rPr>
          <w:rFonts w:ascii="IBM Plex Sans" w:cs="IBM Plex Sans" w:eastAsia="IBM Plex Sans" w:hAnsi="IBM Plex Sans"/>
          <w:color w:val="334155"/>
          <w:sz w:val="21"/>
          <w:szCs w:val="21"/>
        </w:rPr>
        <w:t xml:space="preserve">Melamed N, Baschat A, Yinon Y, dkk. FIGO (International Federation of Gynecology and Obstetrics) initiative on fetal growth: best practice advice for screening, diagnosis, and management of fetal growth restriction. International Journal of Gynecology &amp; Obstetrics. 2021;152(Suppl 1):3–57.</w:t>
      </w:r>
    </w:p>
    <w:p>
      <w:pPr>
        <w:pStyle w:val="ListParagraph"/>
        <w:numPr>
          <w:ilvl w:val="0"/>
          <w:numId w:val="1"/>
        </w:numPr>
        <w:spacing w:after="100" w:line="268"/>
      </w:pPr>
      <w:r>
        <w:rPr>
          <w:rFonts w:ascii="IBM Plex Sans" w:cs="IBM Plex Sans" w:eastAsia="IBM Plex Sans" w:hAnsi="IBM Plex Sans"/>
          <w:color w:val="334155"/>
          <w:sz w:val="21"/>
          <w:szCs w:val="21"/>
        </w:rPr>
        <w:t xml:space="preserve">World Health Organization. WHO Recommendations on Antenatal Care for a Positive Pregnancy Experience. Geneva: World Health Organization; 2016.</w:t>
      </w:r>
    </w:p>
    <w:p>
      <w:pPr>
        <w:pStyle w:val="ListParagraph"/>
        <w:numPr>
          <w:ilvl w:val="0"/>
          <w:numId w:val="1"/>
        </w:numPr>
        <w:spacing w:after="100" w:line="268"/>
      </w:pPr>
      <w:r>
        <w:rPr>
          <w:rFonts w:ascii="IBM Plex Sans" w:cs="IBM Plex Sans" w:eastAsia="IBM Plex Sans" w:hAnsi="IBM Plex Sans"/>
          <w:color w:val="334155"/>
          <w:sz w:val="21"/>
          <w:szCs w:val="21"/>
        </w:rPr>
        <w:t xml:space="preserve">Gordijn SJ, Beune IM, Thilaganathan B, Papageorghiou A, Baschat AA, Baker PN, Silver RM, Wynia K, Ganzevoort W. Consensus definition of fetal growth restriction: a Delphi procedure. Ultrasound in Obstetrics &amp; Gynecology. 2016;48(3):333–339.</w:t>
      </w:r>
    </w:p>
    <w:p>
      <w:pPr>
        <w:pStyle w:val="ListParagraph"/>
        <w:numPr>
          <w:ilvl w:val="0"/>
          <w:numId w:val="1"/>
        </w:numPr>
        <w:spacing w:after="100" w:line="268"/>
      </w:pPr>
      <w:r>
        <w:rPr>
          <w:rFonts w:ascii="IBM Plex Sans" w:cs="IBM Plex Sans" w:eastAsia="IBM Plex Sans" w:hAnsi="IBM Plex Sans"/>
          <w:color w:val="334155"/>
          <w:sz w:val="21"/>
          <w:szCs w:val="21"/>
        </w:rPr>
        <w:t xml:space="preserve">Lees CC, Marlow N, van Wassenaer-Leemhuis A, dkk, untuk TRUFFLE Study Group. 2 year neurodevelopmental and intermediate perinatal outcomes in infants with very preterm fetal growth restriction (TRUFFLE): a randomised trial. The Lancet. 2015;385(9983):2162–2172.</w:t>
      </w:r>
    </w:p>
    <w:p>
      <w:pPr>
        <w:pStyle w:val="ListParagraph"/>
        <w:numPr>
          <w:ilvl w:val="0"/>
          <w:numId w:val="1"/>
        </w:numPr>
        <w:spacing w:after="100" w:line="268"/>
      </w:pPr>
      <w:r>
        <w:rPr>
          <w:rFonts w:ascii="IBM Plex Sans" w:cs="IBM Plex Sans" w:eastAsia="IBM Plex Sans" w:hAnsi="IBM Plex Sans"/>
          <w:color w:val="334155"/>
          <w:sz w:val="21"/>
          <w:szCs w:val="21"/>
        </w:rPr>
        <w:t xml:space="preserve">Sharp A, Cornforth C, Jackson R, dkk. Maternal sildenafil for severe fetal growth restriction (STRIDER): a multicentre, randomised, placebo-controlled, double-blind trial. The Lancet Child &amp; Adolescent Health. 2018;2(2):93–102.</w:t>
      </w:r>
    </w:p>
    <w:p>
      <w:pPr>
        <w:pStyle w:val="ListParagraph"/>
        <w:numPr>
          <w:ilvl w:val="0"/>
          <w:numId w:val="1"/>
        </w:numPr>
        <w:spacing w:after="100" w:line="268"/>
      </w:pPr>
      <w:r>
        <w:rPr>
          <w:rFonts w:ascii="IBM Plex Sans" w:cs="IBM Plex Sans" w:eastAsia="IBM Plex Sans" w:hAnsi="IBM Plex Sans"/>
          <w:color w:val="334155"/>
          <w:sz w:val="21"/>
          <w:szCs w:val="21"/>
        </w:rPr>
        <w:t xml:space="preserve">Rolnik DL, Wright D, Poon LC, dkk. Aspirin versus Placebo in Pregnancies at High Risk for Preterm Preeclampsia. New England Journal of Medicine. 2017;377(7):613–622.</w:t>
      </w:r>
    </w:p>
    <w:p>
      <w:pPr>
        <w:pStyle w:val="ListParagraph"/>
        <w:numPr>
          <w:ilvl w:val="0"/>
          <w:numId w:val="1"/>
        </w:numPr>
        <w:spacing w:after="100" w:line="268"/>
      </w:pPr>
      <w:r>
        <w:rPr>
          <w:rFonts w:ascii="IBM Plex Sans" w:cs="IBM Plex Sans" w:eastAsia="IBM Plex Sans" w:hAnsi="IBM Plex Sans"/>
          <w:color w:val="334155"/>
          <w:sz w:val="21"/>
          <w:szCs w:val="21"/>
        </w:rPr>
        <w:t xml:space="preserve">Alfirevic Z, Stampalija T, Dowswell T. Fetal and umbilical Doppler ultrasound in high-risk pregnancies. Cochrane Database of Systematic Reviews. 2017;6:CD007529.</w:t>
      </w:r>
    </w:p>
    <w:p>
      <w:pPr>
        <w:pStyle w:val="ListParagraph"/>
        <w:numPr>
          <w:ilvl w:val="0"/>
          <w:numId w:val="1"/>
        </w:numPr>
        <w:spacing w:after="100" w:line="268"/>
      </w:pPr>
      <w:r>
        <w:rPr>
          <w:rFonts w:ascii="IBM Plex Sans" w:cs="IBM Plex Sans" w:eastAsia="IBM Plex Sans" w:hAnsi="IBM Plex Sans"/>
          <w:color w:val="334155"/>
          <w:sz w:val="21"/>
          <w:szCs w:val="21"/>
        </w:rPr>
        <w:t xml:space="preserve">Di Mascio D, Chauhan SP, Ghi T, Khalil A, Martins JG, Sorrenti S, Stampalija T, Zullo F, Figueras F. Consensus and controversies of international guidelines for the diagnosis, surveillance and management of fetal growth restriction: an updated comparison. American Journal of Obstetrics &amp; Gynecology. 2026 (terbit daring lebih dahulu).</w:t>
      </w:r>
    </w:p>
    <w:p>
      <w:pPr>
        <w:pStyle w:val="Heading1"/>
        <w:spacing w:after="140" w:before="360"/>
      </w:pPr>
      <w:r>
        <w:rPr>
          <w:rFonts w:ascii="Source Serif 4" w:cs="Source Serif 4" w:eastAsia="Source Serif 4" w:hAnsi="Source Serif 4"/>
          <w:b/>
          <w:bCs/>
          <w:color w:val="4F46E5"/>
          <w:sz w:val="30"/>
          <w:szCs w:val="30"/>
        </w:rPr>
        <w:t xml:space="preserve">Glosarium</w:t>
      </w:r>
    </w:p>
    <w:p>
      <w:pPr>
        <w:spacing w:after="160" w:line="276"/>
      </w:pPr>
      <w:r>
        <w:rPr>
          <w:rFonts w:ascii="IBM Plex Sans" w:cs="IBM Plex Sans" w:eastAsia="IBM Plex Sans" w:hAnsi="IBM Plex Sans"/>
          <w:color w:val="334155"/>
          <w:sz w:val="22"/>
          <w:szCs w:val="22"/>
        </w:rPr>
        <w:t xml:space="preserve">Daftar istilah berikut disusun untuk memudahkan pembacaan lintas-profesi terhadap panduan ini.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Istilah</w:t>
            </w:r>
          </w:p>
        </w:tc>
        <w:tc>
          <w:tcPr>
            <w:tcW w:type="dxa" w:w="4500"/>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Keterangan</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SGA (small for gestational age)</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Janin/bayi dengan taksiran berat atau berat lahir di bawah persentil ke-10 untuk usia kehamilan.</w:t>
            </w:r>
          </w:p>
        </w:tc>
      </w:tr>
      <w:tr>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FGR (fetal growth restriction)</w:t>
            </w:r>
          </w:p>
        </w:tc>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Janin yang gagal mencapai potensi pertumbuhan genetiknya, umumnya akibat insufisiensi plasenta; berbeda dengan SGA konstitusional.</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EFW (estimated fetal weight)</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Taksiran berat janin yang dihitung dari parameter biometri USG.</w:t>
            </w:r>
          </w:p>
        </w:tc>
      </w:tr>
      <w:tr>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AC (abdominal circumference)</w:t>
            </w:r>
          </w:p>
        </w:tc>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Lingkar perut janin, salah satu parameter biometri USG utama untuk menilai pertumbuhan.</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Doppler arteri umbilikalis</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Pemeriksaan aliran darah pada arteri tali pusat untuk menilai fungsi plasenta.</w:t>
            </w:r>
          </w:p>
        </w:tc>
      </w:tr>
      <w:tr>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Doppler arteri uterina</w:t>
            </w:r>
          </w:p>
        </w:tc>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Pemeriksaan aliran darah pada arteri rahim ibu untuk menilai risiko insufisiensi plasenta.</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CPR (cerebroplacental ratio)</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Rasio serebroplasenta; perbandingan indeks pulsatilitas arteri serebri media terhadap arteri umbilikalis, penanda redistribusi aliran darah janin (brain-sparing effect).</w:t>
            </w:r>
          </w:p>
        </w:tc>
      </w:tr>
      <w:tr>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Duktus venosus</w:t>
            </w:r>
          </w:p>
        </w:tc>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Pembuluh darah janin yang menghubungkan vena umbilikalis ke sirkulasi sentral; kelainan Dopplernya menandakan dekompensasi janin lanjut.</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AEDV/REDV</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Absent/reversed end-diastolic flow; ketiadaan atau pembalikan aliran darah diastolik akhir pada Doppler arteri umbilikalis, penanda insufisiensi plasenta berat.</w:t>
            </w:r>
          </w:p>
        </w:tc>
      </w:tr>
      <w:tr>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AFI (amniotic fluid index)</w:t>
            </w:r>
          </w:p>
        </w:tc>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Indeks cairan ketuban, salah satu metode pengukuran volume cairan amnion.</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NST/CTG (non-stress test/cardiotocography)</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Pemeriksaan denyut jantung janin dan aktivitas rahim untuk menilai kesejahteraan janin antepartum.</w:t>
            </w:r>
          </w:p>
        </w:tc>
      </w:tr>
      <w:tr>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Profil biofisik</w:t>
            </w:r>
          </w:p>
        </w:tc>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Penilaian kombinasi NST, gerak napas janin, gerak tubuh janin, tonus janin, dan volume cairan amnion.</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Insufisiensi plasenta</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Kegagalan plasenta menyalurkan oksigen dan nutrisi secara adekuat ke janin, penyebab tersering FGR.</w:t>
            </w:r>
          </w:p>
        </w:tc>
      </w:tr>
      <w:tr>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Preeklampsia</w:t>
            </w:r>
          </w:p>
        </w:tc>
        <w:tc>
          <w:tcPr>
            <w:tcW w:type="dxa" w:w="4500"/>
            <w:shd w:fill="EEF2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Gangguan hipertensi spesifik kehamilan disertai proteinuria atau disfungsi organ, sering berkaitan dengan FGR.</w:t>
            </w:r>
          </w:p>
        </w:tc>
      </w:tr>
      <w:tr>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Konsensus Delphi</w:t>
            </w:r>
          </w:p>
        </w:tc>
        <w:tc>
          <w:tcPr>
            <w:tcW w:type="dxa" w:w="4500"/>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Metode pencapaian kesepakatan pakar secara bertahap dan terstruktur, digunakan Gordijn dkk. (2016) untuk merumuskan definisi FGR yang diadopsi secara internasional.</w:t>
            </w:r>
          </w:p>
        </w:tc>
      </w:tr>
    </w:tbl>
    <w:p>
      <w:pPr>
        <w:spacing w:after="160"/>
      </w:pPr>
    </w:p>
    <w:p>
      <w:pPr>
        <w:pBdr>
          <w:top w:val="single" w:color="EEF2FF" w:sz="6"/>
        </w:pBdr>
        <w:spacing w:before="600"/>
      </w:pPr>
    </w:p>
    <w:p>
      <w:pPr>
        <w:spacing w:before="200"/>
        <w:jc w:val="center"/>
      </w:pPr>
      <w:r>
        <w:rPr>
          <w:rFonts w:ascii="IBM Plex Mono" w:cs="IBM Plex Mono" w:eastAsia="IBM Plex Mono" w:hAnsi="IBM Plex Mono"/>
          <w:color w:val="64748B"/>
          <w:sz w:val="17"/>
          <w:szCs w:val="17"/>
        </w:rPr>
        <w:t xml:space="preserve">PPK No. 25 dari 73 — Perpustakaan Digital ABBA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2026-08-17T17:40:28.322Z</dcterms:created>
  <dcterms:modified xsi:type="dcterms:W3CDTF">2026-08-17T17:40:28.338Z</dcterms:modified>
</cp:coreProperties>
</file>

<file path=docProps/custom.xml><?xml version="1.0" encoding="utf-8"?>
<Properties xmlns="http://schemas.openxmlformats.org/officeDocument/2006/custom-properties" xmlns:vt="http://schemas.openxmlformats.org/officeDocument/2006/docPropsVTypes"/>
</file>