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r>
        <w:rPr>
          <w:rFonts w:ascii="IBM Plex Mono" w:cs="IBM Plex Mono" w:eastAsia="IBM Plex Mono" w:hAnsi="IBM Plex Mono"/>
          <w:b/>
          <w:bCs/>
          <w:color w:val="B45309"/>
          <w:sz w:val="18"/>
          <w:szCs w:val="18"/>
        </w:rPr>
        <w:t xml:space="preserve">PERPUSTAKAAN DIGITAL ABBA</w:t>
      </w:r>
    </w:p>
    <w:p>
      <w:pPr>
        <w:spacing w:before="120"/>
      </w:pPr>
      <w:r>
        <w:rPr>
          <w:rFonts w:ascii="IBM Plex Sans" w:cs="IBM Plex Sans" w:eastAsia="IBM Plex Sans" w:hAnsi="IBM Plex Sans"/>
          <w:color w:val="334155"/>
          <w:sz w:val="20"/>
          <w:szCs w:val="20"/>
        </w:rPr>
        <w:t xml:space="preserve">Ekosistem Literatur Standar SpOG</w:t>
      </w:r>
    </w:p>
    <w:p>
      <w:pPr>
        <w:spacing w:before="600"/>
      </w:pPr>
      <w:r>
        <w:rPr>
          <w:rFonts w:ascii="IBM Plex Mono" w:cs="IBM Plex Mono" w:eastAsia="IBM Plex Mono" w:hAnsi="IBM Plex Mono"/>
          <w:b/>
          <w:bCs/>
          <w:color w:val="4F46E5"/>
          <w:sz w:val="18"/>
          <w:szCs w:val="18"/>
        </w:rPr>
        <w:t xml:space="preserve">Panduan Praktik Klinis (Individu)</w:t>
      </w:r>
    </w:p>
    <w:p>
      <w:pPr>
        <w:pStyle w:val="Title"/>
        <w:spacing w:before="200"/>
      </w:pPr>
      <w:r>
        <w:rPr>
          <w:rFonts w:ascii="Source Serif 4" w:cs="Source Serif 4" w:eastAsia="Source Serif 4" w:hAnsi="Source Serif 4"/>
          <w:b/>
          <w:bCs/>
          <w:color w:val="4F46E5"/>
          <w:sz w:val="56"/>
          <w:szCs w:val="56"/>
        </w:rPr>
        <w:t xml:space="preserve">Hidrops Fetalis</w:t>
      </w:r>
    </w:p>
    <w:p>
      <w:pPr>
        <w:spacing w:before="100"/>
      </w:pPr>
      <w:r>
        <w:rPr>
          <w:rFonts w:ascii="Source Serif 4" w:cs="Source Serif 4" w:eastAsia="Source Serif 4" w:hAnsi="Source Serif 4"/>
          <w:i/>
          <w:iCs/>
          <w:color w:val="334155"/>
          <w:sz w:val="30"/>
          <w:szCs w:val="30"/>
        </w:rPr>
        <w:t xml:space="preserve">Hydrops Fetalis</w:t>
      </w:r>
    </w:p>
    <w:p>
      <w:pPr>
        <w:spacing w:before="400"/>
      </w:pPr>
      <w:r>
        <w:rPr>
          <w:rFonts w:ascii="IBM Plex Mono" w:cs="IBM Plex Mono" w:eastAsia="IBM Plex Mono" w:hAnsi="IBM Plex Mono"/>
          <w:color w:val="B45309"/>
          <w:sz w:val="20"/>
          <w:szCs w:val="20"/>
        </w:rPr>
        <w:t xml:space="preserve">Kode Dokumen: PPK-026   |   Dokumen 26 dari 73</w:t>
      </w:r>
    </w:p>
    <w:p>
      <w:pPr>
        <w:spacing w:before="100"/>
      </w:pPr>
      <w:r>
        <w:rPr>
          <w:rFonts w:ascii="IBM Plex Mono" w:cs="IBM Plex Mono" w:eastAsia="IBM Plex Mono" w:hAnsi="IBM Plex Mono"/>
          <w:color w:val="334155"/>
          <w:sz w:val="20"/>
          <w:szCs w:val="20"/>
        </w:rPr>
        <w:t xml:space="preserve">ICD-10: P83.2   |   ICD-11: JA86.1</w:t>
      </w:r>
    </w:p>
    <w:p>
      <w:pPr>
        <w:spacing w:before="100"/>
      </w:pPr>
      <w:r>
        <w:rPr>
          <w:rFonts w:ascii="IBM Plex Sans" w:cs="IBM Plex Sans" w:eastAsia="IBM Plex Sans" w:hAnsi="IBM Plex Sans"/>
          <w:color w:val="334155"/>
          <w:sz w:val="20"/>
          <w:szCs w:val="20"/>
        </w:rPr>
        <w:t xml:space="preserve">Divisi Pengampu: Fetomaternal</w:t>
      </w:r>
    </w:p>
    <w:p>
      <w:pPr>
        <w:spacing w:before="400"/>
      </w:pPr>
      <w:r>
        <w:rPr>
          <w:rFonts w:ascii="IBM Plex Sans" w:cs="IBM Plex Sans" w:eastAsia="IBM Plex Sans" w:hAnsi="IBM Plex Sans"/>
          <w:i/>
          <w:iCs/>
          <w:color w:val="334155"/>
          <w:sz w:val="19"/>
          <w:szCs w:val="19"/>
        </w:rPr>
        <w:t xml:space="preserve">Diturunkan dari Buku Tematik B3 — Obstetri Patologis dan Kegawatdaruratan Maternal</w:t>
      </w:r>
    </w:p>
    <w:p>
      <w:pPr>
        <w:spacing w:before="40"/>
      </w:pPr>
      <w:r>
        <w:rPr>
          <w:rFonts w:ascii="IBM Plex Sans" w:cs="IBM Plex Sans" w:eastAsia="IBM Plex Sans" w:hAnsi="IBM Plex Sans"/>
          <w:i/>
          <w:iCs/>
          <w:color w:val="334155"/>
          <w:sz w:val="19"/>
          <w:szCs w:val="19"/>
        </w:rPr>
        <w:t xml:space="preserve">Dasar Hukum: Tabel 7 Kepkonsil No. HK.01.02/KKI/1318/2026, Hal. 59, entri No. 26</w:t>
      </w:r>
    </w:p>
    <w:p>
      <w:pPr>
        <w:spacing w:before="800"/>
      </w:pPr>
      <w:r>
        <w:rPr>
          <w:rFonts w:ascii="IBM Plex Sans" w:cs="IBM Plex Sans" w:eastAsia="IBM Plex Sans" w:hAnsi="IBM Plex Sans"/>
          <w:b/>
          <w:bCs/>
          <w:color w:val="334155"/>
          <w:sz w:val="20"/>
          <w:szCs w:val="20"/>
        </w:rPr>
        <w:t xml:space="preserve">Dr.dr. Budi Siswanto, Sp.OG., Subsp.Obginsos., SH., S.Kom.</w:t>
      </w:r>
    </w:p>
    <w:p>
      <w:pPr>
        <w:spacing w:before="200"/>
      </w:pPr>
      <w:r>
        <w:rPr>
          <w:rFonts w:ascii="IBM Plex Mono" w:cs="IBM Plex Mono" w:eastAsia="IBM Plex Mono" w:hAnsi="IBM Plex Mono"/>
          <w:b/>
          <w:bCs/>
          <w:color w:val="B45309"/>
          <w:sz w:val="18"/>
          <w:szCs w:val="18"/>
        </w:rPr>
        <w:t xml:space="preserve">Perpustakaan Digital ABBA</w:t>
      </w:r>
    </w:p>
    <w:p>
      <w:r>
        <w:rPr>
          <w:rFonts w:ascii="IBM Plex Sans" w:cs="IBM Plex Sans" w:eastAsia="IBM Plex Sans" w:hAnsi="IBM Plex Sans"/>
          <w:color w:val="334155"/>
          <w:sz w:val="18"/>
          <w:szCs w:val="18"/>
        </w:rPr>
        <w:t xml:space="preserve">Jl. Kerinci Raya No. 9, Malang 65138</w:t>
      </w:r>
    </w:p>
    <w:p>
      <w:r>
        <w:rPr>
          <w:rFonts w:ascii="IBM Plex Sans" w:cs="IBM Plex Sans" w:eastAsia="IBM Plex Sans" w:hAnsi="IBM Plex Sans"/>
          <w:color w:val="334155"/>
          <w:sz w:val="18"/>
          <w:szCs w:val="18"/>
        </w:rPr>
        <w:t xml:space="preserve">Cetakan 2026</w:t>
      </w:r>
    </w:p>
    <w:p>
      <w:r>
        <w:br w:type="page"/>
      </w:r>
    </w:p>
    <w:p>
      <w:pPr>
        <w:pStyle w:val="Heading1"/>
        <w:spacing w:after="160" w:before="320"/>
      </w:pPr>
      <w:r>
        <w:rPr>
          <w:rFonts w:ascii="Source Serif 4" w:cs="Source Serif 4" w:eastAsia="Source Serif 4" w:hAnsi="Source Serif 4"/>
          <w:b/>
          <w:bCs/>
          <w:color w:val="4F46E5"/>
        </w:rPr>
        <w:t xml:space="preserve">Ringkasan Klinis</w:t>
      </w:r>
    </w:p>
    <w:p>
      <w:pPr>
        <w:spacing w:after="100" w:before="160"/>
      </w:pPr>
      <w:r>
        <w:rPr>
          <w:rFonts w:ascii="Source Serif 4" w:cs="Source Serif 4" w:eastAsia="Source Serif 4" w:hAnsi="Source Serif 4"/>
          <w:b/>
          <w:bCs/>
          <w:color w:val="4F46E5"/>
          <w:sz w:val="21"/>
          <w:szCs w:val="21"/>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Ringkasan</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Definisi Singkat</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Akumulasi cairan patologis pada dua atau lebih kompartemen janin (efusi pleura, asites, edema kulit, efusi perikardium) dengan atau tanpa anemia; dibedakan menjadi hidrops imun (isoimunisasi eritrosit) dan hidrops non-imun (mayoritas kasus kontemporer).</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Populasi Sasaran</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Janin dengan akumulasi cairan pada pemeriksaan ultrasonografi (sesuai Keterangan/Populasi Tabel 7 No. 26).</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Catatan Kegawatdaruratan</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Berpotensi tinggi terhadap morbiditas dan mortalitas perinatal — memerlukan rujukan cepat ke fasilitas dengan kemampuan Fetomaternal.</w:t>
            </w:r>
          </w:p>
        </w:tc>
      </w:tr>
    </w:tbl>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40"/>
              <w:left w:type="dxa" w:w="220"/>
              <w:bottom w:type="dxa" w:w="140"/>
              <w:right w:type="dxa" w:w="220"/>
            </w:tcMar>
          </w:tcPr>
          <w:p>
            <w:r>
              <w:rPr>
                <w:rFonts w:ascii="IBM Plex Mono" w:cs="IBM Plex Mono" w:eastAsia="IBM Plex Mono" w:hAnsi="IBM Plex Mono"/>
                <w:b/>
                <w:bCs/>
                <w:color w:val="B45309"/>
                <w:sz w:val="16"/>
                <w:szCs w:val="16"/>
              </w:rPr>
              <w:t xml:space="preserve">DASAR REGULASI</w:t>
            </w:r>
          </w:p>
          <w:p>
            <w:pPr>
              <w:spacing w:before="60"/>
            </w:pPr>
            <w:r>
              <w:rPr>
                <w:rFonts w:ascii="IBM Plex Sans" w:cs="IBM Plex Sans" w:eastAsia="IBM Plex Sans" w:hAnsi="IBM Plex Sans"/>
                <w:i/>
                <w:iCs/>
                <w:color w:val="334155"/>
                <w:sz w:val="20"/>
                <w:szCs w:val="20"/>
              </w:rPr>
              <w:t xml:space="preserve">PPK ini merupakan turunan operasional dari Bab Kelainan Janin dan Kegawatdaruratan Fetal (bagian hidrops dan kelainan non-reassuring janin), Buku Tematik B3 — Obstetri Patologis dan Kegawatdaruratan Maternal, berdasarkan Tabel 7 Kepkonsil No. HK.01.02/KKI/1318/2026, Hal. 59, entri No. 26.</w:t>
            </w:r>
          </w:p>
        </w:tc>
      </w:tr>
    </w:tbl>
    <w:p>
      <w:r>
        <w:br w:type="page"/>
      </w:r>
    </w:p>
    <w:p>
      <w:pPr>
        <w:pStyle w:val="Heading1"/>
        <w:spacing w:after="160" w:before="320"/>
      </w:pPr>
      <w:r>
        <w:rPr>
          <w:rFonts w:ascii="Source Serif 4" w:cs="Source Serif 4" w:eastAsia="Source Serif 4" w:hAnsi="Source Serif 4"/>
          <w:b/>
          <w:bCs/>
          <w:color w:val="4F46E5"/>
        </w:rPr>
        <w:t xml:space="preserve">1. Pengertian/Definisi</w:t>
      </w:r>
    </w:p>
    <w:p>
      <w:pPr>
        <w:spacing w:after="160" w:line="300"/>
      </w:pPr>
      <w:r>
        <w:rPr>
          <w:rFonts w:ascii="IBM Plex Sans" w:cs="IBM Plex Sans" w:eastAsia="IBM Plex Sans" w:hAnsi="IBM Plex Sans"/>
          <w:color w:val="334155"/>
          <w:sz w:val="21"/>
          <w:szCs w:val="21"/>
        </w:rPr>
        <w:t xml:space="preserve">PPK ini merupakan turunan operasional dari Bab Kelainan Janin dan Kegawatdaruratan Fetal, Buku Tematik B3 — Obstetri Patologis dan Kegawatdaruratan Maternal, sebagai pendalaman tata laksana klinis atas kompetensi hidrops fetalis yang tercantum pada Tabel 7 Kepkonsil No. HK.01.02/KKI/1318/2026.</w:t>
      </w:r>
    </w:p>
    <w:p>
      <w:pPr>
        <w:spacing w:after="160" w:line="300"/>
      </w:pPr>
      <w:r>
        <w:rPr>
          <w:rFonts w:ascii="IBM Plex Sans" w:cs="IBM Plex Sans" w:eastAsia="IBM Plex Sans" w:hAnsi="IBM Plex Sans"/>
          <w:color w:val="334155"/>
          <w:sz w:val="21"/>
          <w:szCs w:val="21"/>
        </w:rPr>
        <w:t xml:space="preserve">Hidrops fetalis (Hydrops fetalis) — kode ICD-10 P83.2, ICD-11 JA86.1 — adalah akumulasi cairan patologis pada dua atau lebih kompartemen janin. Kompartemen yang dimaksud meliputi asites, efusi pleura, efusi perikardium (ketebalan &gt;2-3 mm), dan edema kulit generalisata (ketebalan &gt;5 mm), dengan atau tanpa disertai anemia janin. Polihidramnion dan penebalan plasenta (placentomegaly) kerap menyertai namun bukan komponen wajib kriteria diagnosis.</w:t>
      </w:r>
    </w:p>
    <w:p>
      <w:pPr>
        <w:spacing w:after="160" w:line="300"/>
      </w:pPr>
      <w:r>
        <w:rPr>
          <w:rFonts w:ascii="IBM Plex Sans" w:cs="IBM Plex Sans" w:eastAsia="IBM Plex Sans" w:hAnsi="IBM Plex Sans"/>
          <w:color w:val="334155"/>
          <w:sz w:val="21"/>
          <w:szCs w:val="21"/>
        </w:rPr>
        <w:t xml:space="preserve">Efusi tunggal pada satu kompartemen (tanpa memenuhi kriteria dua kompartemen) belum digolongkan sebagai hidrops sejati, namun tetap dikategorikan sebagai temuan dalam spektrum hidrops (hydrops-spectrum finding) yang memerlukan evaluasi etiologi bila dicurigai proses sistemik (infeksi, anemia janin, kelainan genetik, atau kelainan struktural).</w:t>
      </w:r>
    </w:p>
    <w:p>
      <w:pPr>
        <w:spacing w:after="160" w:line="300"/>
      </w:pPr>
      <w:r>
        <w:rPr>
          <w:rFonts w:ascii="IBM Plex Sans" w:cs="IBM Plex Sans" w:eastAsia="IBM Plex Sans" w:hAnsi="IBM Plex Sans"/>
          <w:color w:val="334155"/>
          <w:sz w:val="21"/>
          <w:szCs w:val="21"/>
        </w:rPr>
        <w:t xml:space="preserve">Secara etiologi, hidrops fetalis dibagi menjadi dua kelompok besar: (a) Hidrops imun (immune hydrops), disebabkan oleh isoimunisasi eritrosit ibu terhadap antigen golongan darah janin (paling sering antigen D dari sistem Rhesus, juga dapat oleh antigen Kell atau c) yang menimbulkan hemolisis dan anemia berat pada janin; dan (b) Hidrops non-imun (non-immune hydrops fetalis/NIHF), yang mencakup sebagian besar kasus kontemporer dan disebabkan oleh spektrum etiologi luas — kelainan kardiovaskular struktural, aritmia janin, kelainan kromosom dan genetik, infeksi kongenital, anemia non-imun (misalnya akibat infeksi Parvovirus B19, defisiensi G6PD, atau alfa-thalassemia mayor), malformasi limfatik/toraks, komplikasi kehamilan kembar monokorionik (TTTS/TAPS), tumor janin atau plasenta, serta kasus yang tetap idiopatik meskipun telah dilakukan evaluasi lengkap.</w:t>
      </w:r>
    </w:p>
    <w:p>
      <w:pPr>
        <w:spacing w:after="160" w:line="300"/>
      </w:pPr>
      <w:r>
        <w:rPr>
          <w:rFonts w:ascii="IBM Plex Sans" w:cs="IBM Plex Sans" w:eastAsia="IBM Plex Sans" w:hAnsi="IBM Plex Sans"/>
          <w:color w:val="334155"/>
          <w:sz w:val="21"/>
          <w:szCs w:val="21"/>
        </w:rPr>
        <w:t xml:space="preserve">Populasi sasaran PPK ini adalah janin dengan akumulasi cairan yang teridentifikasi pada pemeriksaan ultrasonografi obstetri, sebagaimana tercantum pada kolom Keterangan/Populasi Tabel 7 No. 26 Kepkonsil.</w:t>
      </w:r>
    </w:p>
    <w:p>
      <w:pPr>
        <w:pStyle w:val="Heading1"/>
        <w:spacing w:after="160" w:before="320"/>
      </w:pPr>
      <w:r>
        <w:rPr>
          <w:rFonts w:ascii="Source Serif 4" w:cs="Source Serif 4" w:eastAsia="Source Serif 4" w:hAnsi="Source Serif 4"/>
          <w:b/>
          <w:bCs/>
          <w:color w:val="4F46E5"/>
        </w:rPr>
        <w:t xml:space="preserve">2. Anamnesis</w:t>
      </w:r>
    </w:p>
    <w:p>
      <w:pPr>
        <w:spacing w:after="160" w:line="300"/>
      </w:pPr>
      <w:r>
        <w:rPr>
          <w:rFonts w:ascii="IBM Plex Sans" w:cs="IBM Plex Sans" w:eastAsia="IBM Plex Sans" w:hAnsi="IBM Plex Sans"/>
          <w:color w:val="334155"/>
          <w:sz w:val="21"/>
          <w:szCs w:val="21"/>
        </w:rPr>
        <w:t xml:space="preserve">Anamnesis diarahkan untuk menelusuri faktor risiko dan etiologi yang mendasari, karena tata laksana hidrops fetalis sangat bergantung pada penyebab yang teridentifikasi.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golongan darah dan Rhesus ibu; riwayat transfusi darah sebelumnya; riwayat kehamilan/persalinan dengan bayi ikterus berat, anemia, hidrops, atau kematian perinatal yang dicurigai terkait isoimunisasi eritrosit.</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kehamilan saat ini: usia gestasi saat keluhan/temuan muncul, gerak janin, tanda polihidramnion (perut cepat membesar, sesak, ketidaknyamanan yang tidak proporsional dengan usia kehamilan).</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infeksi selama kehamilan: demam, ruam, gejala mirip influenza, atau kontak dengan penderita infeksi yang diketahui berisiko terhadap janin (Parvovirus B19, Cytomegalovirus, Toxoplasma, sifilis, Rubella).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penyakit genetik atau kelainan kongenital pada keluarga maupun anak sebelumnya; riwayat konsanguinitas orang tua.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asal etnis/geografis terkait risiko hemoglobinopati (talasemia alfa maupun beta) pada kedua orang tua.</w:t>
      </w:r>
    </w:p>
    <w:p>
      <w:pPr>
        <w:pStyle w:val="ListParagraph"/>
        <w:numPr>
          <w:ilvl w:val="0"/>
          <w:numId w:val="1"/>
        </w:numPr>
        <w:spacing w:after="100" w:line="290"/>
      </w:pPr>
      <w:r>
        <w:rPr>
          <w:rFonts w:ascii="IBM Plex Sans" w:cs="IBM Plex Sans" w:eastAsia="IBM Plex Sans" w:hAnsi="IBM Plex Sans"/>
          <w:color w:val="334155"/>
          <w:sz w:val="21"/>
          <w:szCs w:val="21"/>
        </w:rPr>
        <w:t xml:space="preserve">Kehamilan multipel — khususnya kembar monokorionik-diamniotik — dan hasil pemantauan Doppler pada kunjungan sebelumnya.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penyakit metabolik atau penyakit simpanan lisosomal (lysosomal storage disease) pada keluarga bila relevan secara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penggunaan obat, paparan toksin, atau prosedur invasif prenatal sebelumnya pada kehamilan yang sama.</w:t>
      </w:r>
    </w:p>
    <w:p>
      <w:pPr>
        <w:pStyle w:val="Heading1"/>
        <w:spacing w:after="160" w:before="320"/>
      </w:pPr>
      <w:r>
        <w:rPr>
          <w:rFonts w:ascii="Source Serif 4" w:cs="Source Serif 4" w:eastAsia="Source Serif 4" w:hAnsi="Source Serif 4"/>
          <w:b/>
          <w:bCs/>
          <w:color w:val="4F46E5"/>
        </w:rPr>
        <w:t xml:space="preserve">3. Pemeriksaan Fisik</w:t>
      </w:r>
    </w:p>
    <w:p>
      <w:pPr>
        <w:spacing w:after="160" w:line="300"/>
      </w:pPr>
      <w:r>
        <w:rPr>
          <w:rFonts w:ascii="IBM Plex Sans" w:cs="IBM Plex Sans" w:eastAsia="IBM Plex Sans" w:hAnsi="IBM Plex Sans"/>
          <w:color w:val="334155"/>
          <w:sz w:val="21"/>
          <w:szCs w:val="21"/>
        </w:rPr>
        <w:t xml:space="preserve">Pemeriksaan fisik pada ibu bersifat suportif terhadap temuan ultrasonografi janin, karena hidrops fetalis pada dasarnya merupakan diagnosis pencitraan.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Tinggi fundus uteri yang tidak sesuai usia kehamilan — umumnya lebih besar akibat polihidramnion yang menyertai.</w:t>
      </w:r>
    </w:p>
    <w:p>
      <w:pPr>
        <w:pStyle w:val="ListParagraph"/>
        <w:numPr>
          <w:ilvl w:val="0"/>
          <w:numId w:val="1"/>
        </w:numPr>
        <w:spacing w:after="100" w:line="290"/>
      </w:pPr>
      <w:r>
        <w:rPr>
          <w:rFonts w:ascii="IBM Plex Sans" w:cs="IBM Plex Sans" w:eastAsia="IBM Plex Sans" w:hAnsi="IBM Plex Sans"/>
          <w:color w:val="334155"/>
          <w:sz w:val="21"/>
          <w:szCs w:val="21"/>
        </w:rPr>
        <w:t xml:space="preserve">Tanda mirror syndrome (Ballantyne syndrome) pada ibu: edema generalisata, hipertensi, proteinuria, dan hemodilusi yang menyerupai gambaran janin hidropiknya sendiri — merupakan tanda kegawatdaruratan maternal yang memerlukan evaluasi dan konsultasi segera.</w:t>
      </w:r>
    </w:p>
    <w:p>
      <w:pPr>
        <w:pStyle w:val="ListParagraph"/>
        <w:numPr>
          <w:ilvl w:val="0"/>
          <w:numId w:val="1"/>
        </w:numPr>
        <w:spacing w:after="100" w:line="290"/>
      </w:pPr>
      <w:r>
        <w:rPr>
          <w:rFonts w:ascii="IBM Plex Sans" w:cs="IBM Plex Sans" w:eastAsia="IBM Plex Sans" w:hAnsi="IBM Plex Sans"/>
          <w:color w:val="334155"/>
          <w:sz w:val="21"/>
          <w:szCs w:val="21"/>
        </w:rPr>
        <w:t xml:space="preserve">Auskultasi denyut jantung janin — dapat ditemukan takikardia, bradikardia, atau irama ireguler bila etiologi berupa aritmia janin.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Penilaian tanda vital ibu (tekanan darah, edema perifer, produksi urin) sebagai skrining awal mirror syndrome atau preeklamsia yang menyertai.</w:t>
      </w:r>
    </w:p>
    <w:p>
      <w:pPr>
        <w:pStyle w:val="Heading1"/>
        <w:spacing w:after="160" w:before="320"/>
      </w:pPr>
      <w:r>
        <w:rPr>
          <w:rFonts w:ascii="Source Serif 4" w:cs="Source Serif 4" w:eastAsia="Source Serif 4" w:hAnsi="Source Serif 4"/>
          <w:b/>
          <w:bCs/>
          <w:color w:val="4F46E5"/>
        </w:rPr>
        <w:t xml:space="preserve">4. Kriteria Diagnosis</w:t>
      </w:r>
    </w:p>
    <w:p>
      <w:pPr>
        <w:spacing w:after="160" w:line="300"/>
      </w:pPr>
      <w:r>
        <w:rPr>
          <w:rFonts w:ascii="IBM Plex Sans" w:cs="IBM Plex Sans" w:eastAsia="IBM Plex Sans" w:hAnsi="IBM Plex Sans"/>
          <w:color w:val="334155"/>
          <w:sz w:val="21"/>
          <w:szCs w:val="21"/>
        </w:rPr>
        <w:t xml:space="preserve">Kode diagnosis (diverifikasi terhadap Tabel 7 Kepkonsil No. HK.01.02/KKI/1318/2026, Hal. 59, entri No. 26): ICD-10 P83.2; ICD-11 JA86.1.</w:t>
      </w:r>
    </w:p>
    <w:p>
      <w:pPr>
        <w:spacing w:after="160" w:line="300"/>
      </w:pPr>
      <w:r>
        <w:rPr>
          <w:rFonts w:ascii="IBM Plex Sans" w:cs="IBM Plex Sans" w:eastAsia="IBM Plex Sans" w:hAnsi="IBM Plex Sans"/>
          <w:color w:val="334155"/>
          <w:sz w:val="21"/>
          <w:szCs w:val="21"/>
        </w:rPr>
        <w:t xml:space="preserve">Diagnosis hidrops fetalis ditegakkan secara ultrasonografi apabila ditemukan akumulasi cairan abnormal pada dua atau lebih kompartemen/rongga janin berikut:</w:t>
      </w:r>
    </w:p>
    <w:p>
      <w:pPr>
        <w:pStyle w:val="ListParagraph"/>
        <w:numPr>
          <w:ilvl w:val="0"/>
          <w:numId w:val="1"/>
        </w:numPr>
        <w:spacing w:after="100" w:line="290"/>
      </w:pPr>
      <w:r>
        <w:rPr>
          <w:rFonts w:ascii="IBM Plex Sans" w:cs="IBM Plex Sans" w:eastAsia="IBM Plex Sans" w:hAnsi="IBM Plex Sans"/>
          <w:color w:val="334155"/>
          <w:sz w:val="21"/>
          <w:szCs w:val="21"/>
        </w:rPr>
        <w:t xml:space="preserve">Asites janin (cairan bebas intra-abdominal).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Efusi pleura janin (unilateral atau bilateral).</w:t>
      </w:r>
    </w:p>
    <w:p>
      <w:pPr>
        <w:pStyle w:val="ListParagraph"/>
        <w:numPr>
          <w:ilvl w:val="0"/>
          <w:numId w:val="1"/>
        </w:numPr>
        <w:spacing w:after="100" w:line="290"/>
      </w:pPr>
      <w:r>
        <w:rPr>
          <w:rFonts w:ascii="IBM Plex Sans" w:cs="IBM Plex Sans" w:eastAsia="IBM Plex Sans" w:hAnsi="IBM Plex Sans"/>
          <w:color w:val="334155"/>
          <w:sz w:val="21"/>
          <w:szCs w:val="21"/>
        </w:rPr>
        <w:t xml:space="preserve">Efusi perikardium janin (ketebalan &gt;2-3 mm).</w:t>
      </w:r>
    </w:p>
    <w:p>
      <w:pPr>
        <w:pStyle w:val="ListParagraph"/>
        <w:numPr>
          <w:ilvl w:val="0"/>
          <w:numId w:val="1"/>
        </w:numPr>
        <w:spacing w:after="100" w:line="290"/>
      </w:pPr>
      <w:r>
        <w:rPr>
          <w:rFonts w:ascii="IBM Plex Sans" w:cs="IBM Plex Sans" w:eastAsia="IBM Plex Sans" w:hAnsi="IBM Plex Sans"/>
          <w:color w:val="334155"/>
          <w:sz w:val="21"/>
          <w:szCs w:val="21"/>
        </w:rPr>
        <w:t xml:space="preserve">Edema kulit generalisata (ketebalan kulit &gt;5 mm), termasuk edema kulit kepala/skalp.</w:t>
      </w:r>
    </w:p>
    <w:p>
      <w:pPr>
        <w:pStyle w:val="ListParagraph"/>
        <w:numPr>
          <w:ilvl w:val="0"/>
          <w:numId w:val="1"/>
        </w:numPr>
        <w:spacing w:after="100" w:line="290"/>
      </w:pPr>
      <w:r>
        <w:rPr>
          <w:rFonts w:ascii="IBM Plex Sans" w:cs="IBM Plex Sans" w:eastAsia="IBM Plex Sans" w:hAnsi="IBM Plex Sans"/>
          <w:color w:val="334155"/>
          <w:sz w:val="21"/>
          <w:szCs w:val="21"/>
        </w:rPr>
        <w:t xml:space="preserve">Temuan penyerta yang sering menyertai namun bukan kriteria diagnosis wajib: polihidramnion (deepest vertical pocket/DVP ≥8 cm, atau indeks cairan amnion/AFI ≥24 cm) dan placentomegaly/penebalan plasenta (ketebalan ≥4 cm pada trimester kedua, atau ≥6 cm pada trimester ketiga).</w:t>
      </w:r>
    </w:p>
    <w:p>
      <w:pPr>
        <w:pStyle w:val="Heading2"/>
        <w:spacing w:after="160" w:before="320"/>
      </w:pPr>
      <w:r>
        <w:rPr>
          <w:rFonts w:ascii="Source Serif 4" w:cs="Source Serif 4" w:eastAsia="Source Serif 4" w:hAnsi="Source Serif 4"/>
          <w:b/>
          <w:bCs/>
          <w:color w:val="334155"/>
        </w:rPr>
        <w:t xml:space="preserve">Klasifikasi Etiologi</w:t>
      </w:r>
    </w:p>
    <w:p>
      <w:pPr>
        <w:spacing w:after="160" w:line="300"/>
      </w:pPr>
      <w:r>
        <w:rPr>
          <w:rFonts w:ascii="IBM Plex Sans" w:cs="IBM Plex Sans" w:eastAsia="IBM Plex Sans" w:hAnsi="IBM Plex Sans"/>
          <w:color w:val="334155"/>
          <w:sz w:val="21"/>
          <w:szCs w:val="21"/>
        </w:rPr>
        <w:t xml:space="preserve">Setelah diagnosis hidrops ditegakkan, klasifikasi etiologi dilakukan sebagai berikut:</w:t>
      </w:r>
    </w:p>
    <w:p>
      <w:pPr>
        <w:pStyle w:val="ListParagraph"/>
        <w:numPr>
          <w:ilvl w:val="0"/>
          <w:numId w:val="1"/>
        </w:numPr>
        <w:spacing w:after="100" w:line="290"/>
      </w:pPr>
      <w:r>
        <w:rPr>
          <w:rFonts w:ascii="IBM Plex Sans" w:cs="IBM Plex Sans" w:eastAsia="IBM Plex Sans" w:hAnsi="IBM Plex Sans"/>
          <w:color w:val="334155"/>
          <w:sz w:val="21"/>
          <w:szCs w:val="21"/>
        </w:rPr>
        <w:t xml:space="preserve">Hidrops imun — dikonfirmasi bila terdapat isoimunisasi eritrosit ibu (uji Coombs indirek/antiglobulin tidak langsung positif dengan titer signifikan) yang sesuai dengan derajat anemia janin pada Doppler arteri serebri media (MCA-PSV).</w:t>
      </w:r>
    </w:p>
    <w:p>
      <w:pPr>
        <w:pStyle w:val="ListParagraph"/>
        <w:numPr>
          <w:ilvl w:val="0"/>
          <w:numId w:val="1"/>
        </w:numPr>
        <w:spacing w:after="100" w:line="290"/>
      </w:pPr>
      <w:r>
        <w:rPr>
          <w:rFonts w:ascii="IBM Plex Sans" w:cs="IBM Plex Sans" w:eastAsia="IBM Plex Sans" w:hAnsi="IBM Plex Sans"/>
          <w:color w:val="334155"/>
          <w:sz w:val="21"/>
          <w:szCs w:val="21"/>
        </w:rPr>
        <w:t xml:space="preserve">Hidrops non-imun (NIHF) — ditegakkan setelah uji Coombs indirek negatif atau tidak ditemukan bukti isoimunisasi; memerlukan penelusuran etiologi sistematis mencakup domain kardiovaskular, genetik/kromosom, infeksi, hematologi, toraks/limfatik, plasenta/tali pusat, dan idiopatik apabila seluruh evaluasi tidak menemukan penyebab.</w:t>
      </w:r>
    </w:p>
    <w:p>
      <w:pPr>
        <w:pStyle w:val="Heading1"/>
        <w:spacing w:after="160" w:before="320"/>
      </w:pPr>
      <w:r>
        <w:rPr>
          <w:rFonts w:ascii="Source Serif 4" w:cs="Source Serif 4" w:eastAsia="Source Serif 4" w:hAnsi="Source Serif 4"/>
          <w:b/>
          <w:bCs/>
          <w:color w:val="4F46E5"/>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Hidrops fetalis (ICD-10 P83.2 / ICD-11 JA86.1), dengan pencantuman subtipe (imun/non-imun) begitu etiologi dapat ditentukan.</w:t>
      </w:r>
    </w:p>
    <w:p>
      <w:pPr>
        <w:spacing w:after="160" w:line="300"/>
      </w:pPr>
      <w:r>
        <w:rPr>
          <w:rFonts w:ascii="IBM Plex Sans" w:cs="IBM Plex Sans" w:eastAsia="IBM Plex Sans" w:hAnsi="IBM Plex Sans"/>
          <w:color w:val="334155"/>
          <w:sz w:val="21"/>
          <w:szCs w:val="21"/>
        </w:rPr>
        <w:t xml:space="preserve">Diagnosis banding pencitraan yang perlu disingkirkan sebelum menetapkan hidrops fetalis sejati (dua kompartemen atau lebih):</w:t>
      </w:r>
    </w:p>
    <w:p>
      <w:pPr>
        <w:pStyle w:val="ListParagraph"/>
        <w:numPr>
          <w:ilvl w:val="0"/>
          <w:numId w:val="1"/>
        </w:numPr>
        <w:spacing w:after="100" w:line="290"/>
      </w:pPr>
      <w:r>
        <w:rPr>
          <w:rFonts w:ascii="IBM Plex Sans" w:cs="IBM Plex Sans" w:eastAsia="IBM Plex Sans" w:hAnsi="IBM Plex Sans"/>
          <w:color w:val="334155"/>
          <w:sz w:val="21"/>
          <w:szCs w:val="21"/>
        </w:rPr>
        <w:t xml:space="preserve">Efusi tunggal pada satu kompartemen (misalnya asites terisolasi atau efusi pleura terisolasi/kilotoraks kongenital) — digolongkan sebagai temuan spektrum hidrops, bukan hidrops sejati, namun tetap memerlukan evaluasi etiologi bila dicurigai proses sistemik.</w:t>
      </w:r>
    </w:p>
    <w:p>
      <w:pPr>
        <w:pStyle w:val="ListParagraph"/>
        <w:numPr>
          <w:ilvl w:val="0"/>
          <w:numId w:val="1"/>
        </w:numPr>
        <w:spacing w:after="100" w:line="290"/>
      </w:pPr>
      <w:r>
        <w:rPr>
          <w:rFonts w:ascii="IBM Plex Sans" w:cs="IBM Plex Sans" w:eastAsia="IBM Plex Sans" w:hAnsi="IBM Plex Sans"/>
          <w:color w:val="334155"/>
          <w:sz w:val="21"/>
          <w:szCs w:val="21"/>
        </w:rPr>
        <w:t xml:space="preserve">Edema dinding abdomen fokal akibat obstruksi saluran kemih janin berat (megasistis) tanpa akumulasi cairan multikompartemen.</w:t>
      </w:r>
    </w:p>
    <w:p>
      <w:pPr>
        <w:pStyle w:val="ListParagraph"/>
        <w:numPr>
          <w:ilvl w:val="0"/>
          <w:numId w:val="1"/>
        </w:numPr>
        <w:spacing w:after="100" w:line="290"/>
      </w:pPr>
      <w:r>
        <w:rPr>
          <w:rFonts w:ascii="IBM Plex Sans" w:cs="IBM Plex Sans" w:eastAsia="IBM Plex Sans" w:hAnsi="IBM Plex Sans"/>
          <w:color w:val="334155"/>
          <w:sz w:val="21"/>
          <w:szCs w:val="21"/>
        </w:rPr>
        <w:t xml:space="preserve">Kista limfatik/higroma kistik terlokalisasi pada trimester pertama tanpa disertai hidrops generalisata pada trimester kedua atau ketiga.</w:t>
      </w:r>
    </w:p>
    <w:p>
      <w:pPr>
        <w:pStyle w:val="Heading1"/>
        <w:spacing w:after="160" w:before="320"/>
      </w:pPr>
      <w:r>
        <w:rPr>
          <w:rFonts w:ascii="Source Serif 4" w:cs="Source Serif 4" w:eastAsia="Source Serif 4" w:hAnsi="Source Serif 4"/>
          <w:b/>
          <w:bCs/>
          <w:color w:val="4F46E5"/>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bertujuan mengonfirmasi diagnosis, menilai derajat keparahan, dan menelusuri etiologi secara sistematis. Standar internasional kontemporer merekomendasikan pemeriksaan genetik berupa microarray kromosom (chromosomal microarray/CMA) dengan atau tanpa kariotipe pada seluruh kehamilan dengan efusi janin, mengingat resolusi CMA yang lebih tinggi dibandingkan kariotipe konvensional dalam mendeteksi duplikasi/delesi segmen kromosom submikroskopik.</w:t>
      </w:r>
    </w:p>
    <w:p>
      <w:pPr>
        <w:pStyle w:val="ListParagraph"/>
        <w:numPr>
          <w:ilvl w:val="0"/>
          <w:numId w:val="1"/>
        </w:numPr>
        <w:spacing w:after="100" w:line="290"/>
      </w:pPr>
      <w:r>
        <w:rPr>
          <w:rFonts w:ascii="IBM Plex Sans" w:cs="IBM Plex Sans" w:eastAsia="IBM Plex Sans" w:hAnsi="IBM Plex Sans"/>
          <w:color w:val="334155"/>
          <w:sz w:val="21"/>
          <w:szCs w:val="21"/>
        </w:rPr>
        <w:t xml:space="preserve">Ultrasonografi obstetri terperinci (detailed anomaly scan) — evaluasi seluruh kompartemen cairan, anatomi janin lengkap, dan indeks cairan amnion.</w:t>
      </w:r>
    </w:p>
    <w:p>
      <w:pPr>
        <w:pStyle w:val="ListParagraph"/>
        <w:numPr>
          <w:ilvl w:val="0"/>
          <w:numId w:val="1"/>
        </w:numPr>
        <w:spacing w:after="100" w:line="290"/>
      </w:pPr>
      <w:r>
        <w:rPr>
          <w:rFonts w:ascii="IBM Plex Sans" w:cs="IBM Plex Sans" w:eastAsia="IBM Plex Sans" w:hAnsi="IBM Plex Sans"/>
          <w:color w:val="334155"/>
          <w:sz w:val="21"/>
          <w:szCs w:val="21"/>
        </w:rPr>
        <w:t xml:space="preserve">Doppler arteri serebri media (MCA-PSV) — deteksi non-invasif anemia janin, penting pada hidrops imun maupun sebagian hidrops non-imun.</w:t>
      </w:r>
    </w:p>
    <w:p>
      <w:pPr>
        <w:pStyle w:val="ListParagraph"/>
        <w:numPr>
          <w:ilvl w:val="0"/>
          <w:numId w:val="1"/>
        </w:numPr>
        <w:spacing w:after="100" w:line="290"/>
      </w:pPr>
      <w:r>
        <w:rPr>
          <w:rFonts w:ascii="IBM Plex Sans" w:cs="IBM Plex Sans" w:eastAsia="IBM Plex Sans" w:hAnsi="IBM Plex Sans"/>
          <w:color w:val="334155"/>
          <w:sz w:val="21"/>
          <w:szCs w:val="21"/>
        </w:rPr>
        <w:t xml:space="preserve">Ekokardiografi janin — menyingkirkan kelainan struktural jantung dan aritmia sebagai etiologi kardiovaskular.</w:t>
      </w:r>
    </w:p>
    <w:p>
      <w:pPr>
        <w:pStyle w:val="ListParagraph"/>
        <w:numPr>
          <w:ilvl w:val="0"/>
          <w:numId w:val="1"/>
        </w:numPr>
        <w:spacing w:after="100" w:line="290"/>
      </w:pPr>
      <w:r>
        <w:rPr>
          <w:rFonts w:ascii="IBM Plex Sans" w:cs="IBM Plex Sans" w:eastAsia="IBM Plex Sans" w:hAnsi="IBM Plex Sans"/>
          <w:color w:val="334155"/>
          <w:sz w:val="21"/>
          <w:szCs w:val="21"/>
        </w:rPr>
        <w:t xml:space="preserve">Uji golongan darah dan Rhesus ibu, uji Coombs indirek (skrining antibodi eritrosit), dan titer antibodi bila hasil positif.</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infeksi TORCH dan Parvovirus B19 (serologi IgM/IgG ibu; PCR cairan amnion bila diperlukan konfirmasi status infeksi janin).</w:t>
      </w:r>
    </w:p>
    <w:p>
      <w:pPr>
        <w:pStyle w:val="ListParagraph"/>
        <w:numPr>
          <w:ilvl w:val="0"/>
          <w:numId w:val="1"/>
        </w:numPr>
        <w:spacing w:after="100" w:line="290"/>
      </w:pPr>
      <w:r>
        <w:rPr>
          <w:rFonts w:ascii="IBM Plex Sans" w:cs="IBM Plex Sans" w:eastAsia="IBM Plex Sans" w:hAnsi="IBM Plex Sans"/>
          <w:color w:val="334155"/>
          <w:sz w:val="21"/>
          <w:szCs w:val="21"/>
        </w:rPr>
        <w:t xml:space="preserve">Analisis genetik janin — microarray kromosom (CMA) dengan atau tanpa kariotipe — melalui amniosentesis atau Chorionic Villus Sampling (CVS), terutama pada hidrops non-imun dan/atau disertai anomali struktural.</w:t>
      </w:r>
    </w:p>
    <w:p>
      <w:pPr>
        <w:pStyle w:val="ListParagraph"/>
        <w:numPr>
          <w:ilvl w:val="0"/>
          <w:numId w:val="1"/>
        </w:numPr>
        <w:spacing w:after="100" w:line="290"/>
      </w:pPr>
      <w:r>
        <w:rPr>
          <w:rFonts w:ascii="IBM Plex Sans" w:cs="IBM Plex Sans" w:eastAsia="IBM Plex Sans" w:hAnsi="IBM Plex Sans"/>
          <w:color w:val="334155"/>
          <w:sz w:val="21"/>
          <w:szCs w:val="21"/>
        </w:rPr>
        <w:t xml:space="preserve">Skrining hemoglobinopati orang tua (elektroforesis hemoglobin, indeks eritrosit) pada populasi berisiko talasemia.</w:t>
      </w:r>
    </w:p>
    <w:p>
      <w:pPr>
        <w:pStyle w:val="ListParagraph"/>
        <w:numPr>
          <w:ilvl w:val="0"/>
          <w:numId w:val="1"/>
        </w:numPr>
        <w:spacing w:after="100" w:line="290"/>
      </w:pPr>
      <w:r>
        <w:rPr>
          <w:rFonts w:ascii="IBM Plex Sans" w:cs="IBM Plex Sans" w:eastAsia="IBM Plex Sans" w:hAnsi="IBM Plex Sans"/>
          <w:color w:val="334155"/>
          <w:sz w:val="21"/>
          <w:szCs w:val="21"/>
        </w:rPr>
        <w:t xml:space="preserve">Kordosentesis/Percutaneous Umbilical Blood Sampling (PUBS) — untuk konfirmasi kadar hemoglobin janin sekaligus akses transfusi intrauterin bila indikasi anemia berat terpenuhi.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laboratorium ibu tambahan: darah perifer lengkap, fungsi hati/ginjal, dan skrining preeklamsia bila dicurigai mirror syndrome.</w:t>
      </w:r>
    </w:p>
    <w:p>
      <w:pPr>
        <w:spacing w:after="100" w:before="160"/>
      </w:pPr>
      <w:r>
        <w:rPr>
          <w:rFonts w:ascii="Source Serif 4" w:cs="Source Serif 4" w:eastAsia="Source Serif 4" w:hAnsi="Source Serif 4"/>
          <w:b/>
          <w:bCs/>
          <w:color w:val="4F46E5"/>
          <w:sz w:val="21"/>
          <w:szCs w:val="21"/>
        </w:rPr>
        <w:t xml:space="preserve">Ringkasan Alur Penunjang Berdasarkan Kecurigaan Etiologi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Kecurigaan Etiologi</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Pemeriksaan Lini Pertama</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Pemeriksaan Lanjutan</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Imun (isoimunisasi)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Golongan darah, Rhesus, Coombs indirek, titer antibodi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Doppler MCA-PSV serial, kordosentesis (PUBS), transfusi intrauterin</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Kardiovaskular/aritmia</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Ekokardiografi janin</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Pemantauan irama janin, konsultasi kardiologi fetal</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Infeksi kongenital</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Serologi TORCH &amp; Parvovirus B19 ibu</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PCR cairan amnion, USG serial</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Genetik/kromosom</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 anomali terperinci</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Amniosentesis/CVS untuk microarray kromosom (CMA) dengan/tanpa kariotipe</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Hematologi non-imun</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Skrining hemoglobinopati orang tua</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Kordosentesis (PUBS) untuk konfirmasi anemia janin</w:t>
            </w:r>
          </w:p>
        </w:tc>
      </w:tr>
    </w:tbl>
    <w:p>
      <w:pPr>
        <w:pStyle w:val="Heading1"/>
        <w:spacing w:after="160" w:before="320"/>
      </w:pPr>
      <w:r>
        <w:rPr>
          <w:rFonts w:ascii="Source Serif 4" w:cs="Source Serif 4" w:eastAsia="Source Serif 4" w:hAnsi="Source Serif 4"/>
          <w:b/>
          <w:bCs/>
          <w:color w:val="4F46E5"/>
        </w:rPr>
        <w:t xml:space="preserve">7. Tata Laksana</w:t>
      </w:r>
    </w:p>
    <w:p>
      <w:pPr>
        <w:spacing w:after="160" w:line="300"/>
      </w:pPr>
      <w:r>
        <w:rPr>
          <w:rFonts w:ascii="IBM Plex Sans" w:cs="IBM Plex Sans" w:eastAsia="IBM Plex Sans" w:hAnsi="IBM Plex Sans"/>
          <w:color w:val="334155"/>
          <w:sz w:val="21"/>
          <w:szCs w:val="21"/>
        </w:rPr>
        <w:t xml:space="preserve">Tata laksana hidrops fetalis bersifat individual berdasarkan etiologi, usia gestasi saat diagnosis, dan derajat keparahan, dan pada prinsipnya WAJIB melibatkan tim Fetomaternal begitu diagnosis ditegakkan.</w:t>
      </w:r>
    </w:p>
    <w:p>
      <w:pPr>
        <w:pStyle w:val="Heading2"/>
        <w:spacing w:after="160" w:before="320"/>
      </w:pPr>
      <w:r>
        <w:rPr>
          <w:rFonts w:ascii="Source Serif 4" w:cs="Source Serif 4" w:eastAsia="Source Serif 4" w:hAnsi="Source Serif 4"/>
          <w:b/>
          <w:bCs/>
          <w:color w:val="334155"/>
        </w:rPr>
        <w:t xml:space="preserve">7.1 Tata Laksana Non-Farmakologis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Rujukan segera ke pusat rujukan tersier dengan fasilitas Fetomaternal dan Neonatal Intensive Care Unit (NICU) begitu diagnosis dicurigai.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Pemantauan janin serial (USG, Doppler MCA-PSV, penilaian volume cairan amnion) sesuai etiologi dan derajat keparahan.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Konseling multidisiplin (Fetomaternal, Neonatologi, Genetika Klinik, dan bila relevan Kardiologi Anak) untuk perencanaan persalinan dan tata laksana pascalahir, termasuk pemaparan pilihan tata laksana secara individual dan berimbang sesuai preferensi pasien.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Perencanaan tempat dan waktu persalinan di fasilitas dengan kemampuan resusitasi neonatus tingkat lanjut, mengingat risiko tinggi kegagalan transisi kardiopulmoner saat lahir.</w:t>
      </w:r>
    </w:p>
    <w:p>
      <w:pPr>
        <w:pStyle w:val="Heading2"/>
        <w:spacing w:after="160" w:before="320"/>
      </w:pPr>
      <w:r>
        <w:rPr>
          <w:rFonts w:ascii="Source Serif 4" w:cs="Source Serif 4" w:eastAsia="Source Serif 4" w:hAnsi="Source Serif 4"/>
          <w:b/>
          <w:bCs/>
          <w:color w:val="334155"/>
        </w:rPr>
        <w:t xml:space="preserve">7.2 Tata Laksana 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Pemberian kortikosteroid antenatal (dexamethasone/betamethasone) untuk pematangan paru janin, diberikan pada kehamilan yang dipertahankan dengan hidrops non-imun apabila persalinan preterm diantisipasi terjadi dalam 7 hari dan resusitasi neonatus direncanakan.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Terapi antiaritmia transplasenta (misalnya digoxin, flecainide, atau sotalol sesuai jenis aritmia dan hasil konsultasi kardiologi fetal) pada hidrops akibat takiaritmia janin — pemberian dan pemantauan WAJIB dilakukan di bawah subspesialis Fetomaternal bekerja sama dengan kardiologi fetal.</w:t>
      </w:r>
    </w:p>
    <w:p>
      <w:pPr>
        <w:pStyle w:val="ListParagraph"/>
        <w:numPr>
          <w:ilvl w:val="0"/>
          <w:numId w:val="1"/>
        </w:numPr>
        <w:spacing w:after="100" w:line="290"/>
      </w:pPr>
      <w:r>
        <w:rPr>
          <w:rFonts w:ascii="IBM Plex Sans" w:cs="IBM Plex Sans" w:eastAsia="IBM Plex Sans" w:hAnsi="IBM Plex Sans"/>
          <w:color w:val="334155"/>
          <w:sz w:val="21"/>
          <w:szCs w:val="21"/>
        </w:rPr>
        <w:t xml:space="preserve">Anti-D immunoglobulin profilaksis pada ibu Rhesus-D-negatif non-tersensitisasi sesuai indikasi standar, sebagai pencegahan isoimunisasi pada kehamilan berikutnya (bukan tata laksana hidrops aktif, melainkan pencegahan primer).</w:t>
      </w:r>
    </w:p>
    <w:p>
      <w:pPr>
        <w:pStyle w:val="ListParagraph"/>
        <w:numPr>
          <w:ilvl w:val="0"/>
          <w:numId w:val="1"/>
        </w:numPr>
        <w:spacing w:after="100" w:line="290"/>
      </w:pPr>
      <w:r>
        <w:rPr>
          <w:rFonts w:ascii="IBM Plex Sans" w:cs="IBM Plex Sans" w:eastAsia="IBM Plex Sans" w:hAnsi="IBM Plex Sans"/>
          <w:color w:val="334155"/>
          <w:sz w:val="21"/>
          <w:szCs w:val="21"/>
        </w:rPr>
        <w:t xml:space="preserve">Tata laksana kausatif spesifik (misalnya terapi antibiotik pada infeksi kongenital tertentu) disesuaikan dengan etiologi yang telah terkonfirmasi.</w:t>
      </w:r>
    </w:p>
    <w:p>
      <w:pPr>
        <w:pStyle w:val="Heading2"/>
        <w:spacing w:after="160" w:before="320"/>
      </w:pPr>
      <w:r>
        <w:rPr>
          <w:rFonts w:ascii="Source Serif 4" w:cs="Source Serif 4" w:eastAsia="Source Serif 4" w:hAnsi="Source Serif 4"/>
          <w:b/>
          <w:bCs/>
          <w:color w:val="334155"/>
        </w:rPr>
        <w:t xml:space="preserve">7.3 Tata Laksana Bedah/Prosedural (bila relevan)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Transfusi intrauterin melalui vena umbilikalis pada hidrops imun atau non-imun dengan anemia janin berat terkonfirmasi (MCA-PSV &gt;1,5 MoM dan/atau hasil kordosentesis).</w:t>
      </w:r>
    </w:p>
    <w:p>
      <w:pPr>
        <w:pStyle w:val="ListParagraph"/>
        <w:numPr>
          <w:ilvl w:val="0"/>
          <w:numId w:val="1"/>
        </w:numPr>
        <w:spacing w:after="100" w:line="290"/>
      </w:pPr>
      <w:r>
        <w:rPr>
          <w:rFonts w:ascii="IBM Plex Sans" w:cs="IBM Plex Sans" w:eastAsia="IBM Plex Sans" w:hAnsi="IBM Plex Sans"/>
          <w:color w:val="334155"/>
          <w:sz w:val="21"/>
          <w:szCs w:val="21"/>
        </w:rPr>
        <w:t xml:space="preserve">Torakosentesis atau pemasangan pirau (shunt) torakoamniotik pada efusi pleura masif yang menimbulkan hidrops sekunder atau berisiko hipoplasia paru.</w:t>
      </w:r>
    </w:p>
    <w:p>
      <w:pPr>
        <w:pStyle w:val="ListParagraph"/>
        <w:numPr>
          <w:ilvl w:val="0"/>
          <w:numId w:val="1"/>
        </w:numPr>
        <w:spacing w:after="100" w:line="290"/>
      </w:pPr>
      <w:r>
        <w:rPr>
          <w:rFonts w:ascii="IBM Plex Sans" w:cs="IBM Plex Sans" w:eastAsia="IBM Plex Sans" w:hAnsi="IBM Plex Sans"/>
          <w:color w:val="334155"/>
          <w:sz w:val="21"/>
          <w:szCs w:val="21"/>
        </w:rPr>
        <w:t xml:space="preserve">Amnioreduksi pada polihidramnion berat yang menyertai, untuk mengurangi risiko persalinan preterm dan ketidaknyamanan maternal berat.</w:t>
      </w:r>
    </w:p>
    <w:p>
      <w:pPr>
        <w:pStyle w:val="ListParagraph"/>
        <w:numPr>
          <w:ilvl w:val="0"/>
          <w:numId w:val="1"/>
        </w:numPr>
        <w:spacing w:after="100" w:line="290"/>
      </w:pPr>
      <w:r>
        <w:rPr>
          <w:rFonts w:ascii="IBM Plex Sans" w:cs="IBM Plex Sans" w:eastAsia="IBM Plex Sans" w:hAnsi="IBM Plex Sans"/>
          <w:color w:val="334155"/>
          <w:sz w:val="21"/>
          <w:szCs w:val="21"/>
        </w:rPr>
        <w:t xml:space="preserve">Fetoskopi ablasi laser pada hidrops akibat Twin-to-Twin Transfusion Syndrome (TTTS) pada kehamilan kembar monokorionik-diamniotik.</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Prosedur EXIT (ex-utero intrapartum treatment) dipertimbangkan bila terdapat antisipasi obstruksi jalan napas berat saat lahir; persalinan direncanakan di fasilitas dengan tim multidisiplin siaga, dengan cara persalinan ditentukan atas indikasi obstetri standar.</w:t>
      </w:r>
    </w:p>
    <w:p>
      <w:pPr>
        <w:pStyle w:val="Heading2"/>
        <w:spacing w:after="160" w:before="320"/>
      </w:pPr>
      <w:r>
        <w:rPr>
          <w:rFonts w:ascii="Source Serif 4" w:cs="Source Serif 4" w:eastAsia="Source Serif 4" w:hAnsi="Source Serif 4"/>
          <w:b/>
          <w:bCs/>
          <w:color w:val="334155"/>
        </w:rPr>
        <w:t xml:space="preserve">7.4 Kriteria Rujukan ke Subspesialis Fetomaternal</w:t>
      </w:r>
    </w:p>
    <w:p>
      <w:pPr>
        <w:spacing w:after="160" w:line="300"/>
      </w:pPr>
      <w:r>
        <w:rPr>
          <w:rFonts w:ascii="IBM Plex Sans" w:cs="IBM Plex Sans" w:eastAsia="IBM Plex Sans" w:hAnsi="IBM Plex Sans"/>
          <w:color w:val="334155"/>
          <w:sz w:val="21"/>
          <w:szCs w:val="21"/>
        </w:rPr>
        <w:t xml:space="preserve">Seluruh kasus dengan kecurigaan atau konfirmasi hidrops fetalis berada di luar kewenangan spesialis umum dan WAJIB dirujuk ke subspesialis Fetomaternal, dengan kriteria berikut sebagai penekanan prioritas: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Temuan akumulasi cairan pada dua kompartemen janin atau lebih pada USG skrining di fasilitas primer/sekunder.</w:t>
      </w:r>
    </w:p>
    <w:p>
      <w:pPr>
        <w:pStyle w:val="ListParagraph"/>
        <w:numPr>
          <w:ilvl w:val="0"/>
          <w:numId w:val="1"/>
        </w:numPr>
        <w:spacing w:after="100" w:line="290"/>
      </w:pPr>
      <w:r>
        <w:rPr>
          <w:rFonts w:ascii="IBM Plex Sans" w:cs="IBM Plex Sans" w:eastAsia="IBM Plex Sans" w:hAnsi="IBM Plex Sans"/>
          <w:color w:val="334155"/>
          <w:sz w:val="21"/>
          <w:szCs w:val="21"/>
        </w:rPr>
        <w:t xml:space="preserve">Kebutuhan prosedur invasif diagnostik (amniosentesis, CVS, kordosentesis) atau terapeutik (transfusi intrauterin, pirau, ablasi laser).</w:t>
      </w:r>
    </w:p>
    <w:p>
      <w:pPr>
        <w:pStyle w:val="ListParagraph"/>
        <w:numPr>
          <w:ilvl w:val="0"/>
          <w:numId w:val="1"/>
        </w:numPr>
        <w:spacing w:after="100" w:line="290"/>
      </w:pPr>
      <w:r>
        <w:rPr>
          <w:rFonts w:ascii="IBM Plex Sans" w:cs="IBM Plex Sans" w:eastAsia="IBM Plex Sans" w:hAnsi="IBM Plex Sans"/>
          <w:color w:val="334155"/>
          <w:sz w:val="21"/>
          <w:szCs w:val="21"/>
        </w:rPr>
        <w:t xml:space="preserve">Tanda mirror syndrome pada ibu — rujukan bersifat kegawatdaruratan.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Kecurigaan aritmia janin yang memerlukan terapi transplasenta dan pemantauan ketat.</w:t>
      </w:r>
    </w:p>
    <w:p>
      <w:pPr>
        <w:pStyle w:val="Heading1"/>
        <w:spacing w:after="160" w:before="320"/>
      </w:pPr>
      <w:r>
        <w:rPr>
          <w:rFonts w:ascii="Source Serif 4" w:cs="Source Serif 4" w:eastAsia="Source Serif 4" w:hAnsi="Source Serif 4"/>
          <w:b/>
          <w:bCs/>
          <w:color w:val="4F46E5"/>
        </w:rPr>
        <w:t xml:space="preserve">8. Edukasi Pasien dan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Penjelasan bahwa hidrops fetalis merupakan kondisi berat dengan risiko morbiditas dan mortalitas perinatal tinggi, namun luaran sangat bergantung pada etiologi yang mendasari dan respons terhadap tata laksana.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Penjelasan rencana penelusuran etiologi bertahap dan kemungkinan perlunya prosedur invasif (amniosentesis, kordosentesis) beserta risikonya, disampaikan secara jujur dan dapat dipahami pasien.</w:t>
      </w:r>
    </w:p>
    <w:p>
      <w:pPr>
        <w:pStyle w:val="ListParagraph"/>
        <w:numPr>
          <w:ilvl w:val="0"/>
          <w:numId w:val="1"/>
        </w:numPr>
        <w:spacing w:after="100" w:line="290"/>
      </w:pPr>
      <w:r>
        <w:rPr>
          <w:rFonts w:ascii="IBM Plex Sans" w:cs="IBM Plex Sans" w:eastAsia="IBM Plex Sans" w:hAnsi="IBM Plex Sans"/>
          <w:color w:val="334155"/>
          <w:sz w:val="21"/>
          <w:szCs w:val="21"/>
        </w:rPr>
        <w:t xml:space="preserve">Diskusi pilihan tempat dan waktu persalinan, termasuk kebutuhan fasilitas NICU, secara berimbang sesuai kondisi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Konseling genetik bila etiologi bersifat kromosom/genetik, termasuk implikasi terhadap kehamilan berikutnya.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Seluruh pilihan tata laksana kehamilan disampaikan kepada pasien dan keluarga secara individual, dengan tetap mengacu pada ketentuan peraturan perundang-undangan kesehatan yang berlaku di Indonesia mengenai indikasi dan batasan tindakan terhadap kehamilan berisiko tinggi.</w:t>
      </w:r>
    </w:p>
    <w:p>
      <w:pPr>
        <w:pStyle w:val="ListParagraph"/>
        <w:numPr>
          <w:ilvl w:val="0"/>
          <w:numId w:val="1"/>
        </w:numPr>
        <w:spacing w:after="100" w:line="290"/>
      </w:pPr>
      <w:r>
        <w:rPr>
          <w:rFonts w:ascii="IBM Plex Sans" w:cs="IBM Plex Sans" w:eastAsia="IBM Plex Sans" w:hAnsi="IBM Plex Sans"/>
          <w:color w:val="334155"/>
          <w:sz w:val="21"/>
          <w:szCs w:val="21"/>
        </w:rPr>
        <w:t xml:space="preserve">Dukungan psikologis diberikan mengingat beban emosional diagnosis prenatal berat; pertimbangkan rujukan ke layanan dukungan psikologis/konseling bila dibutuhkan oleh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Informed consent eksplisit dan terdokumentasi sebelum setiap prosedur invasif, baik diagnostik maupun terapeutik.</w:t>
      </w:r>
    </w:p>
    <w:p>
      <w:pPr>
        <w:pStyle w:val="Heading1"/>
        <w:spacing w:after="160" w:before="320"/>
      </w:pPr>
      <w:r>
        <w:rPr>
          <w:rFonts w:ascii="Source Serif 4" w:cs="Source Serif 4" w:eastAsia="Source Serif 4" w:hAnsi="Source Serif 4"/>
          <w:b/>
          <w:bCs/>
          <w:color w:val="4F46E5"/>
        </w:rPr>
        <w:t xml:space="preserve">9. Prognosis</w:t>
      </w:r>
    </w:p>
    <w:p>
      <w:pPr>
        <w:spacing w:after="160" w:line="300"/>
      </w:pPr>
      <w:r>
        <w:rPr>
          <w:rFonts w:ascii="IBM Plex Sans" w:cs="IBM Plex Sans" w:eastAsia="IBM Plex Sans" w:hAnsi="IBM Plex Sans"/>
          <w:color w:val="334155"/>
          <w:sz w:val="21"/>
          <w:szCs w:val="21"/>
        </w:rPr>
        <w:t xml:space="preserve">Prognosis hidrops fetalis sangat bervariasi bergantung pada etiologi, usia gestasi saat diagnosis, derajat keparahan, dan respons terhadap tata laksana intrauterin.</w:t>
      </w:r>
    </w:p>
    <w:p>
      <w:pPr>
        <w:spacing w:after="160" w:line="300"/>
      </w:pPr>
      <w:r>
        <w:rPr>
          <w:rFonts w:ascii="IBM Plex Sans" w:cs="IBM Plex Sans" w:eastAsia="IBM Plex Sans" w:hAnsi="IBM Plex Sans"/>
          <w:color w:val="334155"/>
          <w:sz w:val="21"/>
          <w:szCs w:val="21"/>
        </w:rPr>
        <w:t xml:space="preserve">Hidrops imun yang terdeteksi dan ditata laksana dini dengan transfusi intrauterin umumnya memiliki luaran lebih baik dibandingkan hidrops non-imun dengan etiologi struktural atau genetik berat.</w:t>
      </w:r>
    </w:p>
    <w:p>
      <w:pPr>
        <w:spacing w:after="160" w:line="300"/>
      </w:pPr>
      <w:r>
        <w:rPr>
          <w:rFonts w:ascii="IBM Plex Sans" w:cs="IBM Plex Sans" w:eastAsia="IBM Plex Sans" w:hAnsi="IBM Plex Sans"/>
          <w:color w:val="334155"/>
          <w:sz w:val="21"/>
          <w:szCs w:val="21"/>
        </w:rPr>
        <w:t xml:space="preserve">Etiologi yang dapat dikoreksi (misalnya aritmia yang responsif terhadap terapi, TTTS yang ditata laksana dengan laser, atau anemia yang ditransfusi) memberikan prognosis yang jauh lebih baik dibandingkan etiologi kelainan kromosom mayor atau malformasi struktural berat, yang berasosiasi dengan mortalitas perinatal tinggi.</w:t>
      </w:r>
    </w:p>
    <w:p>
      <w:pPr>
        <w:spacing w:after="160" w:line="300"/>
      </w:pPr>
      <w:r>
        <w:rPr>
          <w:rFonts w:ascii="IBM Plex Sans" w:cs="IBM Plex Sans" w:eastAsia="IBM Plex Sans" w:hAnsi="IBM Plex Sans"/>
          <w:color w:val="334155"/>
          <w:sz w:val="21"/>
          <w:szCs w:val="21"/>
        </w:rPr>
        <w:t xml:space="preserve">Angka mortalitas perinatal spesifik populasi Indonesia tidak tercantum eksplisit pada Kepkonsil [DATA: rujuk laporan/registri resmi terbaru — mis. Kemenkes, POGI].</w:t>
      </w:r>
    </w:p>
    <w:p>
      <w:pPr>
        <w:pStyle w:val="Heading1"/>
        <w:spacing w:after="160" w:before="320"/>
      </w:pPr>
      <w:r>
        <w:rPr>
          <w:rFonts w:ascii="Source Serif 4" w:cs="Source Serif 4" w:eastAsia="Source Serif 4" w:hAnsi="Source Serif 4"/>
          <w:b/>
          <w:bCs/>
          <w:color w:val="4F46E5"/>
        </w:rPr>
        <w:t xml:space="preserve">10. Tingkat Evidens dan Rekomendasi</w:t>
      </w:r>
    </w:p>
    <w:p>
      <w:pPr>
        <w:spacing w:after="100" w:before="160"/>
      </w:pPr>
      <w:r>
        <w:rPr>
          <w:rFonts w:ascii="Source Serif 4" w:cs="Source Serif 4" w:eastAsia="Source Serif 4" w:hAnsi="Source Serif 4"/>
          <w:b/>
          <w:bCs/>
          <w:color w:val="4F46E5"/>
          <w:sz w:val="21"/>
          <w:szCs w:val="21"/>
        </w:rPr>
        <w:t xml:space="preserve">Ringkasan Tingkat Evidens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Tata Laksana</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Rekomendasi</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Doppler MCA-PSV sebagai metode non-invasif deteksi anemia janin</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ISUOG Practice Guidelines (Doppler) 2021; ACOG PB No. 192</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CMA dengan/tanpa kariotipe pada seluruh kehamilan dengan efusi janin</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 (GRADE 1C)</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SMFM Consult Series #75 (2026)</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Transfusi intrauterin pada anemia janin berat terkonfirmasi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PB No. 192; BSH Guideline 2025</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Ekokardiografi janin pada seluruh kasus hidrops</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ISUOG Practice Guidelines (Invasive Procedures) 2016</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Fetoskopi laser pada TTTS penyebab hidrops</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 evidens tingkat tinggi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Cochrane Database Syst Rev CD002073 (2014)</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Anti-D immunoglobulin profilaksis pada ibu Rhesus-negatif</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BSH Guideline 2025; WHO ANC Guideline 2016</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Kortikosteroid antenatal bila persalinan preterm diantisipasi dalam 7 hari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Rekomendasi kuat (GRADE 1C)</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SMFM Consult Series #75 (2026)</w:t>
            </w:r>
          </w:p>
        </w:tc>
      </w:tr>
    </w:tbl>
    <w:p>
      <w:pPr>
        <w:pStyle w:val="Heading1"/>
        <w:spacing w:after="160" w:before="320"/>
      </w:pPr>
      <w:r>
        <w:rPr>
          <w:rFonts w:ascii="Source Serif 4" w:cs="Source Serif 4" w:eastAsia="Source Serif 4" w:hAnsi="Source Serif 4"/>
          <w:b/>
          <w:bCs/>
          <w:color w:val="4F46E5"/>
        </w:rPr>
        <w:t xml:space="preserve">11. Indikator Medis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kasus hidrops fetalis dengan penelusuran etiologi lengkap (Coombs, ekokardiografi, CMA/kariotipe, serologi infeksi) sebelum persalinan.</w:t>
      </w:r>
    </w:p>
    <w:p>
      <w:pPr>
        <w:pStyle w:val="ListParagraph"/>
        <w:numPr>
          <w:ilvl w:val="0"/>
          <w:numId w:val="1"/>
        </w:numPr>
        <w:spacing w:after="100" w:line="290"/>
      </w:pPr>
      <w:r>
        <w:rPr>
          <w:rFonts w:ascii="IBM Plex Sans" w:cs="IBM Plex Sans" w:eastAsia="IBM Plex Sans" w:hAnsi="IBM Plex Sans"/>
          <w:color w:val="334155"/>
          <w:sz w:val="21"/>
          <w:szCs w:val="21"/>
        </w:rPr>
        <w:t xml:space="preserve">Waktu (time-to-referral) dari deteksi kecurigaan hidrops di fasilitas primer/sekunder hingga evaluasi oleh subspesialis Fetomaternal.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kasus hidrops imun dengan anemia berat yang menerima transfusi intrauterin sesuai indikasi.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Angka kelangsungan hidup perinatal pada kasus hidrops yang ditata laksana di pusat rujukan tersier.</w:t>
      </w:r>
    </w:p>
    <w:p>
      <w:pPr>
        <w:pStyle w:val="ListParagraph"/>
        <w:numPr>
          <w:ilvl w:val="0"/>
          <w:numId w:val="1"/>
        </w:numPr>
        <w:spacing w:after="100" w:line="290"/>
      </w:pPr>
      <w:r>
        <w:rPr>
          <w:rFonts w:ascii="IBM Plex Sans" w:cs="IBM Plex Sans" w:eastAsia="IBM Plex Sans" w:hAnsi="IBM Plex Sans"/>
          <w:color w:val="334155"/>
          <w:sz w:val="21"/>
          <w:szCs w:val="21"/>
        </w:rPr>
        <w:t xml:space="preserve">Kepatuhan dokumentasi informed consent pada setiap prosedur invasif, baik diagnostik maupun terapeutik.</w:t>
      </w:r>
    </w:p>
    <w:p>
      <w:pPr>
        <w:pStyle w:val="Heading1"/>
        <w:spacing w:after="160" w:before="320"/>
      </w:pPr>
      <w:r>
        <w:rPr>
          <w:rFonts w:ascii="Source Serif 4" w:cs="Source Serif 4" w:eastAsia="Source Serif 4" w:hAnsi="Source Serif 4"/>
          <w:b/>
          <w:bCs/>
          <w:color w:val="4F46E5"/>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SMFM Consult Series #75 (2026), yang menggantikan SMFM Clinical Guideline #7 (2015), merekomendasikan pemeriksaan genetik berupa microarray kromosom (CMA) dengan atau tanpa kariotipe pada seluruh kehamilan dengan satu atau lebih efusi janin, serta menetapkan kriteria diagnosis kuantitatif untuk placentomegaly (≥4 cm trimester kedua, ≥6 cm trimester ketiga) dan polihidramnion (DVP ≥8 cm atau AFI ≥24 cm) yang diadopsi dalam PPK ini.</w:t>
      </w:r>
    </w:p>
    <w:p>
      <w:pPr>
        <w:spacing w:after="160" w:line="300"/>
      </w:pPr>
      <w:r>
        <w:rPr>
          <w:rFonts w:ascii="IBM Plex Sans" w:cs="IBM Plex Sans" w:eastAsia="IBM Plex Sans" w:hAnsi="IBM Plex Sans"/>
          <w:color w:val="334155"/>
          <w:sz w:val="21"/>
          <w:szCs w:val="21"/>
        </w:rPr>
        <w:t xml:space="preserve">ISUOG Practice Guidelines merekomendasikan pendekatan diagnostik bertahap dan sistematis pada seluruh kasus hidrops non-imun, mencakup evaluasi kardiovaskular, genetik, infeksi, dan hematologi sebagai algoritma standar sebelum kasus dikategorikan idiopatik; ISUOG juga menjadi rujukan teknis untuk pengukuran Doppler MCA-PSV yang baku.</w:t>
      </w:r>
    </w:p>
    <w:p>
      <w:pPr>
        <w:spacing w:after="160" w:line="300"/>
      </w:pPr>
      <w:r>
        <w:rPr>
          <w:rFonts w:ascii="IBM Plex Sans" w:cs="IBM Plex Sans" w:eastAsia="IBM Plex Sans" w:hAnsi="IBM Plex Sans"/>
          <w:color w:val="334155"/>
          <w:sz w:val="21"/>
          <w:szCs w:val="21"/>
        </w:rPr>
        <w:t xml:space="preserve">British Society for Haematology (BSH), dalam pedoman tahun 2025 yang menggantikan cakupan RCOG Green-top Guideline No. 65 (2014, kini berstatus arsip), menegaskan pentingnya skrining antibodi eritrosit ibu pada kunjungan awal dan usia kehamilan 28 minggu, serta profilaksis anti-D immunoglobulin rutin pada populasi Rhesus-D-negatif sebagai strategi pencegahan primer isoimunisasi — sejalan dengan prinsip pencegahan penyakit hemolitik janin dan neonatus dalam WHO Recommendations on Antenatal Care (2016).</w:t>
      </w:r>
    </w:p>
    <w:p>
      <w:pPr>
        <w:spacing w:after="160" w:line="300"/>
      </w:pPr>
      <w:r>
        <w:rPr>
          <w:rFonts w:ascii="IBM Plex Sans" w:cs="IBM Plex Sans" w:eastAsia="IBM Plex Sans" w:hAnsi="IBM Plex Sans"/>
          <w:color w:val="334155"/>
          <w:sz w:val="21"/>
          <w:szCs w:val="21"/>
        </w:rPr>
        <w:t xml:space="preserve">SMFM Consult Series #75 turut merekomendasikan agar pasien dengan hidrops non-imun, termasuk yang disertai mirror syndrome, diberikan konseling individual mengenai seluruh pilihan tata laksana kehamilan (GRADE 1C). Standar nasional (Kepkonsil) menekankan tata laksana kehamilan hidrops melalui rujukan Fetomaternal dan pengambilan keputusan bersama pasien; pengambilan keputusan mengenai kelanjutan atau penghentian kehamilan pada kondisi berat tetap tunduk pada ketentuan peraturan perundang-undangan kesehatan Indonesia yang berlaku, sehingga cakupan pilihan yang dapat ditawarkan di Indonesia mengikuti standar dan batasan hukum nasional, bukan rekomendasi internasional tersebut secara langsung.</w:t>
      </w:r>
    </w:p>
    <w:p>
      <w:pPr>
        <w:spacing w:after="160" w:line="300"/>
      </w:pPr>
      <w:r>
        <w:rPr>
          <w:rFonts w:ascii="IBM Plex Sans" w:cs="IBM Plex Sans" w:eastAsia="IBM Plex Sans" w:hAnsi="IBM Plex Sans"/>
          <w:color w:val="334155"/>
          <w:sz w:val="21"/>
          <w:szCs w:val="21"/>
        </w:rPr>
        <w:t xml:space="preserve">Standar nasional (Kepkonsil) menetapkan hidrops fetalis sebagai satu entri kompetensi tunggal (Tabel 7 No. 26) yang mencakup baik hidrops imun maupun non-imun dalam kewenangan spesialis dengan rujukan ke Fetomaternal; standar internasional (ISUOG/ACOG/SMFM) memisahkan algoritma diagnostik-terapeutik hidrops imun dan non-imun secara lebih terperinci sebagai dua jalur klinis berbeda — praktik di Indonesia mengikuti standar nasional dengan tetap mengadopsi algoritma diagnostik internasional tersebut sebagai pengayaan teknis operasional dalam PPK ini.</w:t>
      </w:r>
    </w:p>
    <w:p>
      <w:pPr>
        <w:pStyle w:val="Heading1"/>
        <w:spacing w:after="160" w:before="320"/>
      </w:pPr>
      <w:r>
        <w:rPr>
          <w:rFonts w:ascii="Source Serif 4" w:cs="Source Serif 4" w:eastAsia="Source Serif 4" w:hAnsi="Source Serif 4"/>
          <w:b/>
          <w:bCs/>
          <w:color w:val="4F46E5"/>
        </w:rPr>
        <w:t xml:space="preserve">13. Glosarium</w:t>
      </w:r>
    </w:p>
    <w:p>
      <w:pPr>
        <w:spacing w:after="160" w:line="300"/>
      </w:pPr>
      <w:r>
        <w:rPr>
          <w:rFonts w:ascii="IBM Plex Sans" w:cs="IBM Plex Sans" w:eastAsia="IBM Plex Sans" w:hAnsi="IBM Plex Sans"/>
          <w:color w:val="334155"/>
          <w:sz w:val="21"/>
          <w:szCs w:val="21"/>
        </w:rPr>
        <w:t xml:space="preserve">Daftar istilah teknis yang digunakan dalam PPK ini, disusun berdasarkan urutan abjad, untuk memudahkan pembacaan lintas profesi.</w:t>
      </w:r>
    </w:p>
    <w:p>
      <w:pPr>
        <w:spacing w:after="100" w:before="160"/>
      </w:pPr>
      <w:r>
        <w:rPr>
          <w:rFonts w:ascii="Source Serif 4" w:cs="Source Serif 4" w:eastAsia="Source Serif 4" w:hAnsi="Source Serif 4"/>
          <w:b/>
          <w:bCs/>
          <w:color w:val="4F46E5"/>
          <w:sz w:val="21"/>
          <w:szCs w:val="21"/>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Amnioreduksi</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Tindakan pengeluaran sebagian cairan amnion melalui pungsi transabdominal untuk mengurangi volume cairan berlebih (polihidramnion).</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Asites</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Akumulasi cairan bebas patologis dalam rongga peritoneum (rongga perut) janin.</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Chorionic Villus Sampling (CVS)</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pengambilan sampel jaringan vili korion plasenta untuk pemeriksaan genetik janin, umumnya dilakukan pada trimester pertama.</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Efusi perikardium</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Akumulasi cairan pada rongga di sekitar jantung janin; dikategorikan abnormal bila ketebalan lebih dari 2-3 mm.</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Efusi pleura</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Akumulasi cairan pada rongga antara paru dan dinding dada janin.</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Isoimunisasi/aloimunisasi eritrosit</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Pembentukan antibodi oleh sistem imun ibu terhadap antigen eritrosit janin yang tidak dimiliki ibu, akibat paparan pada kehamilan sebelumnya, prosedur invasif, atau transfusi darah.</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Kordosentesis (Percutaneous Umbilical Blood Sampling/PUBS)</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pengambilan sampel darah janin melalui pungsi vena umbilikalis di bawah panduan ultrasonografi; sekaligus dapat menjadi akses untuk transfusi intrauterin.</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Microarray kromosom (Chromosomal Microarray/CMA)</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genetik resolusi tinggi yang mendeteksi duplikasi atau delesi segmen kromosom berukuran kecil yang tidak dapat terdeteksi oleh pemeriksaan kariotipe konvensional.</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Middle Cerebral Artery Peak Systolic Velocity (MCA-PSV)</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Kecepatan puncak sistolik aliran darah pada arteri serebri media janin, digunakan sebagai penanda non-invasif untuk mendeteksi anemia janin.</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Mirror syndrome (Ballantyne syndrome)</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klinis pada ibu yang menyerupai gambaran janin hidropiknya, ditandai edema generalisata, hipertensi, dan proteinuria; merupakan tanda kegawatdaruratan maternal.</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Non-Immune Hydrops Fetalis (NIHF)/Hidrops non-imun</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Hidrops fetalis yang tidak disebabkan oleh isoimunisasi eritrosit ibu; mencakup spektrum etiologi kardiovaskular, genetik, infeksi, dan lainnya.</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Placentomegaly/penebalan plasenta</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Ketebalan plasenta abnormal, didefinisikan sebagai ≥4 cm pada trimester kedua atau ≥6 cm pada trimester ketiga kehamilan.</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Polihidramnion</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Volume cairan amnion berlebih, didefinisikan sebagai deepest vertical pocket (DVP) ≥8 cm atau indeks cairan amnion (amniotic fluid index/AFI) ≥24 cm.</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Twin-to-Twin Transfusion Syndrome (TTTS)</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ketidakseimbangan aliran darah antar janin kembar monokorionik akibat anastomosis vaskular pada plasenta yang dibagi bersama.</w:t>
            </w:r>
          </w:p>
        </w:tc>
      </w:tr>
      <w:tr>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Twin Anemia-Polycythemia Sequence (TAPS)</w:t>
            </w:r>
          </w:p>
        </w:tc>
        <w:tc>
          <w:tcPr>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Varian komplikasi kehamilan kembar monokorionik berupa perbedaan kadar hemoglobin antar janin akibat anastomosis vaskular plasenta berdiameter kecil, tanpa disertai perbedaan volume cairan amnion yang mencolok seperti pada TTTS.</w:t>
            </w:r>
          </w:p>
        </w:tc>
      </w:tr>
      <w:tr>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Transfusi intrauterin</w:t>
            </w:r>
          </w:p>
        </w:tc>
        <w:tc>
          <w:tcPr>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pemberian transfusi darah langsung ke sirkulasi janin melalui vena umbilikalis untuk mengoreksi anemia janin berat.</w:t>
            </w:r>
          </w:p>
        </w:tc>
      </w:tr>
    </w:tbl>
    <w:p>
      <w:pPr>
        <w:pStyle w:val="Heading1"/>
        <w:spacing w:after="160" w:before="320"/>
      </w:pPr>
      <w:r>
        <w:rPr>
          <w:rFonts w:ascii="Source Serif 4" w:cs="Source Serif 4" w:eastAsia="Source Serif 4" w:hAnsi="Source Serif 4"/>
          <w:b/>
          <w:bCs/>
          <w:color w:val="4F46E5"/>
        </w:rPr>
        <w:t xml:space="preserve">14. Kepustakaan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KKI; 2026. (Dokumen regulasi internal.)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Sparks TN, Norton ME; Society for Maternal-Fetal Medicine Publications Committee. Society for Maternal-Fetal Medicine Consult Series #75: Evaluation and management of non-immune hydrops fetalis. Pregnancy. 2026;2:e70208. doi:10.1002/pmf2.70208</w:t>
      </w:r>
    </w:p>
    <w:p>
      <w:pPr>
        <w:pStyle w:val="ListParagraph"/>
        <w:numPr>
          <w:ilvl w:val="0"/>
          <w:numId w:val="1"/>
        </w:numPr>
        <w:spacing w:after="100" w:line="290"/>
      </w:pPr>
      <w:r>
        <w:rPr>
          <w:rFonts w:ascii="IBM Plex Sans" w:cs="IBM Plex Sans" w:eastAsia="IBM Plex Sans" w:hAnsi="IBM Plex Sans"/>
          <w:color w:val="334155"/>
          <w:sz w:val="21"/>
          <w:szCs w:val="21"/>
        </w:rPr>
        <w:t xml:space="preserve">Ghi T, Sotiriadis A, Calda P, Da Silva Costa F, Raine-Fenning N, Alfirevic Z, McGillivray G; ISUOG Clinical Standards Committee. ISUOG Practice Guidelines: invasive procedures for prenatal diagnosis. Ultrasound Obstet Gynecol. 2016;48(2):256-268. doi:10.1002/uog.15945</w:t>
      </w:r>
    </w:p>
    <w:p>
      <w:pPr>
        <w:pStyle w:val="ListParagraph"/>
        <w:numPr>
          <w:ilvl w:val="0"/>
          <w:numId w:val="1"/>
        </w:numPr>
        <w:spacing w:after="100" w:line="290"/>
      </w:pPr>
      <w:r>
        <w:rPr>
          <w:rFonts w:ascii="IBM Plex Sans" w:cs="IBM Plex Sans" w:eastAsia="IBM Plex Sans" w:hAnsi="IBM Plex Sans"/>
          <w:color w:val="334155"/>
          <w:sz w:val="21"/>
          <w:szCs w:val="21"/>
        </w:rPr>
        <w:t xml:space="preserve">Bhide A, Acharya G, Bilardo CM, et al. ISUOG Practice Guidelines (updated): use of Doppler velocimetry in obstetrics. Ultrasound Obstet Gynecol. 2021;58(2):331-339. doi:10.1002/uog.23698</w:t>
      </w:r>
    </w:p>
    <w:p>
      <w:pPr>
        <w:pStyle w:val="ListParagraph"/>
        <w:numPr>
          <w:ilvl w:val="0"/>
          <w:numId w:val="1"/>
        </w:numPr>
        <w:spacing w:after="100" w:line="290"/>
      </w:pPr>
      <w:r>
        <w:rPr>
          <w:rFonts w:ascii="IBM Plex Sans" w:cs="IBM Plex Sans" w:eastAsia="IBM Plex Sans" w:hAnsi="IBM Plex Sans"/>
          <w:color w:val="334155"/>
          <w:sz w:val="21"/>
          <w:szCs w:val="21"/>
        </w:rPr>
        <w:t xml:space="preserve">American College of Obstetricians and Gynecologists. ACOG Practice Bulletin No. 192: Management of Alloimmunization During Pregnancy. Obstet Gynecol. 2018;131(3):e82-e90. doi:10.1097/AOG.0000000000002528</w:t>
      </w:r>
    </w:p>
    <w:p>
      <w:pPr>
        <w:pStyle w:val="ListParagraph"/>
        <w:numPr>
          <w:ilvl w:val="0"/>
          <w:numId w:val="1"/>
        </w:numPr>
        <w:spacing w:after="100" w:line="290"/>
      </w:pPr>
      <w:r>
        <w:rPr>
          <w:rFonts w:ascii="IBM Plex Sans" w:cs="IBM Plex Sans" w:eastAsia="IBM Plex Sans" w:hAnsi="IBM Plex Sans"/>
          <w:color w:val="334155"/>
          <w:sz w:val="21"/>
          <w:szCs w:val="21"/>
        </w:rPr>
        <w:t xml:space="preserve">Regan F, Veale K, Robinson F, et al. Guideline for the investigation and management of red cell antibodies in pregnancy: A British Society for Haematology guideline. Transfus Med. 2025;35(1):e13098. doi:10.1111/tme.13098</w:t>
      </w:r>
    </w:p>
    <w:p>
      <w:pPr>
        <w:pStyle w:val="ListParagraph"/>
        <w:numPr>
          <w:ilvl w:val="0"/>
          <w:numId w:val="1"/>
        </w:numPr>
        <w:spacing w:after="100" w:line="290"/>
      </w:pPr>
      <w:r>
        <w:rPr>
          <w:rFonts w:ascii="IBM Plex Sans" w:cs="IBM Plex Sans" w:eastAsia="IBM Plex Sans" w:hAnsi="IBM Plex Sans"/>
          <w:color w:val="334155"/>
          <w:sz w:val="21"/>
          <w:szCs w:val="21"/>
        </w:rPr>
        <w:t xml:space="preserve">Roberts D, Neilson JP, Kilby MD, Gates S. Interventions for the treatment of twin-twin transfusion syndrome. Cochrane Database Syst Rev. 2014;2014(1):CD002073. doi:10.1002/14651858.CD002073.pub3</w:t>
      </w:r>
    </w:p>
    <w:p>
      <w:pPr>
        <w:pStyle w:val="ListParagraph"/>
        <w:numPr>
          <w:ilvl w:val="0"/>
          <w:numId w:val="1"/>
        </w:numPr>
        <w:spacing w:after="100" w:line="290"/>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 ISBN 9789241549912.</w:t>
      </w:r>
    </w:p>
    <w:p>
      <w:pPr>
        <w:pStyle w:val="Heading2"/>
        <w:spacing w:after="120" w:before="260"/>
      </w:pPr>
      <w:r>
        <w:rPr>
          <w:rFonts w:ascii="Source Serif 4" w:cs="Source Serif 4" w:eastAsia="Source Serif 4" w:hAnsi="Source Serif 4"/>
          <w:b/>
          <w:bCs/>
          <w:color w:val="334155"/>
        </w:rPr>
        <w:t xml:space="preserve">Tautan Referensi Daring</w:t>
      </w:r>
    </w:p>
    <w:p>
      <w:pPr>
        <w:pStyle w:val="ListParagraph"/>
        <w:numPr>
          <w:ilvl w:val="0"/>
          <w:numId w:val="1"/>
        </w:numPr>
        <w:spacing w:after="90"/>
      </w:pPr>
      <w:r>
        <w:rPr>
          <w:rFonts w:ascii="IBM Plex Sans" w:cs="IBM Plex Sans" w:eastAsia="IBM Plex Sans" w:hAnsi="IBM Plex Sans"/>
          <w:i/>
          <w:iCs/>
          <w:color w:val="334155"/>
          <w:sz w:val="19"/>
          <w:szCs w:val="19"/>
        </w:rPr>
        <w:t xml:space="preserve">Kepkonsil No. HK.01.02/KKI/1318/2026 (dokumen regulasi internal — tidak dipublikasikan daring)</w:t>
      </w:r>
    </w:p>
    <w:p>
      <w:pPr>
        <w:pStyle w:val="ListParagraph"/>
        <w:numPr>
          <w:ilvl w:val="0"/>
          <w:numId w:val="1"/>
        </w:numPr>
        <w:spacing w:after="90"/>
      </w:pPr>
      <w:r>
        <w:rPr>
          <w:rFonts w:ascii="IBM Plex Sans" w:cs="IBM Plex Sans" w:eastAsia="IBM Plex Sans" w:hAnsi="IBM Plex Sans"/>
          <w:color w:val="334155"/>
          <w:sz w:val="19"/>
          <w:szCs w:val="19"/>
        </w:rPr>
        <w:t xml:space="preserve">SMFM Consult Series #75 (2026) — doi:10.1002/pmf2.70208 — </w:t>
      </w:r>
      <w:hyperlink w:history="1" r:id="rIdcbxayzs6knkzyzhbukiqu">
        <w:r>
          <w:rPr>
            <w:rFonts w:ascii="IBM Plex Mono" w:cs="IBM Plex Mono" w:eastAsia="IBM Plex Mono" w:hAnsi="IBM Plex Mono"/>
            <w:color w:val="4F46E5"/>
            <w:sz w:val="18"/>
            <w:szCs w:val="18"/>
            <w:u w:val="single"/>
          </w:rPr>
          <w:t xml:space="preserve">https://doi.org/10.1002/pmf2.70208</w:t>
        </w:r>
      </w:hyperlink>
    </w:p>
    <w:p>
      <w:pPr>
        <w:pStyle w:val="ListParagraph"/>
        <w:numPr>
          <w:ilvl w:val="0"/>
          <w:numId w:val="1"/>
        </w:numPr>
        <w:spacing w:after="90"/>
      </w:pPr>
      <w:r>
        <w:rPr>
          <w:rFonts w:ascii="IBM Plex Sans" w:cs="IBM Plex Sans" w:eastAsia="IBM Plex Sans" w:hAnsi="IBM Plex Sans"/>
          <w:color w:val="334155"/>
          <w:sz w:val="19"/>
          <w:szCs w:val="19"/>
        </w:rPr>
        <w:t xml:space="preserve">ISUOG Practice Guidelines: invasive procedures for prenatal diagnosis (2016) — doi:10.1002/uog.15945 — </w:t>
      </w:r>
      <w:hyperlink w:history="1" r:id="rIdmgbtamgs0gut6otacsccs">
        <w:r>
          <w:rPr>
            <w:rFonts w:ascii="IBM Plex Mono" w:cs="IBM Plex Mono" w:eastAsia="IBM Plex Mono" w:hAnsi="IBM Plex Mono"/>
            <w:color w:val="4F46E5"/>
            <w:sz w:val="18"/>
            <w:szCs w:val="18"/>
            <w:u w:val="single"/>
          </w:rPr>
          <w:t xml:space="preserve">https://doi.org/10.1002/uog.15945</w:t>
        </w:r>
      </w:hyperlink>
    </w:p>
    <w:p>
      <w:pPr>
        <w:pStyle w:val="ListParagraph"/>
        <w:numPr>
          <w:ilvl w:val="0"/>
          <w:numId w:val="1"/>
        </w:numPr>
        <w:spacing w:after="90"/>
      </w:pPr>
      <w:r>
        <w:rPr>
          <w:rFonts w:ascii="IBM Plex Sans" w:cs="IBM Plex Sans" w:eastAsia="IBM Plex Sans" w:hAnsi="IBM Plex Sans"/>
          <w:color w:val="334155"/>
          <w:sz w:val="19"/>
          <w:szCs w:val="19"/>
        </w:rPr>
        <w:t xml:space="preserve">ISUOG Practice Guidelines (updated): Doppler velocimetry in obstetrics (2021) — doi:10.1002/uog.23698 — </w:t>
      </w:r>
      <w:hyperlink w:history="1" r:id="rIdnewu_n7wgso4zbnyoxdil">
        <w:r>
          <w:rPr>
            <w:rFonts w:ascii="IBM Plex Mono" w:cs="IBM Plex Mono" w:eastAsia="IBM Plex Mono" w:hAnsi="IBM Plex Mono"/>
            <w:color w:val="4F46E5"/>
            <w:sz w:val="18"/>
            <w:szCs w:val="18"/>
            <w:u w:val="single"/>
          </w:rPr>
          <w:t xml:space="preserve">https://doi.org/10.1002/uog.23698</w:t>
        </w:r>
      </w:hyperlink>
    </w:p>
    <w:p>
      <w:pPr>
        <w:pStyle w:val="ListParagraph"/>
        <w:numPr>
          <w:ilvl w:val="0"/>
          <w:numId w:val="1"/>
        </w:numPr>
        <w:spacing w:after="90"/>
      </w:pPr>
      <w:r>
        <w:rPr>
          <w:rFonts w:ascii="IBM Plex Sans" w:cs="IBM Plex Sans" w:eastAsia="IBM Plex Sans" w:hAnsi="IBM Plex Sans"/>
          <w:color w:val="334155"/>
          <w:sz w:val="19"/>
          <w:szCs w:val="19"/>
        </w:rPr>
        <w:t xml:space="preserve">ACOG Practice Bulletin No. 192 (2018) — doi:10.1097/AOG.0000000000002528 — </w:t>
      </w:r>
      <w:hyperlink w:history="1" r:id="rIduquwlatzvz1wkeudhuwo-">
        <w:r>
          <w:rPr>
            <w:rFonts w:ascii="IBM Plex Mono" w:cs="IBM Plex Mono" w:eastAsia="IBM Plex Mono" w:hAnsi="IBM Plex Mono"/>
            <w:color w:val="4F46E5"/>
            <w:sz w:val="18"/>
            <w:szCs w:val="18"/>
            <w:u w:val="single"/>
          </w:rPr>
          <w:t xml:space="preserve">https://doi.org/10.1097/AOG.0000000000002528</w:t>
        </w:r>
      </w:hyperlink>
    </w:p>
    <w:p>
      <w:pPr>
        <w:pStyle w:val="ListParagraph"/>
        <w:numPr>
          <w:ilvl w:val="0"/>
          <w:numId w:val="1"/>
        </w:numPr>
        <w:spacing w:after="90"/>
      </w:pPr>
      <w:r>
        <w:rPr>
          <w:rFonts w:ascii="IBM Plex Sans" w:cs="IBM Plex Sans" w:eastAsia="IBM Plex Sans" w:hAnsi="IBM Plex Sans"/>
          <w:color w:val="334155"/>
          <w:sz w:val="19"/>
          <w:szCs w:val="19"/>
        </w:rPr>
        <w:t xml:space="preserve">BSH Guideline — red cell antibodies in pregnancy (2025) — doi:10.1111/tme.13098 — </w:t>
      </w:r>
      <w:hyperlink w:history="1" r:id="rIduwewk8gs0d34mrbzn_qcw">
        <w:r>
          <w:rPr>
            <w:rFonts w:ascii="IBM Plex Mono" w:cs="IBM Plex Mono" w:eastAsia="IBM Plex Mono" w:hAnsi="IBM Plex Mono"/>
            <w:color w:val="4F46E5"/>
            <w:sz w:val="18"/>
            <w:szCs w:val="18"/>
            <w:u w:val="single"/>
          </w:rPr>
          <w:t xml:space="preserve">https://doi.org/10.1111/tme.13098</w:t>
        </w:r>
      </w:hyperlink>
    </w:p>
    <w:p>
      <w:pPr>
        <w:pStyle w:val="ListParagraph"/>
        <w:numPr>
          <w:ilvl w:val="0"/>
          <w:numId w:val="1"/>
        </w:numPr>
        <w:spacing w:after="90"/>
      </w:pPr>
      <w:r>
        <w:rPr>
          <w:rFonts w:ascii="IBM Plex Sans" w:cs="IBM Plex Sans" w:eastAsia="IBM Plex Sans" w:hAnsi="IBM Plex Sans"/>
          <w:color w:val="334155"/>
          <w:sz w:val="19"/>
          <w:szCs w:val="19"/>
        </w:rPr>
        <w:t xml:space="preserve">Cochrane Database Syst Rev CD002073 (2014) — doi:10.1002/14651858.CD002073.pub3 — </w:t>
      </w:r>
      <w:hyperlink w:history="1" r:id="rIdjepxkq9y9wdiaohhptl1b">
        <w:r>
          <w:rPr>
            <w:rFonts w:ascii="IBM Plex Mono" w:cs="IBM Plex Mono" w:eastAsia="IBM Plex Mono" w:hAnsi="IBM Plex Mono"/>
            <w:color w:val="4F46E5"/>
            <w:sz w:val="18"/>
            <w:szCs w:val="18"/>
            <w:u w:val="single"/>
          </w:rPr>
          <w:t xml:space="preserve">https://doi.org/10.1002/14651858.CD002073.pub3</w:t>
        </w:r>
      </w:hyperlink>
    </w:p>
    <w:p>
      <w:pPr>
        <w:pStyle w:val="ListParagraph"/>
        <w:numPr>
          <w:ilvl w:val="0"/>
          <w:numId w:val="1"/>
        </w:numPr>
        <w:spacing w:after="90"/>
      </w:pPr>
      <w:r>
        <w:rPr>
          <w:rFonts w:ascii="IBM Plex Sans" w:cs="IBM Plex Sans" w:eastAsia="IBM Plex Sans" w:hAnsi="IBM Plex Sans"/>
          <w:color w:val="334155"/>
          <w:sz w:val="19"/>
          <w:szCs w:val="19"/>
        </w:rPr>
        <w:t xml:space="preserve">WHO Recommendations on Antenatal Care (2016) — ISBN 9789241549912 — </w:t>
      </w:r>
      <w:hyperlink w:history="1" r:id="rIddwh_yog2cjrxu7snucrnp">
        <w:r>
          <w:rPr>
            <w:rFonts w:ascii="IBM Plex Mono" w:cs="IBM Plex Mono" w:eastAsia="IBM Plex Mono" w:hAnsi="IBM Plex Mono"/>
            <w:color w:val="4F46E5"/>
            <w:sz w:val="18"/>
            <w:szCs w:val="18"/>
            <w:u w:val="single"/>
          </w:rPr>
          <w:t xml:space="preserve">https://www.who.int/publications/i/item/9789241549912</w:t>
        </w:r>
      </w:hyperlink>
    </w:p>
    <w:p>
      <w:r>
        <w:br w:type="page"/>
      </w:r>
    </w:p>
    <w:p>
      <w:pPr>
        <w:pStyle w:val="Heading2"/>
        <w:spacing w:after="160" w:before="120"/>
      </w:pPr>
      <w:r>
        <w:rPr>
          <w:rFonts w:ascii="Source Serif 4" w:cs="Source Serif 4" w:eastAsia="Source Serif 4" w:hAnsi="Source Serif 4"/>
          <w:b/>
          <w:bCs/>
          <w:color w:val="334155"/>
        </w:rPr>
        <w:t xml:space="preserve">Tentang Dokumen Ini</w:t>
      </w:r>
    </w:p>
    <w:p>
      <w:pPr>
        <w:spacing w:after="160" w:line="300"/>
      </w:pPr>
      <w:r>
        <w:rPr>
          <w:rFonts w:ascii="IBM Plex Sans" w:cs="IBM Plex Sans" w:eastAsia="IBM Plex Sans" w:hAnsi="IBM Plex Sans"/>
          <w:color w:val="334155"/>
          <w:sz w:val="21"/>
          <w:szCs w:val="21"/>
        </w:rPr>
        <w:t xml:space="preserve">Penulis: Dr.dr. Budi Siswanto, Sp.OG., Subsp.Obginsos., SH., S.Kom.</w:t>
      </w:r>
    </w:p>
    <w:p>
      <w:pPr>
        <w:spacing w:after="160" w:line="300"/>
      </w:pPr>
      <w:r>
        <w:rPr>
          <w:rFonts w:ascii="IBM Plex Sans" w:cs="IBM Plex Sans" w:eastAsia="IBM Plex Sans" w:hAnsi="IBM Plex Sans"/>
          <w:color w:val="334155"/>
          <w:sz w:val="21"/>
          <w:szCs w:val="21"/>
        </w:rPr>
        <w:t xml:space="preserve">Penerbit: Perpustakaan Digital ABBA</w:t>
      </w:r>
    </w:p>
    <w:p>
      <w:pPr>
        <w:spacing w:after="160" w:line="300"/>
      </w:pPr>
      <w:r>
        <w:rPr>
          <w:rFonts w:ascii="IBM Plex Sans" w:cs="IBM Plex Sans" w:eastAsia="IBM Plex Sans" w:hAnsi="IBM Plex Sans"/>
          <w:color w:val="334155"/>
          <w:sz w:val="21"/>
          <w:szCs w:val="21"/>
        </w:rPr>
        <w:t xml:space="preserve">Alamat: Jl. Kerinci Raya No. 9, Malang 65138</w:t>
      </w:r>
    </w:p>
    <w:p>
      <w:pPr>
        <w:spacing w:after="160" w:line="300"/>
      </w:pPr>
      <w:r>
        <w:rPr>
          <w:rFonts w:ascii="IBM Plex Sans" w:cs="IBM Plex Sans" w:eastAsia="IBM Plex Sans" w:hAnsi="IBM Plex Sans"/>
          <w:color w:val="334155"/>
          <w:sz w:val="21"/>
          <w:szCs w:val="21"/>
        </w:rPr>
        <w:t xml:space="preserve">PPK-026 — Hidrops Fetalis, Dokumen 26 dari 73 dalam Ekosistem Literatur Standar SpOG.</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Dokumen 26 dari 73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B45309"/>
        <w:sz w:val="15"/>
        <w:szCs w:val="15"/>
      </w:rPr>
      <w:t xml:space="preserve">PPK-026 — Hidrops Fetalis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cbxayzs6knkzyzhbukiqu" Type="http://schemas.openxmlformats.org/officeDocument/2006/relationships/hyperlink" Target="https://doi.org/10.1002/pmf2.70208" TargetMode="External"/><Relationship Id="rIdmgbtamgs0gut6otacsccs" Type="http://schemas.openxmlformats.org/officeDocument/2006/relationships/hyperlink" Target="https://doi.org/10.1002/uog.15945" TargetMode="External"/><Relationship Id="rIdnewu_n7wgso4zbnyoxdil" Type="http://schemas.openxmlformats.org/officeDocument/2006/relationships/hyperlink" Target="https://doi.org/10.1002/uog.23698" TargetMode="External"/><Relationship Id="rIduquwlatzvz1wkeudhuwo-" Type="http://schemas.openxmlformats.org/officeDocument/2006/relationships/hyperlink" Target="https://doi.org/10.1097/AOG.0000000000002528" TargetMode="External"/><Relationship Id="rIduwewk8gs0d34mrbzn_qcw" Type="http://schemas.openxmlformats.org/officeDocument/2006/relationships/hyperlink" Target="https://doi.org/10.1111/tme.13098" TargetMode="External"/><Relationship Id="rIdjepxkq9y9wdiaohhptl1b" Type="http://schemas.openxmlformats.org/officeDocument/2006/relationships/hyperlink" Target="https://doi.org/10.1002/14651858.CD002073.pub3" TargetMode="External"/><Relationship Id="rIddwh_yog2cjrxu7snucrnp" Type="http://schemas.openxmlformats.org/officeDocument/2006/relationships/hyperlink" Target="https://www.who.int/publications/i/item/9789241549912"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2026-08-17T10:57:00.287Z</dcterms:created>
  <dcterms:modified xsi:type="dcterms:W3CDTF">2026-08-17T10:57:00.299Z</dcterms:modified>
</cp:coreProperties>
</file>

<file path=docProps/custom.xml><?xml version="1.0" encoding="utf-8"?>
<Properties xmlns="http://schemas.openxmlformats.org/officeDocument/2006/custom-properties" xmlns:vt="http://schemas.openxmlformats.org/officeDocument/2006/docPropsVTypes"/>
</file>