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pPr>
      <w:r>
        <w:rPr>
          <w:rFonts w:ascii="IBM Plex Mono" w:cs="IBM Plex Mono" w:eastAsia="IBM Plex Mono" w:hAnsi="IBM Plex Mono"/>
          <w:b/>
          <w:bCs/>
          <w:color w:val="4F46E5"/>
          <w:sz w:val="24"/>
          <w:szCs w:val="24"/>
        </w:rPr>
        <w:t xml:space="preserve">PANDUAN PRAKTIK KLINIS</w:t>
      </w:r>
    </w:p>
    <w:p>
      <w:r>
        <w:rPr>
          <w:rFonts w:ascii="IBM Plex Mono" w:cs="IBM Plex Mono" w:eastAsia="IBM Plex Mono" w:hAnsi="IBM Plex Mono"/>
          <w:color w:val="B45309"/>
          <w:sz w:val="20"/>
          <w:szCs w:val="20"/>
        </w:rPr>
        <w:t xml:space="preserve">PPK No. 28 dari 73  ·  Divisi Pengampu: Fetomaternal</w:t>
      </w:r>
    </w:p>
    <w:p>
      <w:pPr>
        <w:spacing w:after="100" w:before="500"/>
      </w:pPr>
      <w:r>
        <w:rPr>
          <w:rFonts w:ascii="Source Serif 4" w:cs="Source Serif 4" w:eastAsia="Source Serif 4" w:hAnsi="Source Serif 4"/>
          <w:b/>
          <w:bCs/>
          <w:color w:val="4F46E5"/>
          <w:sz w:val="44"/>
          <w:szCs w:val="44"/>
        </w:rPr>
        <w:t xml:space="preserve">Kehamilan Multipel Tanpa Komplikasi</w:t>
      </w:r>
    </w:p>
    <w:p>
      <w:pPr>
        <w:spacing w:after="400"/>
      </w:pPr>
      <w:r>
        <w:rPr>
          <w:rFonts w:ascii="Source Serif 4" w:cs="Source Serif 4" w:eastAsia="Source Serif 4" w:hAnsi="Source Serif 4"/>
          <w:i/>
          <w:iCs/>
          <w:color w:val="334155"/>
          <w:sz w:val="26"/>
          <w:szCs w:val="26"/>
        </w:rPr>
        <w:t xml:space="preserve">Multiple Pregnancy without Complication</w:t>
      </w:r>
    </w:p>
    <w:p>
      <w:r>
        <w:rPr>
          <w:rFonts w:ascii="IBM Plex Mono" w:cs="IBM Plex Mono" w:eastAsia="IBM Plex Mono" w:hAnsi="IBM Plex Mono"/>
          <w:color w:val="334155"/>
          <w:sz w:val="20"/>
          <w:szCs w:val="20"/>
        </w:rPr>
        <w:t xml:space="preserve">ICD-10: O30.9    |    ICD-11: JA80    |    Kode terkait: KA01.5 (perspektif janin/neonatus)</w:t>
      </w:r>
    </w:p>
    <w:p>
      <w:pPr>
        <w:spacing w:after="300"/>
      </w:pPr>
      <w:r>
        <w:rPr>
          <w:rFonts w:ascii="IBM Plex Sans" w:cs="IBM Plex Sans" w:eastAsia="IBM Plex Sans" w:hAnsi="IBM Plex Sans"/>
          <w:color w:val="334155"/>
          <w:sz w:val="20"/>
          <w:szCs w:val="20"/>
        </w:rPr>
        <w:t xml:space="preserve">Buku Tematik Induk: B3 — Obstetri Patologis dan Kegawatdaruratan Maternal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45309" w:sz="4"/>
              <w:left w:val="single" w:color="B45309" w:sz="24"/>
              <w:bottom w:val="single" w:color="B45309" w:sz="4"/>
              <w:right w:val="single" w:color="B45309" w:sz="4"/>
            </w:tcBorders>
            <w:shd w:fill="FEF3E2" w:val="clear"/>
            <w:tcMar>
              <w:top w:type="dxa" w:w="140"/>
              <w:left w:type="dxa" w:w="180"/>
              <w:bottom w:type="dxa" w:w="140"/>
              <w:right w:type="dxa" w:w="180"/>
            </w:tcMar>
          </w:tcPr>
          <w:p>
            <w:r>
              <w:rPr>
                <w:rFonts w:ascii="IBM Plex Mono" w:cs="IBM Plex Mono" w:eastAsia="IBM Plex Mono" w:hAnsi="IBM Plex Mono"/>
                <w:b/>
                <w:bCs/>
                <w:color w:val="B45309"/>
                <w:sz w:val="18"/>
                <w:szCs w:val="18"/>
              </w:rPr>
              <w:t xml:space="preserve">DASAR REGULASI</w:t>
            </w:r>
          </w:p>
          <w:p>
            <w:pPr>
              <w:spacing w:before="60"/>
            </w:pPr>
            <w:r>
              <w:rPr>
                <w:rFonts w:ascii="IBM Plex Sans" w:cs="IBM Plex Sans" w:eastAsia="IBM Plex Sans" w:hAnsi="IBM Plex Sans"/>
                <w:color w:val="334155"/>
                <w:sz w:val="20"/>
                <w:szCs w:val="20"/>
              </w:rPr>
              <w:t xml:space="preserve">Keputusan Ketua Konsil Kesehatan Indonesia No. HK.01.02/KKI/1318/2026, Lampiran Tabel 7 No. 28. Nama diagnosis, kode ICD, dan keterangan populasi telah diverifikasi ulang terhadap dokumen sumber Kepkonsil sebelum penyusunan PPK ini.</w:t>
            </w:r>
          </w:p>
        </w:tc>
      </w:tr>
    </w:tbl>
    <w:p>
      <w:pPr>
        <w:spacing w:before="320"/>
      </w:pPr>
      <w:r>
        <w:rPr>
          <w:rFonts w:ascii="IBM Plex Sans" w:cs="IBM Plex Sans" w:eastAsia="IBM Plex Sans" w:hAnsi="IBM Plex Sans"/>
          <w:b/>
          <w:bCs/>
          <w:color w:val="334155"/>
          <w:sz w:val="20"/>
          <w:szCs w:val="20"/>
        </w:rPr>
        <w:t xml:space="preserve">Dr.dr. Budi Siswanto, Sp.OG., Subsp.Obginsos., SH., S.Kom.</w:t>
      </w:r>
    </w:p>
    <w:p>
      <w:r>
        <w:rPr>
          <w:rFonts w:ascii="IBM Plex Sans" w:cs="IBM Plex Sans" w:eastAsia="IBM Plex Sans" w:hAnsi="IBM Plex Sans"/>
          <w:color w:val="64748B"/>
          <w:sz w:val="18"/>
          <w:szCs w:val="18"/>
        </w:rPr>
        <w:t xml:space="preserve">Perpustakaan Digital ABBA — Jl. Kerinci Raya No. 9, Malang 65138</w:t>
      </w:r>
    </w:p>
    <w:p>
      <w:pPr>
        <w:spacing w:before="120"/>
      </w:pPr>
      <w:r>
        <w:rPr>
          <w:rFonts w:ascii="IBM Plex Sans" w:cs="IBM Plex Sans" w:eastAsia="IBM Plex Sans" w:hAnsi="IBM Plex Sans"/>
          <w:color w:val="94A3B8"/>
          <w:sz w:val="18"/>
          <w:szCs w:val="18"/>
        </w:rPr>
        <w:t xml:space="preserve">Disusun: 17 Agustus 2026</w:t>
      </w:r>
    </w:p>
    <w:p>
      <w:r>
        <w:br w:type="page"/>
      </w:r>
    </w:p>
    <w:p>
      <w:pPr>
        <w:pStyle w:val="Heading1"/>
        <w:spacing w:after="160"/>
      </w:pPr>
      <w:r>
        <w:t xml:space="preserve">Rujukan Sumber — Tabel 7 Kepkonsil (Terverifikasi)</w:t>
      </w:r>
    </w:p>
    <w:p>
      <w:pPr>
        <w:spacing w:after="120"/>
      </w:pPr>
      <w:r>
        <w:rPr>
          <w:rFonts w:ascii="IBM Plex Sans" w:cs="IBM Plex Sans" w:eastAsia="IBM Plex Sans" w:hAnsi="IBM Plex Sans"/>
          <w:i/>
          <w:iCs/>
          <w:color w:val="334155"/>
          <w:sz w:val="19"/>
          <w:szCs w:val="19"/>
        </w:rPr>
        <w:t xml:space="preserve">Kutipan terverifikasi — Tabel 7 Kepkonsil No. HK.01.02/KKI/1318/2026, baris No. 28</w:t>
      </w:r>
    </w:p>
    <w:tbl>
      <w:tblPr>
        <w:tblW w:type="dxa" w:w="9350"/>
        <w:tblBorders>
          <w:top w:val="single" w:color="CBD5E1" w:sz="4"/>
          <w:left w:val="single" w:color="CBD5E1" w:sz="4"/>
          <w:bottom w:val="single" w:color="CBD5E1" w:sz="4"/>
          <w:right w:val="single" w:color="CBD5E1" w:sz="4"/>
          <w:insideH w:val="single" w:color="E2E8F0" w:sz="2"/>
          <w:insideV w:val="single" w:color="E2E8F0" w:sz="2"/>
        </w:tblBorders>
      </w:tblPr>
      <w:tblGrid>
        <w:gridCol w:w="1558"/>
        <w:gridCol w:w="1558"/>
        <w:gridCol w:w="1558"/>
        <w:gridCol w:w="1558"/>
        <w:gridCol w:w="1558"/>
        <w:gridCol w:w="1558"/>
      </w:tblGrid>
      <w:tr>
        <w:trPr>
          <w:tblHeader/>
        </w:trPr>
        <w:tc>
          <w:tcPr>
            <w:tcW w:type="dxa" w:w="155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No</w:t>
            </w:r>
          </w:p>
        </w:tc>
        <w:tc>
          <w:tcPr>
            <w:tcW w:type="dxa" w:w="155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Nama Penyakit (Id)</w:t>
            </w:r>
          </w:p>
        </w:tc>
        <w:tc>
          <w:tcPr>
            <w:tcW w:type="dxa" w:w="155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Disease (En)</w:t>
            </w:r>
          </w:p>
        </w:tc>
        <w:tc>
          <w:tcPr>
            <w:tcW w:type="dxa" w:w="155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ICD-10</w:t>
            </w:r>
          </w:p>
        </w:tc>
        <w:tc>
          <w:tcPr>
            <w:tcW w:type="dxa" w:w="155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ICD-11</w:t>
            </w:r>
          </w:p>
        </w:tc>
        <w:tc>
          <w:tcPr>
            <w:tcW w:type="dxa" w:w="1558"/>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Keterangan/Populasi Prioritas</w:t>
            </w:r>
          </w:p>
        </w:tc>
      </w:tr>
      <w:tr>
        <w:tc>
          <w:tcPr>
            <w:tcW w:type="dxa" w:w="155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28</w:t>
            </w:r>
          </w:p>
        </w:tc>
        <w:tc>
          <w:tcPr>
            <w:tcW w:type="dxa" w:w="155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Kehamilan multipel tanpa komplikasi</w:t>
            </w:r>
          </w:p>
        </w:tc>
        <w:tc>
          <w:tcPr>
            <w:tcW w:type="dxa" w:w="155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Multiple pregnancy without complication</w:t>
            </w:r>
          </w:p>
        </w:tc>
        <w:tc>
          <w:tcPr>
            <w:tcW w:type="dxa" w:w="155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O30.9</w:t>
            </w:r>
          </w:p>
        </w:tc>
        <w:tc>
          <w:tcPr>
            <w:tcW w:type="dxa" w:w="155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JA80 ; KA01.5</w:t>
            </w:r>
          </w:p>
        </w:tc>
        <w:tc>
          <w:tcPr>
            <w:tcW w:type="dxa" w:w="1558"/>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Kehamilan ganda; pemantauan intensif kehamilan</w:t>
            </w:r>
          </w:p>
        </w:tc>
      </w:tr>
    </w:tbl>
    <w:p>
      <w:pPr>
        <w:spacing w:before="300"/>
      </w:pPr>
    </w:p>
    <w:p>
      <w:pPr>
        <w:pStyle w:val="Heading1"/>
        <w:spacing w:after="140" w:before="240"/>
      </w:pPr>
      <w:r>
        <w:t xml:space="preserve">1. Pengertian/Definisi</w:t>
      </w:r>
    </w:p>
    <w:p>
      <w:pPr>
        <w:spacing w:after="160" w:line="276"/>
      </w:pPr>
      <w:r>
        <w:rPr>
          <w:rFonts w:ascii="IBM Plex Sans" w:cs="IBM Plex Sans" w:eastAsia="IBM Plex Sans" w:hAnsi="IBM Plex Sans"/>
          <w:color w:val="334155"/>
          <w:sz w:val="22"/>
          <w:szCs w:val="22"/>
        </w:rPr>
        <w:t xml:space="preserve">PPK ini merupakan turunan operasional dari bab kehamilan multipel pada Buku Tematik B3 — Obstetri Patologis dan Kegawatdaruratan Maternal, dan dibaca bersama PPK komplikasi kehamilan kembar spesifik (TTTS, TAPS, TRAP, kematian janin tunggal dalam kehamilan multipel) pada buku yang sama untuk kasus yang tidak lagi memenuhi kriteria "tanpa komplikasi".</w:t>
      </w:r>
    </w:p>
    <w:p>
      <w:pPr>
        <w:spacing w:after="160" w:line="276"/>
      </w:pPr>
      <w:r>
        <w:rPr>
          <w:rFonts w:ascii="IBM Plex Sans" w:cs="IBM Plex Sans" w:eastAsia="IBM Plex Sans" w:hAnsi="IBM Plex Sans"/>
          <w:color w:val="334155"/>
          <w:sz w:val="22"/>
          <w:szCs w:val="22"/>
        </w:rPr>
        <w:t xml:space="preserve">Kehamilan multipel (multiple pregnancy) adalah kehamilan dengan lebih dari satu janin (dua atau lebih) dalam kavum uteri pada saat yang bersamaan. Sesuai definisi resmi pada Tabel 7 Kepkonsil No. HK.01.02/KKI/1318/2026 (No. 28), kehamilan multipel tanpa komplikasi didefinisikan sebagai kehamilan dengan lebih dari satu janin tanpa temuan komplikasi klinis pada saat penilaian.</w:t>
      </w:r>
    </w:p>
    <w:p>
      <w:pPr>
        <w:spacing w:after="160" w:line="276"/>
      </w:pPr>
      <w:r>
        <w:rPr>
          <w:rFonts w:ascii="IBM Plex Sans" w:cs="IBM Plex Sans" w:eastAsia="IBM Plex Sans" w:hAnsi="IBM Plex Sans"/>
          <w:color w:val="334155"/>
          <w:sz w:val="22"/>
          <w:szCs w:val="22"/>
        </w:rPr>
        <w:t xml:space="preserve">Kode diagnosis maternal: ICD-10 O30.9 (Multiple gestation) dan ICD-11 JA80 (Maternal care related to multiple gestation). Kode ICD-11 KA01.5 (Fetus or newborn affected by multiple pregnancy) merupakan kode terkait dari perspektif janin/neonatus dan dicantumkan sebagai kode tambahan pada rekam medis bayi, bukan pengganti kode diagnosis maternal.</w:t>
      </w:r>
    </w:p>
    <w:p>
      <w:pPr>
        <w:spacing w:after="160" w:line="276"/>
      </w:pPr>
      <w:r>
        <w:rPr>
          <w:rFonts w:ascii="IBM Plex Sans" w:cs="IBM Plex Sans" w:eastAsia="IBM Plex Sans" w:hAnsi="IBM Plex Sans"/>
          <w:color w:val="334155"/>
          <w:sz w:val="22"/>
          <w:szCs w:val="22"/>
        </w:rPr>
        <w:t xml:space="preserve">Kehamilan multipel diklasifikasikan berdasarkan zigositas (monozigotik/dizigotik/polizigotik) dan korionisitas-amnionisitas (dikorionik-diamniotik/DKDA, monokorionik-diamniotik/MKDA, monokorionik-monoamniotik/MKMA), yang menentukan derajat risiko dan jadwal pemantauan. Penetapan korionisitas dilakukan pada trimester pertama karena akurasinya menurun signifikan setelah usia kehamilan 14 minggu.</w:t>
      </w:r>
    </w:p>
    <w:p>
      <w:pPr>
        <w:spacing w:after="160" w:line="276"/>
      </w:pPr>
      <w:r>
        <w:rPr>
          <w:rFonts w:ascii="IBM Plex Sans" w:cs="IBM Plex Sans" w:eastAsia="IBM Plex Sans" w:hAnsi="IBM Plex Sans"/>
          <w:color w:val="334155"/>
          <w:sz w:val="22"/>
          <w:szCs w:val="22"/>
        </w:rPr>
        <w:t xml:space="preserve">Istilah "tanpa komplikasi" pada PPK ini merujuk pada kehamilan multipel yang belum/tidak menunjukkan penyulit spesifik seperti sindrom transfusi janin-ke-janin (Twin-to-Twin Transfusion Syndrome/TTTS), Twin Anemia Polycythemia Sequence (TAPS), diskordansi pertumbuhan bermakna, Twin Reversed Arterial Perfusion (TRAP), atau kematian salah satu janin pada saat penilaian. Kehamilan multipel dengan penyulit tersebut ditata laksana sesuai PPK terkait komplikasi spesifik kehamilan kembar pada Buku Tematik B3.</w:t>
      </w:r>
    </w:p>
    <w:p>
      <w:pPr>
        <w:spacing w:after="160" w:line="276"/>
      </w:pPr>
      <w:r>
        <w:rPr>
          <w:rFonts w:ascii="IBM Plex Sans" w:cs="IBM Plex Sans" w:eastAsia="IBM Plex Sans" w:hAnsi="IBM Plex Sans"/>
          <w:color w:val="334155"/>
          <w:sz w:val="22"/>
          <w:szCs w:val="22"/>
        </w:rPr>
        <w:t xml:space="preserve">Insidensi kehamilan monokorionik pada kehamilan kembar dilaporkan sekitar 20-30% dari seluruh kehamilan kembar pada populasi Inggris, dengan sisanya bersifat dikorionik; angka insidensi nasional Indonesia belum tersedia secara resmi [DATA: rujuk laporan/registri resmi terbaru — mis. Kemenkes, BKKBN, POGI].</w:t>
      </w:r>
    </w:p>
    <w:p>
      <w:pPr>
        <w:pStyle w:val="Heading1"/>
        <w:spacing w:after="140" w:before="240"/>
      </w:pPr>
      <w:r>
        <w:t xml:space="preserve">2. Anamnesis</w:t>
      </w:r>
    </w:p>
    <w:p>
      <w:pPr>
        <w:spacing w:after="160" w:line="276"/>
      </w:pPr>
      <w:r>
        <w:rPr>
          <w:rFonts w:ascii="IBM Plex Sans" w:cs="IBM Plex Sans" w:eastAsia="IBM Plex Sans" w:hAnsi="IBM Plex Sans"/>
          <w:color w:val="334155"/>
          <w:sz w:val="22"/>
          <w:szCs w:val="22"/>
        </w:rPr>
        <w:t xml:space="preserve">Anamnesis terarah pada faktor risiko, gejala klinis yang mengarah ke kehamilan multipel, dan riwayat obstetri-ginekologi yang relevan.</w:t>
      </w:r>
    </w:p>
    <w:p>
      <w:pPr>
        <w:pStyle w:val="ListParagraph"/>
        <w:numPr>
          <w:ilvl w:val="0"/>
          <w:numId w:val="2"/>
        </w:numPr>
        <w:spacing w:after="100" w:line="276"/>
      </w:pPr>
      <w:r>
        <w:rPr>
          <w:rFonts w:ascii="IBM Plex Sans" w:cs="IBM Plex Sans" w:eastAsia="IBM Plex Sans" w:hAnsi="IBM Plex Sans"/>
          <w:color w:val="334155"/>
          <w:sz w:val="22"/>
          <w:szCs w:val="22"/>
        </w:rPr>
        <w:t xml:space="preserve">Hari pertama haid terakhir (HPHT) dan taksiran usia kehamilan; ketidaksesuaian ukuran uterus dengan usia kehamilan (uterus lebih besar dari yang diharapkan).</w:t>
      </w:r>
    </w:p>
    <w:p>
      <w:pPr>
        <w:pStyle w:val="ListParagraph"/>
        <w:numPr>
          <w:ilvl w:val="0"/>
          <w:numId w:val="2"/>
        </w:numPr>
        <w:spacing w:after="100" w:line="276"/>
      </w:pPr>
      <w:r>
        <w:rPr>
          <w:rFonts w:ascii="IBM Plex Sans" w:cs="IBM Plex Sans" w:eastAsia="IBM Plex Sans" w:hAnsi="IBM Plex Sans"/>
          <w:color w:val="334155"/>
          <w:sz w:val="22"/>
          <w:szCs w:val="22"/>
        </w:rPr>
        <w:t xml:space="preserve">Riwayat terapi kesuburan/reproduksi berbantu (assisted reproductive technology/ART) seperti induksi ovulasi atau fertilisasi in vitro (in vitro fertilization/IVF), yang meningkatkan risiko kehamilan multipel.</w:t>
      </w:r>
    </w:p>
    <w:p>
      <w:pPr>
        <w:pStyle w:val="ListParagraph"/>
        <w:numPr>
          <w:ilvl w:val="0"/>
          <w:numId w:val="2"/>
        </w:numPr>
        <w:spacing w:after="100" w:line="276"/>
      </w:pPr>
      <w:r>
        <w:rPr>
          <w:rFonts w:ascii="IBM Plex Sans" w:cs="IBM Plex Sans" w:eastAsia="IBM Plex Sans" w:hAnsi="IBM Plex Sans"/>
          <w:color w:val="334155"/>
          <w:sz w:val="22"/>
          <w:szCs w:val="22"/>
        </w:rPr>
        <w:t xml:space="preserve">Riwayat keluarga kembar dizigotik (garis keturunan ibu).</w:t>
      </w:r>
    </w:p>
    <w:p>
      <w:pPr>
        <w:pStyle w:val="ListParagraph"/>
        <w:numPr>
          <w:ilvl w:val="0"/>
          <w:numId w:val="2"/>
        </w:numPr>
        <w:spacing w:after="100" w:line="276"/>
      </w:pPr>
      <w:r>
        <w:rPr>
          <w:rFonts w:ascii="IBM Plex Sans" w:cs="IBM Plex Sans" w:eastAsia="IBM Plex Sans" w:hAnsi="IBM Plex Sans"/>
          <w:color w:val="334155"/>
          <w:sz w:val="22"/>
          <w:szCs w:val="22"/>
        </w:rPr>
        <w:t xml:space="preserve">Keluhan yang lebih berat dibanding kehamilan tunggal: mual-muntah berlebihan (hiperemesis gravidarum), sesak napas, edema tungkai, nyeri punggung, atau rasa penuh/tertekan pada perut yang muncul lebih awal.</w:t>
      </w:r>
    </w:p>
    <w:p>
      <w:pPr>
        <w:pStyle w:val="ListParagraph"/>
        <w:numPr>
          <w:ilvl w:val="0"/>
          <w:numId w:val="2"/>
        </w:numPr>
        <w:spacing w:after="100" w:line="276"/>
      </w:pPr>
      <w:r>
        <w:rPr>
          <w:rFonts w:ascii="IBM Plex Sans" w:cs="IBM Plex Sans" w:eastAsia="IBM Plex Sans" w:hAnsi="IBM Plex Sans"/>
          <w:color w:val="334155"/>
          <w:sz w:val="22"/>
          <w:szCs w:val="22"/>
        </w:rPr>
        <w:t xml:space="preserve">Riwayat obstetri sebelumnya, termasuk riwayat kehamilan multipel, riwayat persalinan preterm, dan riwayat komplikasi hipertensi dalam kehamilan.</w:t>
      </w:r>
    </w:p>
    <w:p>
      <w:pPr>
        <w:pStyle w:val="ListParagraph"/>
        <w:numPr>
          <w:ilvl w:val="0"/>
          <w:numId w:val="2"/>
        </w:numPr>
        <w:spacing w:after="100" w:line="276"/>
      </w:pPr>
      <w:r>
        <w:rPr>
          <w:rFonts w:ascii="IBM Plex Sans" w:cs="IBM Plex Sans" w:eastAsia="IBM Plex Sans" w:hAnsi="IBM Plex Sans"/>
          <w:color w:val="334155"/>
          <w:sz w:val="22"/>
          <w:szCs w:val="22"/>
        </w:rPr>
        <w:t xml:space="preserve">Faktor risiko tambahan: usia ibu lanjut, paritas tinggi, ras/etnis tertentu, dan indeks massa tubuh sebelum hamil.</w:t>
      </w:r>
    </w:p>
    <w:p>
      <w:pPr>
        <w:pStyle w:val="Heading1"/>
        <w:spacing w:after="140" w:before="240"/>
      </w:pPr>
      <w:r>
        <w:t xml:space="preserve">3. Pemeriksaan Fisik</w:t>
      </w:r>
    </w:p>
    <w:p>
      <w:pPr>
        <w:pStyle w:val="ListParagraph"/>
        <w:numPr>
          <w:ilvl w:val="0"/>
          <w:numId w:val="2"/>
        </w:numPr>
        <w:spacing w:after="100" w:line="276"/>
      </w:pPr>
      <w:r>
        <w:rPr>
          <w:rFonts w:ascii="IBM Plex Sans" w:cs="IBM Plex Sans" w:eastAsia="IBM Plex Sans" w:hAnsi="IBM Plex Sans"/>
          <w:color w:val="334155"/>
          <w:sz w:val="22"/>
          <w:szCs w:val="22"/>
        </w:rPr>
        <w:t xml:space="preserve">Tanda vital lengkap termasuk tekanan darah (skrining dini risiko preeklamsia yang meningkat pada kehamilan multipel).</w:t>
      </w:r>
    </w:p>
    <w:p>
      <w:pPr>
        <w:pStyle w:val="ListParagraph"/>
        <w:numPr>
          <w:ilvl w:val="0"/>
          <w:numId w:val="2"/>
        </w:numPr>
        <w:spacing w:after="100" w:line="276"/>
      </w:pPr>
      <w:r>
        <w:rPr>
          <w:rFonts w:ascii="IBM Plex Sans" w:cs="IBM Plex Sans" w:eastAsia="IBM Plex Sans" w:hAnsi="IBM Plex Sans"/>
          <w:color w:val="334155"/>
          <w:sz w:val="22"/>
          <w:szCs w:val="22"/>
        </w:rPr>
        <w:t xml:space="preserve">Pengukuran tinggi fundus uteri (TFU) — pada kehamilan multipel umumnya TFU lebih besar dibanding usia kehamilan sebenarnya.</w:t>
      </w:r>
    </w:p>
    <w:p>
      <w:pPr>
        <w:pStyle w:val="ListParagraph"/>
        <w:numPr>
          <w:ilvl w:val="0"/>
          <w:numId w:val="2"/>
        </w:numPr>
        <w:spacing w:after="100" w:line="276"/>
      </w:pPr>
      <w:r>
        <w:rPr>
          <w:rFonts w:ascii="IBM Plex Sans" w:cs="IBM Plex Sans" w:eastAsia="IBM Plex Sans" w:hAnsi="IBM Plex Sans"/>
          <w:color w:val="334155"/>
          <w:sz w:val="22"/>
          <w:szCs w:val="22"/>
        </w:rPr>
        <w:t xml:space="preserve">Palpasi Leopold: teraba lebih dari dua bagian besar janin (kepala/bokong) yang mengarah pada kecurigaan kehamilan multipel.</w:t>
      </w:r>
    </w:p>
    <w:p>
      <w:pPr>
        <w:pStyle w:val="ListParagraph"/>
        <w:numPr>
          <w:ilvl w:val="0"/>
          <w:numId w:val="2"/>
        </w:numPr>
        <w:spacing w:after="100" w:line="276"/>
      </w:pPr>
      <w:r>
        <w:rPr>
          <w:rFonts w:ascii="IBM Plex Sans" w:cs="IBM Plex Sans" w:eastAsia="IBM Plex Sans" w:hAnsi="IBM Plex Sans"/>
          <w:color w:val="334155"/>
          <w:sz w:val="22"/>
          <w:szCs w:val="22"/>
        </w:rPr>
        <w:t xml:space="preserve">Auskultasi denyut jantung janin (DJJ) pada lebih dari satu lokasi berbeda dengan selisih frekuensi bermakna dibanding denyut nadi ibu, sebagai tanda penunjang (bukan diagnostik definitif).</w:t>
      </w:r>
    </w:p>
    <w:p>
      <w:pPr>
        <w:pStyle w:val="ListParagraph"/>
        <w:numPr>
          <w:ilvl w:val="0"/>
          <w:numId w:val="2"/>
        </w:numPr>
        <w:spacing w:after="100" w:line="276"/>
      </w:pPr>
      <w:r>
        <w:rPr>
          <w:rFonts w:ascii="IBM Plex Sans" w:cs="IBM Plex Sans" w:eastAsia="IBM Plex Sans" w:hAnsi="IBM Plex Sans"/>
          <w:color w:val="334155"/>
          <w:sz w:val="22"/>
          <w:szCs w:val="22"/>
        </w:rPr>
        <w:t xml:space="preserve">Penilaian kenaikan berat badan, edema, dan tanda klinis lain yang mengarah pada penyulit dini (preeklamsia, anemia berat).</w:t>
      </w:r>
    </w:p>
    <w:p>
      <w:pPr>
        <w:pStyle w:val="Heading1"/>
        <w:spacing w:after="140" w:before="240"/>
      </w:pPr>
      <w:r>
        <w:t xml:space="preserve">4. Kriteria Diagnosis</w:t>
      </w:r>
    </w:p>
    <w:p>
      <w:pPr>
        <w:spacing w:after="160" w:line="276"/>
      </w:pPr>
      <w:r>
        <w:rPr>
          <w:rFonts w:ascii="IBM Plex Sans" w:cs="IBM Plex Sans" w:eastAsia="IBM Plex Sans" w:hAnsi="IBM Plex Sans"/>
          <w:color w:val="334155"/>
          <w:sz w:val="22"/>
          <w:szCs w:val="22"/>
        </w:rPr>
        <w:t xml:space="preserve">Diagnosis definitif kehamilan multipel ditegakkan melalui pemeriksaan ultrasonografi (USG) obstetri, idealnya pada trimester pertama (11–13+6 minggu), yang mengonfirmasi jumlah janin serta menentukan korionisitas-amnionisitas menggunakan tanda lambda (twin peak sign) untuk kehamilan dikorionik dan tanda-T (T-sign) untuk kehamilan monokorionik.</w:t>
      </w:r>
    </w:p>
    <w:p>
      <w:pPr>
        <w:spacing w:after="160" w:line="276"/>
      </w:pPr>
      <w:r>
        <w:rPr>
          <w:rFonts w:ascii="IBM Plex Sans" w:cs="IBM Plex Sans" w:eastAsia="IBM Plex Sans" w:hAnsi="IBM Plex Sans"/>
          <w:color w:val="334155"/>
          <w:sz w:val="22"/>
          <w:szCs w:val="22"/>
        </w:rPr>
        <w:t xml:space="preserve">Kode diagnosis (dicantumkan berdampingan sesuai Aturan 3 Perintah Umum): ICD-10 O30.9 (Multiple gestation); ICD-11 JA80 ; KA01.5, sesuai hasil verifikasi ulang terhadap Tabel 7 Kepkonsil No. HK.01.02/KKI/1318/2026 No. 28.</w:t>
      </w:r>
    </w:p>
    <w:p>
      <w:pPr>
        <w:spacing w:after="160" w:line="276"/>
      </w:pPr>
      <w:r>
        <w:rPr>
          <w:rFonts w:ascii="IBM Plex Sans" w:cs="IBM Plex Sans" w:eastAsia="IBM Plex Sans" w:hAnsi="IBM Plex Sans"/>
          <w:color w:val="334155"/>
          <w:sz w:val="22"/>
          <w:szCs w:val="22"/>
        </w:rPr>
        <w:t xml:space="preserve">Kriteria "tanpa komplikasi" ditegakkan bila pada saat penilaian tidak dijumpai: TTTS, TAPS, TRAP, diskordansi pertumbuhan janin bermakna (umumnya didefinisikan sebagai selisih taksiran berat janin &gt;20–25%), kematian salah satu janin, atau indikasi tindakan segera akibat kegawatan maternal-fetal. Kehamilan multipel dengan salah satu temuan tersebut dialihkan ke PPK komplikasi kehamilan kembar spesifik pada Buku Tematik B3.</w:t>
      </w:r>
    </w:p>
    <w:p>
      <w:pPr>
        <w:pStyle w:val="Heading1"/>
        <w:spacing w:after="140" w:before="240"/>
      </w:pPr>
      <w: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dituliskan spesifik menyertakan jumlah janin dan korionisitas-amnionisitas hasil USG, contoh: "Kehamilan gemelli dikorionik-diamniotik tanpa komplikasi" atau "Kehamilan gemelli monokorionik-diamniotik tanpa komplikasi".</w:t>
      </w:r>
    </w:p>
    <w:p>
      <w:pPr>
        <w:pStyle w:val="ListParagraph"/>
        <w:numPr>
          <w:ilvl w:val="0"/>
          <w:numId w:val="2"/>
        </w:numPr>
        <w:spacing w:after="100" w:line="276"/>
      </w:pPr>
      <w:r>
        <w:rPr>
          <w:rFonts w:ascii="IBM Plex Sans" w:cs="IBM Plex Sans" w:eastAsia="IBM Plex Sans" w:hAnsi="IBM Plex Sans"/>
          <w:color w:val="334155"/>
          <w:sz w:val="22"/>
          <w:szCs w:val="22"/>
        </w:rPr>
        <w:t xml:space="preserve">Mola hidatidosa parsial dengan janin hidup koeksisten (coexisting molar pregnancy).</w:t>
      </w:r>
    </w:p>
    <w:p>
      <w:pPr>
        <w:pStyle w:val="ListParagraph"/>
        <w:numPr>
          <w:ilvl w:val="0"/>
          <w:numId w:val="2"/>
        </w:numPr>
        <w:spacing w:after="100" w:line="276"/>
      </w:pPr>
      <w:r>
        <w:rPr>
          <w:rFonts w:ascii="IBM Plex Sans" w:cs="IBM Plex Sans" w:eastAsia="IBM Plex Sans" w:hAnsi="IBM Plex Sans"/>
          <w:color w:val="334155"/>
          <w:sz w:val="22"/>
          <w:szCs w:val="22"/>
        </w:rPr>
        <w:t xml:space="preserve">Polihidramnion pada kehamilan tunggal yang menyerupai pembesaran uterus berlebih.</w:t>
      </w:r>
    </w:p>
    <w:p>
      <w:pPr>
        <w:pStyle w:val="ListParagraph"/>
        <w:numPr>
          <w:ilvl w:val="0"/>
          <w:numId w:val="2"/>
        </w:numPr>
        <w:spacing w:after="100" w:line="276"/>
      </w:pPr>
      <w:r>
        <w:rPr>
          <w:rFonts w:ascii="IBM Plex Sans" w:cs="IBM Plex Sans" w:eastAsia="IBM Plex Sans" w:hAnsi="IBM Plex Sans"/>
          <w:color w:val="334155"/>
          <w:sz w:val="22"/>
          <w:szCs w:val="22"/>
        </w:rPr>
        <w:t xml:space="preserve">Mioma uteri ukuran besar yang menyerupai pembesaran uterus pada kehamilan tunggal.</w:t>
      </w:r>
    </w:p>
    <w:p>
      <w:pPr>
        <w:pStyle w:val="ListParagraph"/>
        <w:numPr>
          <w:ilvl w:val="0"/>
          <w:numId w:val="2"/>
        </w:numPr>
        <w:spacing w:after="100" w:line="276"/>
      </w:pPr>
      <w:r>
        <w:rPr>
          <w:rFonts w:ascii="IBM Plex Sans" w:cs="IBM Plex Sans" w:eastAsia="IBM Plex Sans" w:hAnsi="IBM Plex Sans"/>
          <w:color w:val="334155"/>
          <w:sz w:val="22"/>
          <w:szCs w:val="22"/>
        </w:rPr>
        <w:t xml:space="preserve">Kesalahan taksiran usia kehamilan akibat HPHT tidak akurat.</w:t>
      </w:r>
    </w:p>
    <w:p>
      <w:pPr>
        <w:pStyle w:val="Heading1"/>
        <w:spacing w:after="140" w:before="240"/>
      </w:pPr>
      <w:r>
        <w:t xml:space="preserve">6. Pemeriksaan Penunjang</w:t>
      </w:r>
    </w:p>
    <w:p>
      <w:pPr>
        <w:pStyle w:val="ListParagraph"/>
        <w:numPr>
          <w:ilvl w:val="0"/>
          <w:numId w:val="2"/>
        </w:numPr>
        <w:spacing w:after="100" w:line="276"/>
      </w:pPr>
      <w:r>
        <w:rPr>
          <w:rFonts w:ascii="IBM Plex Sans" w:cs="IBM Plex Sans" w:eastAsia="IBM Plex Sans" w:hAnsi="IBM Plex Sans"/>
          <w:color w:val="334155"/>
          <w:sz w:val="22"/>
          <w:szCs w:val="22"/>
        </w:rPr>
        <w:t xml:space="preserve">USG obstetri trimester pertama untuk konfirmasi jumlah janin dan penentuan korionisitas-amnionisitas (paling akurat sebelum usia kehamilan 14 minggu), menggunakan tanda lambda/tanda-T serta jumlah lapis membran pemisah.</w:t>
      </w:r>
    </w:p>
    <w:p>
      <w:pPr>
        <w:pStyle w:val="ListParagraph"/>
        <w:numPr>
          <w:ilvl w:val="0"/>
          <w:numId w:val="2"/>
        </w:numPr>
        <w:spacing w:after="100" w:line="276"/>
      </w:pPr>
      <w:r>
        <w:rPr>
          <w:rFonts w:ascii="IBM Plex Sans" w:cs="IBM Plex Sans" w:eastAsia="IBM Plex Sans" w:hAnsi="IBM Plex Sans"/>
          <w:color w:val="334155"/>
          <w:sz w:val="22"/>
          <w:szCs w:val="22"/>
        </w:rPr>
        <w:t xml:space="preserve">Kehamilan monokorionik-diamniotik: USG evaluasi TTTS dan TAPS setiap 2 minggu mulai usia kehamilan 16 minggu, meliputi penilaian dalamnya kantong amnion terbesar tiap janin (deepest vertical pocket) dan kecepatan puncak sistolik arteri serebri media (MCA-PSV) untuk skrining TAPS.</w:t>
      </w:r>
    </w:p>
    <w:p>
      <w:pPr>
        <w:pStyle w:val="ListParagraph"/>
        <w:numPr>
          <w:ilvl w:val="0"/>
          <w:numId w:val="2"/>
        </w:numPr>
        <w:spacing w:after="100" w:line="276"/>
      </w:pPr>
      <w:r>
        <w:rPr>
          <w:rFonts w:ascii="IBM Plex Sans" w:cs="IBM Plex Sans" w:eastAsia="IBM Plex Sans" w:hAnsi="IBM Plex Sans"/>
          <w:color w:val="334155"/>
          <w:sz w:val="22"/>
          <w:szCs w:val="22"/>
        </w:rPr>
        <w:t xml:space="preserve">Kehamilan dikorionik-diamniotik: USG pertumbuhan janin setiap 4 minggu mulai usia kehamilan 20-24 minggu.</w:t>
      </w:r>
    </w:p>
    <w:p>
      <w:pPr>
        <w:pStyle w:val="ListParagraph"/>
        <w:numPr>
          <w:ilvl w:val="0"/>
          <w:numId w:val="2"/>
        </w:numPr>
        <w:spacing w:after="100" w:line="276"/>
      </w:pPr>
      <w:r>
        <w:rPr>
          <w:rFonts w:ascii="IBM Plex Sans" w:cs="IBM Plex Sans" w:eastAsia="IBM Plex Sans" w:hAnsi="IBM Plex Sans"/>
          <w:color w:val="334155"/>
          <w:sz w:val="22"/>
          <w:szCs w:val="22"/>
        </w:rPr>
        <w:t xml:space="preserve">Skrining aneuploidi trimester pertama (translusensi nuchal per janin, dikombinasikan dengan penanda biokimia bila tersedia), dengan interpretasi hasil disesuaikan untuk kehamilan multipel dan diinformasikan bahwa akurasi skrining pada kehamilan multipel lebih rendah dibanding kehamilan tunggal.</w:t>
      </w:r>
    </w:p>
    <w:p>
      <w:pPr>
        <w:pStyle w:val="ListParagraph"/>
        <w:numPr>
          <w:ilvl w:val="0"/>
          <w:numId w:val="2"/>
        </w:numPr>
        <w:spacing w:after="100" w:line="276"/>
      </w:pPr>
      <w:r>
        <w:rPr>
          <w:rFonts w:ascii="IBM Plex Sans" w:cs="IBM Plex Sans" w:eastAsia="IBM Plex Sans" w:hAnsi="IBM Plex Sans"/>
          <w:color w:val="334155"/>
          <w:sz w:val="22"/>
          <w:szCs w:val="22"/>
        </w:rPr>
        <w:t xml:space="preserve">Doppler arteri umbilikalis pada setiap kunjungan USG pertumbuhan, ditambah Doppler arteri serebri media bila terdapat kecurigaan gangguan pertumbuhan janin atau untuk skrining TAPS pada kehamilan monokorionik.</w:t>
      </w:r>
    </w:p>
    <w:p>
      <w:pPr>
        <w:pStyle w:val="ListParagraph"/>
        <w:numPr>
          <w:ilvl w:val="0"/>
          <w:numId w:val="2"/>
        </w:numPr>
        <w:spacing w:after="100" w:line="276"/>
      </w:pPr>
      <w:r>
        <w:rPr>
          <w:rFonts w:ascii="IBM Plex Sans" w:cs="IBM Plex Sans" w:eastAsia="IBM Plex Sans" w:hAnsi="IBM Plex Sans"/>
          <w:color w:val="334155"/>
          <w:sz w:val="22"/>
          <w:szCs w:val="22"/>
        </w:rPr>
        <w:t xml:space="preserve">Pemeriksaan panjang serviks transvaginal untuk skrining risiko persalinan preterm, idealnya pada trimester kedua.</w:t>
      </w:r>
    </w:p>
    <w:p>
      <w:pPr>
        <w:pStyle w:val="ListParagraph"/>
        <w:numPr>
          <w:ilvl w:val="0"/>
          <w:numId w:val="2"/>
        </w:numPr>
        <w:spacing w:after="100" w:line="276"/>
      </w:pPr>
      <w:r>
        <w:rPr>
          <w:rFonts w:ascii="IBM Plex Sans" w:cs="IBM Plex Sans" w:eastAsia="IBM Plex Sans" w:hAnsi="IBM Plex Sans"/>
          <w:color w:val="334155"/>
          <w:sz w:val="22"/>
          <w:szCs w:val="22"/>
        </w:rPr>
        <w:t xml:space="preserve">Pemeriksaan laboratorium antenatal rutin, ditambah skrining anemia dan skrining diabetes gestasional (risiko meningkat pada kehamilan multipel), serta fungsi tiroid bila terdapat indikasi klinis.</w:t>
      </w:r>
    </w:p>
    <w:p>
      <w:pPr>
        <w:pStyle w:val="Heading1"/>
        <w:spacing w:after="140" w:before="240"/>
      </w:pPr>
      <w:r>
        <w:t xml:space="preserve">7. Tata Laksana</w:t>
      </w:r>
    </w:p>
    <w:p>
      <w:pPr>
        <w:pStyle w:val="Heading2"/>
        <w:spacing w:after="140" w:before="240"/>
      </w:pPr>
      <w:r>
        <w:t xml:space="preserve">7.1 Tata Laksana Non-Farmakologis</w:t>
      </w:r>
    </w:p>
    <w:p>
      <w:pPr>
        <w:pStyle w:val="ListParagraph"/>
        <w:numPr>
          <w:ilvl w:val="0"/>
          <w:numId w:val="2"/>
        </w:numPr>
        <w:spacing w:after="100" w:line="276"/>
      </w:pPr>
      <w:r>
        <w:rPr>
          <w:rFonts w:ascii="IBM Plex Sans" w:cs="IBM Plex Sans" w:eastAsia="IBM Plex Sans" w:hAnsi="IBM Plex Sans"/>
          <w:color w:val="334155"/>
          <w:sz w:val="22"/>
          <w:szCs w:val="22"/>
        </w:rPr>
        <w:t xml:space="preserve">Edukasi nutrisi dengan penambahan asupan kalori dan protein sesuai jumlah janin serta pemantauan kenaikan berat badan gestasional.</w:t>
      </w:r>
    </w:p>
    <w:p>
      <w:pPr>
        <w:pStyle w:val="ListParagraph"/>
        <w:numPr>
          <w:ilvl w:val="0"/>
          <w:numId w:val="2"/>
        </w:numPr>
        <w:spacing w:after="100" w:line="276"/>
      </w:pPr>
      <w:r>
        <w:rPr>
          <w:rFonts w:ascii="IBM Plex Sans" w:cs="IBM Plex Sans" w:eastAsia="IBM Plex Sans" w:hAnsi="IBM Plex Sans"/>
          <w:color w:val="334155"/>
          <w:sz w:val="22"/>
          <w:szCs w:val="22"/>
        </w:rPr>
        <w:t xml:space="preserve">Pemantauan gerak janin mandiri oleh ibu mulai trimester ketiga.</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Perencanaan istirahat dan pembatasan aktivitas berat pada kondisi berisiko tinggi persalinan preterm, tanpa menerapkan tirah baring rutin tanpa indikasi (bukan intervensi berbasis bukti untuk seluruh kehamilan multipel tanpa komplikasi).</w:t>
      </w:r>
    </w:p>
    <w:p>
      <w:pPr>
        <w:pStyle w:val="ListParagraph"/>
        <w:numPr>
          <w:ilvl w:val="0"/>
          <w:numId w:val="2"/>
        </w:numPr>
        <w:spacing w:after="100" w:line="276"/>
      </w:pPr>
      <w:r>
        <w:rPr>
          <w:rFonts w:ascii="IBM Plex Sans" w:cs="IBM Plex Sans" w:eastAsia="IBM Plex Sans" w:hAnsi="IBM Plex Sans"/>
          <w:color w:val="334155"/>
          <w:sz w:val="22"/>
          <w:szCs w:val="22"/>
        </w:rPr>
        <w:t xml:space="preserve">Penjadwalan kunjungan antenatal lebih sering dibanding kehamilan tunggal, disesuaikan dengan korionisitas.</w:t>
      </w:r>
    </w:p>
    <w:p>
      <w:pPr>
        <w:pStyle w:val="Heading2"/>
        <w:spacing w:after="140" w:before="240"/>
      </w:pPr>
      <w:r>
        <w:t xml:space="preserve">7.2 Tata Laksana Farmakologis</w:t>
      </w:r>
    </w:p>
    <w:p>
      <w:pPr>
        <w:pStyle w:val="ListParagraph"/>
        <w:numPr>
          <w:ilvl w:val="0"/>
          <w:numId w:val="2"/>
        </w:numPr>
        <w:spacing w:after="100" w:line="276"/>
      </w:pPr>
      <w:r>
        <w:rPr>
          <w:rFonts w:ascii="IBM Plex Sans" w:cs="IBM Plex Sans" w:eastAsia="IBM Plex Sans" w:hAnsi="IBM Plex Sans"/>
          <w:color w:val="334155"/>
          <w:sz w:val="22"/>
          <w:szCs w:val="22"/>
        </w:rPr>
        <w:t xml:space="preserve">Suplementasi asam folat dan zat besi dengan dosis disesuaikan kebutuhan kehamilan multipel, mengikuti pedoman antenatal nasional yang berlaku.</w:t>
      </w:r>
    </w:p>
    <w:p>
      <w:pPr>
        <w:pStyle w:val="ListParagraph"/>
        <w:numPr>
          <w:ilvl w:val="0"/>
          <w:numId w:val="2"/>
        </w:numPr>
        <w:spacing w:after="100" w:line="276"/>
      </w:pPr>
      <w:r>
        <w:rPr>
          <w:rFonts w:ascii="IBM Plex Sans" w:cs="IBM Plex Sans" w:eastAsia="IBM Plex Sans" w:hAnsi="IBM Plex Sans"/>
          <w:color w:val="334155"/>
          <w:sz w:val="22"/>
          <w:szCs w:val="22"/>
        </w:rPr>
        <w:t xml:space="preserve">Suplementasi kalsium sesuai pedoman antenatal nasional untuk pencegahan preeklamsia pada populasi berisiko.</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Pertimbangan aspirin dosis rendah dimulai sebelum 16 minggu pada kehamilan multipel dengan faktor risiko tambahan preeklamsia, sesuai kebijakan skrining risiko preeklamsia yang berlaku di fasilitas.</w:t>
      </w:r>
    </w:p>
    <w:p>
      <w:pPr>
        <w:pStyle w:val="ListParagraph"/>
        <w:numPr>
          <w:ilvl w:val="0"/>
          <w:numId w:val="2"/>
        </w:numPr>
        <w:spacing w:after="100" w:line="276"/>
      </w:pPr>
      <w:r>
        <w:rPr>
          <w:rFonts w:ascii="IBM Plex Sans" w:cs="IBM Plex Sans" w:eastAsia="IBM Plex Sans" w:hAnsi="IBM Plex Sans"/>
          <w:color w:val="334155"/>
          <w:sz w:val="22"/>
          <w:szCs w:val="22"/>
        </w:rPr>
        <w:t xml:space="preserve">Kortikosteroid antenatal (pematangan paru janin) diberikan sesuai indikasi bila terdapat ancaman persalinan preterm pada usia kehamilan yang relevan — bukan diberikan secara rutin pada seluruh kehamilan multipel tanpa indikasi.</w:t>
      </w:r>
    </w:p>
    <w:p>
      <w:pPr>
        <w:pStyle w:val="ListParagraph"/>
        <w:numPr>
          <w:ilvl w:val="0"/>
          <w:numId w:val="2"/>
        </w:numPr>
        <w:spacing w:after="100" w:line="276"/>
      </w:pPr>
      <w:r>
        <w:rPr>
          <w:rFonts w:ascii="IBM Plex Sans" w:cs="IBM Plex Sans" w:eastAsia="IBM Plex Sans" w:hAnsi="IBM Plex Sans"/>
          <w:color w:val="334155"/>
          <w:sz w:val="22"/>
          <w:szCs w:val="22"/>
        </w:rPr>
        <w:t xml:space="preserve">Tokolitik tidak diberikan secara rutin/profilaksis; hanya sesuai indikasi ancaman persalinan preterm aktif dan mempertimbangkan kontraindikasi spesifik pada kehamilan multipel.</w:t>
      </w:r>
    </w:p>
    <w:p>
      <w:pPr>
        <w:pStyle w:val="Heading2"/>
        <w:spacing w:after="140" w:before="240"/>
      </w:pPr>
      <w:r>
        <w:t xml:space="preserve">7.3 Tata Laksana Bedah/Prosedural (bila relevan)</w:t>
      </w:r>
    </w:p>
    <w:p>
      <w:pPr>
        <w:spacing w:after="160" w:line="276"/>
      </w:pPr>
      <w:r>
        <w:rPr>
          <w:rFonts w:ascii="IBM Plex Sans" w:cs="IBM Plex Sans" w:eastAsia="IBM Plex Sans" w:hAnsi="IBM Plex Sans"/>
          <w:color w:val="334155"/>
          <w:sz w:val="22"/>
          <w:szCs w:val="22"/>
        </w:rPr>
        <w:t xml:space="preserve">Cara dan waktu persalinan direncanakan berdasarkan korionisitas-amnionisitas, presentasi janin, dan kondisi maternal-fetal saat mendekati aterm.</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Persalinan pervaginam dapat dipertimbangkan pada kehamilan gemelli dikorionik atau monokorionik-diamniotik dengan janin pertama presentasi kepala, tanpa kontraindikasi obstetri, di fasilitas dengan kemampuan pemantauan intrapartum dan tindakan emergensi yang memadai.</w:t>
      </w:r>
    </w:p>
    <w:p>
      <w:pPr>
        <w:pStyle w:val="ListParagraph"/>
        <w:numPr>
          <w:ilvl w:val="0"/>
          <w:numId w:val="2"/>
        </w:numPr>
        <w:spacing w:after="100" w:line="276"/>
      </w:pPr>
      <w:r>
        <w:rPr>
          <w:rFonts w:ascii="IBM Plex Sans" w:cs="IBM Plex Sans" w:eastAsia="IBM Plex Sans" w:hAnsi="IBM Plex Sans"/>
          <w:color w:val="334155"/>
          <w:sz w:val="22"/>
          <w:szCs w:val="22"/>
        </w:rPr>
        <w:t xml:space="preserve">Seksio sesarea dipertimbangkan pada kehamilan monokorionik-monoamniotik, janin pertama dengan presentasi non-kepala, kehamilan triplet atau lebih, serta kondisi lain sesuai indikasi obstetri individual.</w:t>
      </w:r>
    </w:p>
    <w:p>
      <w:pPr>
        <w:pStyle w:val="ListParagraph"/>
        <w:numPr>
          <w:ilvl w:val="0"/>
          <w:numId w:val="2"/>
        </w:numPr>
        <w:spacing w:after="100" w:line="276"/>
      </w:pPr>
      <w:r>
        <w:rPr>
          <w:rFonts w:ascii="IBM Plex Sans" w:cs="IBM Plex Sans" w:eastAsia="IBM Plex Sans" w:hAnsi="IBM Plex Sans"/>
          <w:color w:val="334155"/>
          <w:sz w:val="22"/>
          <w:szCs w:val="22"/>
        </w:rPr>
        <w:t xml:space="preserve">Waktu terminasi kehamilan direncanakan berdasarkan korionisitas: kehamilan dikorionik-diamniotik tanpa komplikasi direncanakan pada usia kehamilan 38 0/7–38 6/7 minggu; kehamilan monokorionik-diamniotik tanpa komplikasi pada usia kehamilan 34 0/7–37 6/7 minggu; kehamilan monokorionik-monoamniotik direncanakan seksio sesarea elektif pada usia kehamilan 32-34 minggu mengingat risiko lilitan tali pusat dan kematian mendadak in utero. Rentang ini mengikuti rekomendasi ACOG Practice Bulletin No. 231 dan disesuaikan dengan kebijakan fasilitas serta pertimbangan tim fetomaternal.</w:t>
      </w:r>
    </w:p>
    <w:p>
      <w:pPr>
        <w:pStyle w:val="Heading2"/>
        <w:spacing w:after="140" w:before="240"/>
      </w:pPr>
      <w:r>
        <w:t xml:space="preserve">7.4 Kriteria Rujukan ke Subspesialis Fetomaternal</w:t>
      </w:r>
    </w:p>
    <w:p>
      <w:pPr>
        <w:pStyle w:val="ListParagraph"/>
        <w:numPr>
          <w:ilvl w:val="0"/>
          <w:numId w:val="2"/>
        </w:numPr>
        <w:spacing w:after="100" w:line="276"/>
      </w:pPr>
      <w:r>
        <w:rPr>
          <w:rFonts w:ascii="IBM Plex Sans" w:cs="IBM Plex Sans" w:eastAsia="IBM Plex Sans" w:hAnsi="IBM Plex Sans"/>
          <w:color w:val="334155"/>
          <w:sz w:val="22"/>
          <w:szCs w:val="22"/>
        </w:rPr>
        <w:t xml:space="preserve">Seluruh kehamilan monokorionik (risiko TTTS dan TAPS memerlukan pemantauan USG lebih ketat dan keahlian subspesialis).</w:t>
      </w:r>
    </w:p>
    <w:p>
      <w:pPr>
        <w:pStyle w:val="ListParagraph"/>
        <w:numPr>
          <w:ilvl w:val="0"/>
          <w:numId w:val="2"/>
        </w:numPr>
        <w:spacing w:after="100" w:line="276"/>
      </w:pPr>
      <w:r>
        <w:rPr>
          <w:rFonts w:ascii="IBM Plex Sans" w:cs="IBM Plex Sans" w:eastAsia="IBM Plex Sans" w:hAnsi="IBM Plex Sans"/>
          <w:color w:val="334155"/>
          <w:sz w:val="22"/>
          <w:szCs w:val="22"/>
        </w:rPr>
        <w:t xml:space="preserve">Kecurigaan diskordansi pertumbuhan janin atau kelainan cairan amnion pada evaluasi serial.</w:t>
      </w:r>
    </w:p>
    <w:p>
      <w:pPr>
        <w:pStyle w:val="ListParagraph"/>
        <w:numPr>
          <w:ilvl w:val="0"/>
          <w:numId w:val="2"/>
        </w:numPr>
        <w:spacing w:after="100" w:line="276"/>
      </w:pPr>
      <w:r>
        <w:rPr>
          <w:rFonts w:ascii="IBM Plex Sans" w:cs="IBM Plex Sans" w:eastAsia="IBM Plex Sans" w:hAnsi="IBM Plex Sans"/>
          <w:color w:val="334155"/>
          <w:sz w:val="22"/>
          <w:szCs w:val="22"/>
        </w:rPr>
        <w:t xml:space="preserve">Kehamilan triplet atau lebih (higher-order multiple pregnancy).</w:t>
      </w:r>
    </w:p>
    <w:p>
      <w:pPr>
        <w:pStyle w:val="ListParagraph"/>
        <w:numPr>
          <w:ilvl w:val="0"/>
          <w:numId w:val="2"/>
        </w:numPr>
        <w:spacing w:after="100" w:line="276"/>
      </w:pPr>
      <w:r>
        <w:rPr>
          <w:rFonts w:ascii="IBM Plex Sans" w:cs="IBM Plex Sans" w:eastAsia="IBM Plex Sans" w:hAnsi="IBM Plex Sans"/>
          <w:color w:val="334155"/>
          <w:sz w:val="22"/>
          <w:szCs w:val="22"/>
        </w:rPr>
        <w:t xml:space="preserve">Fasilitas pelayanan tidak memiliki kemampuan USG detail untuk penentuan korionisitas atau pemeriksaan Doppler.</w:t>
      </w:r>
    </w:p>
    <w:p>
      <w:pPr>
        <w:pStyle w:val="ListParagraph"/>
        <w:numPr>
          <w:ilvl w:val="0"/>
          <w:numId w:val="2"/>
        </w:numPr>
        <w:spacing w:after="100" w:line="276"/>
      </w:pPr>
      <w:r>
        <w:rPr>
          <w:rFonts w:ascii="IBM Plex Sans" w:cs="IBM Plex Sans" w:eastAsia="IBM Plex Sans" w:hAnsi="IBM Plex Sans"/>
          <w:color w:val="334155"/>
          <w:sz w:val="22"/>
          <w:szCs w:val="22"/>
        </w:rPr>
        <w:t xml:space="preserve">Ditemukan penyulit apa pun selama pemantauan yang mengubah status "tanpa komplikasi" menjadi kehamilan multipel dengan komplikasi.</w:t>
      </w:r>
    </w:p>
    <w:p>
      <w:pPr>
        <w:pStyle w:val="Heading1"/>
        <w:spacing w:after="140" w:before="240"/>
      </w:pPr>
      <w:r>
        <w:t xml:space="preserve">8. Edukasi Pasien dan Keluarga</w:t>
      </w:r>
    </w:p>
    <w:p>
      <w:pPr>
        <w:pStyle w:val="ListParagraph"/>
        <w:numPr>
          <w:ilvl w:val="0"/>
          <w:numId w:val="2"/>
        </w:numPr>
        <w:spacing w:after="100" w:line="276"/>
      </w:pPr>
      <w:r>
        <w:rPr>
          <w:rFonts w:ascii="IBM Plex Sans" w:cs="IBM Plex Sans" w:eastAsia="IBM Plex Sans" w:hAnsi="IBM Plex Sans"/>
          <w:color w:val="334155"/>
          <w:sz w:val="22"/>
          <w:szCs w:val="22"/>
        </w:rPr>
        <w:t xml:space="preserve">Tanda bahaya yang harus segera dilaporkan: perdarahan pervaginam, kontraksi dini/teratur sebelum aterm, penurunan gerak janin, nyeri kepala hebat, atau pandangan kabur.</w:t>
      </w:r>
    </w:p>
    <w:p>
      <w:pPr>
        <w:pStyle w:val="ListParagraph"/>
        <w:numPr>
          <w:ilvl w:val="0"/>
          <w:numId w:val="2"/>
        </w:numPr>
        <w:spacing w:after="100" w:line="276"/>
      </w:pPr>
      <w:r>
        <w:rPr>
          <w:rFonts w:ascii="IBM Plex Sans" w:cs="IBM Plex Sans" w:eastAsia="IBM Plex Sans" w:hAnsi="IBM Plex Sans"/>
          <w:color w:val="334155"/>
          <w:sz w:val="22"/>
          <w:szCs w:val="22"/>
        </w:rPr>
        <w:t xml:space="preserve">Pentingnya kepatuhan terhadap jadwal USG serial sesuai korionisitas, karena keterlambatan deteksi komplikasi (misalnya TTTS) memengaruhi luaran janin secara bermakna.</w:t>
      </w:r>
    </w:p>
    <w:p>
      <w:pPr>
        <w:pStyle w:val="ListParagraph"/>
        <w:numPr>
          <w:ilvl w:val="0"/>
          <w:numId w:val="2"/>
        </w:numPr>
        <w:spacing w:after="100" w:line="276"/>
      </w:pPr>
      <w:r>
        <w:rPr>
          <w:rFonts w:ascii="IBM Plex Sans" w:cs="IBM Plex Sans" w:eastAsia="IBM Plex Sans" w:hAnsi="IBM Plex Sans"/>
          <w:color w:val="334155"/>
          <w:sz w:val="22"/>
          <w:szCs w:val="22"/>
        </w:rPr>
        <w:t xml:space="preserve">Edukasi nutrisi, penambahan berat badan yang sesuai, dan istirahat cukup tanpa membatasi aktivitas secara berlebihan tanpa indikasi.</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Persiapan psikologis dan dukungan keluarga menghadapi kehamilan multipel, termasuk perencanaan finansial dan logistik pascapersalinan.</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Perencanaan laktasi untuk lebih dari satu bayi, termasuk konseling menyusui sejak masa antenatal.</w:t>
      </w:r>
    </w:p>
    <w:p>
      <w:pPr>
        <w:pStyle w:val="ListParagraph"/>
        <w:numPr>
          <w:ilvl w:val="0"/>
          <w:numId w:val="2"/>
        </w:numPr>
        <w:spacing w:after="100" w:line="276"/>
      </w:pPr>
      <w:r>
        <w:rPr>
          <w:rFonts w:ascii="IBM Plex Sans" w:cs="IBM Plex Sans" w:eastAsia="IBM Plex Sans" w:hAnsi="IBM Plex Sans"/>
          <w:color w:val="334155"/>
          <w:sz w:val="22"/>
          <w:szCs w:val="22"/>
        </w:rPr>
        <w:t xml:space="preserve">Diskusi rencana persalinan (cara dan tempat bersalin) sejak trimester kedua/ketiga, disesuaikan dengan korionisitas dan fasilitas rujukan yang tersedia.</w:t>
      </w:r>
    </w:p>
    <w:p>
      <w:pPr>
        <w:pStyle w:val="Heading1"/>
        <w:spacing w:after="140" w:before="240"/>
      </w:pPr>
      <w:r>
        <w:t xml:space="preserve">9. Prognosis</w:t>
      </w:r>
    </w:p>
    <w:p>
      <w:pPr>
        <w:spacing w:after="160" w:line="276"/>
      </w:pPr>
      <w:r>
        <w:rPr>
          <w:rFonts w:ascii="IBM Plex Sans" w:cs="IBM Plex Sans" w:eastAsia="IBM Plex Sans" w:hAnsi="IBM Plex Sans"/>
          <w:color w:val="334155"/>
          <w:sz w:val="22"/>
          <w:szCs w:val="22"/>
        </w:rPr>
        <w:t xml:space="preserve">Prognosis kehamilan multipel tanpa komplikasi umumnya baik apabila dipantau secara ketat sesuai korionisitas dan penyulit terdeteksi dini. Namun demikian, kehamilan multipel secara inheren memiliki risiko lebih tinggi dibanding kehamilan tunggal untuk persalinan preterm, preeklamsia, diabetes gestasional, anemia, dan perdarahan pascasalin, dengan risiko tertinggi pada kehamilan monokorionik dan kehamilan dengan jumlah janin lebih dari dua [DATA: rujuk laporan/registri resmi terbaru — mis. Kemenkes, POGI, WHO].</w:t>
      </w:r>
    </w:p>
    <w:p>
      <w:pPr>
        <w:spacing w:after="160" w:line="276"/>
      </w:pPr>
      <w:r>
        <w:rPr>
          <w:rFonts w:ascii="IBM Plex Sans" w:cs="IBM Plex Sans" w:eastAsia="IBM Plex Sans" w:hAnsi="IBM Plex Sans"/>
          <w:color w:val="334155"/>
          <w:sz w:val="22"/>
          <w:szCs w:val="22"/>
        </w:rPr>
        <w:t xml:space="preserve">Luaran perinatal dipengaruhi oleh korionisitas, usia kehamilan saat persalinan, dan ketepatan deteksi dini komplikasi; kehamilan monokorionik-monoamniotik memiliki risiko mortalitas perinatal tertinggi di antara subtipe kehamilan multipel.</w:t>
      </w:r>
    </w:p>
    <w:p>
      <w:pPr>
        <w:pStyle w:val="Heading1"/>
        <w:spacing w:after="140" w:before="240"/>
      </w:pPr>
      <w:r>
        <w:t xml:space="preserve">10. Tingkat Evidens dan Rekomendasi</w:t>
      </w:r>
    </w:p>
    <w:tbl>
      <w:tblPr>
        <w:tblW w:type="dxa" w:w="9350"/>
        <w:tblBorders>
          <w:top w:val="single" w:color="CBD5E1" w:sz="4"/>
          <w:left w:val="single" w:color="CBD5E1" w:sz="4"/>
          <w:bottom w:val="single" w:color="CBD5E1" w:sz="4"/>
          <w:right w:val="single" w:color="CBD5E1" w:sz="4"/>
          <w:insideH w:val="single" w:color="E2E8F0" w:sz="2"/>
          <w:insideV w:val="single" w:color="E2E8F0" w:sz="2"/>
        </w:tblBorders>
      </w:tblPr>
      <w:tblGrid>
        <w:gridCol w:w="2337"/>
        <w:gridCol w:w="2337"/>
        <w:gridCol w:w="2337"/>
        <w:gridCol w:w="2337"/>
      </w:tblGrid>
      <w:tr>
        <w:trPr>
          <w:tblHeader/>
        </w:trPr>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Rekomendasi</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Tingkat Evidens</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Kekuatan Rekomendasi</w:t>
            </w:r>
          </w:p>
        </w:tc>
        <w:tc>
          <w:tcPr>
            <w:tcW w:type="dxa" w:w="2337"/>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Sumber</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Penentuan korionisitas pada trimester pertama (idealnya &lt;14 minggu)</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II-2</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Kuat (A)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RCOG GTG No. 51 (2024); ISUOG PG (2025)</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USG setiap 2 minggu mulai 16 minggu untuk kehamilan monokorionik; setiap 4 minggu mulai 20-24 minggu untuk dikorionik</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II-2</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Kuat (A)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RCOG GTG No. 51 (2024); ISUOG PG (2025)</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Suplementasi zat besi, asam folat, dan kalsium disesuaikan kebutuhan kehamilan multipel</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I/III</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Sedang (B)</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WHO ANC Recommendations (2016)</w:t>
            </w:r>
          </w:p>
        </w:tc>
      </w:tr>
      <w:tr>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Terminasi kehamilan direncanakan berdasarkan korionisitas: 38 0/7-38 6/7 minggu (DKDA), 34 0/7-37 6/7 minggu (MKDA)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II-2</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Kuat (A)</w:t>
            </w:r>
          </w:p>
        </w:tc>
        <w:tc>
          <w:tcPr>
            <w:tcW w:type="dxa" w:w="2337"/>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ACOG Practice Bulletin No. 231 (2021)</w:t>
            </w:r>
          </w:p>
        </w:tc>
      </w:tr>
      <w:tr>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Rujukan ke subspesialis fetomaternal untuk seluruh kehamilan monokorionik</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III</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Kuat (A)</w:t>
            </w:r>
          </w:p>
        </w:tc>
        <w:tc>
          <w:tcPr>
            <w:tcW w:type="dxa" w:w="2337"/>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Kepkonsil No. HK.01.02/KKI/1318/2026; ISUOG PG (2025)</w:t>
            </w:r>
          </w:p>
        </w:tc>
      </w:tr>
    </w:tbl>
    <w:p>
      <w:pPr>
        <w:spacing w:after="200"/>
      </w:pPr>
    </w:p>
    <w:p>
      <w:pPr>
        <w:spacing w:after="160" w:line="276"/>
      </w:pPr>
      <w:r>
        <w:rPr>
          <w:rFonts w:ascii="IBM Plex Sans" w:cs="IBM Plex Sans" w:eastAsia="IBM Plex Sans" w:hAnsi="IBM Plex Sans"/>
          <w:color w:val="334155"/>
          <w:sz w:val="22"/>
          <w:szCs w:val="22"/>
        </w:rPr>
        <w:t xml:space="preserve">Skala tingkat evidens mengikuti klasifikasi standar (I: uji klinis acak terkontrol; II-1/II-2/II-3: studi observasional terkontrol/kohort/kasus-kontrol; III: pendapat ahli/konsensus), dengan kekuatan rekomendasi A (kuat)–D (lemah) sesuai konvensi umum PNPK.</w:t>
      </w:r>
    </w:p>
    <w:p>
      <w:pPr>
        <w:pStyle w:val="Heading1"/>
        <w:spacing w:after="140" w:before="240"/>
      </w:pPr>
      <w:r>
        <w:t xml:space="preserve">11. Indikator Medis</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Persentase kehamilan multipel dengan korionisitas-amnionisitas yang ditetapkan sebelum usia kehamilan 14 minggu.</w:t>
      </w:r>
    </w:p>
    <w:p>
      <w:pPr>
        <w:pStyle w:val="ListParagraph"/>
        <w:numPr>
          <w:ilvl w:val="0"/>
          <w:numId w:val="2"/>
        </w:numPr>
        <w:spacing w:after="100" w:line="276"/>
      </w:pPr>
      <w:r>
        <w:rPr>
          <w:rFonts w:ascii="IBM Plex Sans" w:cs="IBM Plex Sans" w:eastAsia="IBM Plex Sans" w:hAnsi="IBM Plex Sans"/>
          <w:color w:val="334155"/>
          <w:sz w:val="22"/>
          <w:szCs w:val="22"/>
        </w:rPr>
        <w:t xml:space="preserve">Persentase kepatuhan terhadap jadwal USG serial sesuai korionisitas selama masa antenatal.</w:t>
      </w:r>
    </w:p>
    <w:p>
      <w:pPr>
        <w:pStyle w:val="ListParagraph"/>
        <w:numPr>
          <w:ilvl w:val="0"/>
          <w:numId w:val="2"/>
        </w:numPr>
        <w:spacing w:after="100" w:line="276"/>
      </w:pPr>
      <w:r>
        <w:rPr>
          <w:rFonts w:ascii="IBM Plex Sans" w:cs="IBM Plex Sans" w:eastAsia="IBM Plex Sans" w:hAnsi="IBM Plex Sans"/>
          <w:color w:val="334155"/>
          <w:sz w:val="22"/>
          <w:szCs w:val="22"/>
        </w:rPr>
        <w:t xml:space="preserve">Proporsi kehamilan multipel yang dirujuk tepat waktu ke subspesialis fetomaternal sesuai kriteria pada butir 7.4.</w:t>
      </w:r>
    </w:p>
    <w:p>
      <w:pPr>
        <w:pStyle w:val="ListParagraph"/>
        <w:numPr>
          <w:ilvl w:val="0"/>
          <w:numId w:val="2"/>
        </w:numPr>
        <w:spacing w:after="100" w:line="276"/>
      </w:pPr>
      <w:r>
        <w:rPr>
          <w:rFonts w:ascii="IBM Plex Sans" w:cs="IBM Plex Sans" w:eastAsia="IBM Plex Sans" w:hAnsi="IBM Plex Sans"/>
          <w:color w:val="334155"/>
          <w:sz w:val="22"/>
          <w:szCs w:val="22"/>
        </w:rPr>
        <w:t xml:space="preserve">Insiden komplikasi (TTTS, TAPS, diskordansi pertumbuhan, persalinan preterm) terdeteksi pada saat kontrol terjadwal dibanding terdeteksi sebagai kegawatdaruratan [DATA: rujuk laporan/registri resmi terbaru].</w:t>
      </w:r>
    </w:p>
    <w:p>
      <w:pPr>
        <w:pStyle w:val="ListParagraph"/>
        <w:numPr>
          <w:ilvl w:val="0"/>
          <w:numId w:val="2"/>
        </w:numPr>
        <w:spacing w:after="100" w:line="276"/>
      </w:pPr>
      <w:r>
        <w:rPr>
          <w:rFonts w:ascii="IBM Plex Sans" w:cs="IBM Plex Sans" w:eastAsia="IBM Plex Sans" w:hAnsi="IBM Plex Sans"/>
          <w:color w:val="334155"/>
          <w:sz w:val="22"/>
          <w:szCs w:val="22"/>
        </w:rPr>
        <w:t xml:space="preserve">Luaran maternal-perinatal (skor APGAR, kebutuhan admisi ke unit neonatal) sebagai indikator agregat mutu tata laksana [DATA: rujuk laporan/registri resmi terbaru].</w:t>
      </w:r>
    </w:p>
    <w:p>
      <w:pPr>
        <w:pStyle w:val="Heading1"/>
        <w:spacing w:after="140" w:before="240"/>
      </w:pPr>
      <w: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Standar nasional (Kepkonsil No. HK.01.02/KKI/1318/2026, Tabel 7 No. 28) menetapkan kehamilan multipel tanpa komplikasi sebagai entitas dengan penekanan pada "pemantauan intensif kehamilan" tanpa merinci interval USG spesifik per korionisitas maupun usia kehamilan terminasi.</w:t>
      </w:r>
    </w:p>
    <w:p>
      <w:pPr>
        <w:spacing w:after="160" w:line="276"/>
      </w:pPr>
      <w:r>
        <w:rPr>
          <w:rFonts w:ascii="IBM Plex Sans" w:cs="IBM Plex Sans" w:eastAsia="IBM Plex Sans" w:hAnsi="IBM Plex Sans"/>
          <w:color w:val="334155"/>
          <w:sz w:val="22"/>
          <w:szCs w:val="22"/>
        </w:rPr>
        <w:t xml:space="preserve">RCOG Green-top Guideline No. 51 (pembaruan parsial 2024, diterbitkan dalam BJOG 2025) merekomendasikan pemantauan USG setiap dua minggu mulai usia kehamilan 16 minggu untuk kehamilan monokorionik guna skrining dini TTTS dan TAPS, lebih ketat dibanding interval umum kehamilan dikorionik yang dipantau setiap 4 minggu mulai usia kehamilan 20-24 minggu. ISUOG Practice Guidelines mengenai peran USG pada kehamilan kembar (pembaruan 2025) memberikan rekomendasi yang selaras, serta menambahkan penekanan pada skrining anomali terarah pada kehamilan monokorionik mengingat risiko anomali mayor yang lebih tinggi dibanding kehamilan dikorionik.</w:t>
      </w:r>
    </w:p>
    <w:p>
      <w:pPr>
        <w:spacing w:after="160" w:line="276"/>
      </w:pPr>
      <w:r>
        <w:rPr>
          <w:rFonts w:ascii="IBM Plex Sans" w:cs="IBM Plex Sans" w:eastAsia="IBM Plex Sans" w:hAnsi="IBM Plex Sans"/>
          <w:color w:val="334155"/>
          <w:sz w:val="22"/>
          <w:szCs w:val="22"/>
        </w:rPr>
        <w:t xml:space="preserve">ACOG Practice Bulletin No. 231 (Multifetal Gestations: Twin, Triplet, and Higher-Order Multifetal Pregnancies) merekomendasikan waktu terminasi kehamilan yang berjenjang berdasarkan korionisitas — dikorionik-diamniotik pada 38 0/7–38 6/7 minggu, monokorionik-diamniotik pada 34 0/7–37 6/7 minggu — sejalan dengan angka yang diadopsi pada bagian Tata Laksana Bedah/Prosedural PPK ini.</w:t>
      </w:r>
    </w:p>
    <w:p>
      <w:pPr>
        <w:spacing w:after="160" w:line="276"/>
      </w:pPr>
      <w:r>
        <w:rPr>
          <w:rFonts w:ascii="IBM Plex Sans" w:cs="IBM Plex Sans" w:eastAsia="IBM Plex Sans" w:hAnsi="IBM Plex Sans"/>
          <w:color w:val="334155"/>
          <w:sz w:val="22"/>
          <w:szCs w:val="22"/>
        </w:rPr>
        <w:t xml:space="preserve">Karena Kepkonsil belum merinci angka interval pemantauan dan usia kehamilan terminasi yang eksplisit untuk entri ini, praktik operasional pada PPK ini mengacu pada standar internasional (RCOG/ISUOG/ACOG/WHO) sebagai pengayaan sampai tersedia angka resmi nasional yang lebih spesifik; bila di kemudian hari terbit ketentuan nasional yang berbeda, praktik di Indonesia mengikuti standar nasional sesuai Aturan 2 Perintah Umum.</w:t>
      </w:r>
    </w:p>
    <w:p>
      <w:pPr>
        <w:pStyle w:val="Heading1"/>
        <w:spacing w:after="140" w:before="240"/>
      </w:pPr>
      <w:r>
        <w:t xml:space="preserve">13. Kepustakaan</w:t>
      </w:r>
    </w:p>
    <w:p>
      <w:pPr>
        <w:pStyle w:val="ListParagraph"/>
        <w:numPr>
          <w:ilvl w:val="0"/>
          <w:numId w:val="3"/>
        </w:numPr>
        <w:spacing w:after="100" w:line="276"/>
      </w:pPr>
      <w:r>
        <w:rPr>
          <w:rFonts w:ascii="IBM Plex Sans" w:cs="IBM Plex Sans" w:eastAsia="IBM Plex Sans" w:hAnsi="IBM Plex Sans"/>
          <w:color w:val="334155"/>
          <w:sz w:val="22"/>
          <w:szCs w:val="22"/>
        </w:rPr>
        <w:t xml:space="preserve">Keputusan Ketua Konsil Kesehatan Indonesia No. HK.01.02/KKI/1318/2026 tentang Standar Kompetensi Dokter Spesialis dan Subspesialis Bidang Obstetri dan Ginekologi, Lampiran Tabel 7 No. 28, entri "Kehamilan multipel tanpa komplikasi".</w:t>
      </w:r>
    </w:p>
    <w:p>
      <w:pPr>
        <w:pStyle w:val="ListParagraph"/>
        <w:numPr>
          <w:ilvl w:val="0"/>
          <w:numId w:val="3"/>
        </w:numPr>
        <w:spacing w:after="100" w:line="276"/>
      </w:pPr>
      <w:r>
        <w:rPr>
          <w:rFonts w:ascii="IBM Plex Sans" w:cs="IBM Plex Sans" w:eastAsia="IBM Plex Sans" w:hAnsi="IBM Plex Sans"/>
          <w:color w:val="334155"/>
          <w:sz w:val="22"/>
          <w:szCs w:val="22"/>
        </w:rPr>
        <w:t xml:space="preserve">Kilby MD, Bricker L, on behalf of the Royal College of Obstetricians and Gynaecologists. Management of Monochorionic Twin Pregnancy: Green-top Guideline No. 51 (2024 partial update). BJOG 2025;132(6):e98-e129. Tersedia pada: https://www.rcog.org.uk/guidance/browse-all-guidance/green-top-guidelines/management-of-monochorionic-twin-pregnancy-green-top-guideline-no-51/</w:t>
      </w:r>
    </w:p>
    <w:p>
      <w:pPr>
        <w:pStyle w:val="ListParagraph"/>
        <w:numPr>
          <w:ilvl w:val="0"/>
          <w:numId w:val="3"/>
        </w:numPr>
        <w:spacing w:after="100" w:line="276"/>
      </w:pPr>
      <w:r>
        <w:rPr>
          <w:rFonts w:ascii="IBM Plex Sans" w:cs="IBM Plex Sans" w:eastAsia="IBM Plex Sans" w:hAnsi="IBM Plex Sans"/>
          <w:color w:val="334155"/>
          <w:sz w:val="22"/>
          <w:szCs w:val="22"/>
        </w:rPr>
        <w:t xml:space="preserve">Khalil A, et al, on behalf of the ISUOG Clinical Standards Committee. ISUOG Practice Guidelines (updated): role of ultrasound in twin pregnancy. Ultrasound Obstet Gynecol 2025. Tersedia pada: https://obgyn.onlinelibrary.wiley.com/doi/10.1002/uog.29166</w:t>
      </w:r>
    </w:p>
    <w:p>
      <w:pPr>
        <w:pStyle w:val="ListParagraph"/>
        <w:numPr>
          <w:ilvl w:val="0"/>
          <w:numId w:val="3"/>
        </w:numPr>
        <w:spacing w:after="100" w:line="276"/>
      </w:pPr>
      <w:r>
        <w:rPr>
          <w:rFonts w:ascii="IBM Plex Sans" w:cs="IBM Plex Sans" w:eastAsia="IBM Plex Sans" w:hAnsi="IBM Plex Sans"/>
          <w:color w:val="334155"/>
          <w:sz w:val="22"/>
          <w:szCs w:val="22"/>
        </w:rPr>
        <w:t xml:space="preserve">American College of Obstetricians and Gynecologists. Multifetal Gestations: Twin, Triplet, and Higher-Order Multifetal Pregnancies. ACOG Practice Bulletin No. 231. Obstet Gynecol 2021;137(6):e145-e162. Tersedia pada: https://www.acog.org/clinical/clinical-guidance/practice-bulletin/articles/2021/06/multifetal-gestations-twin-triplet-and-higher-order-multifetal-pregnancies</w:t>
      </w:r>
    </w:p>
    <w:p>
      <w:pPr>
        <w:pStyle w:val="ListParagraph"/>
        <w:numPr>
          <w:ilvl w:val="0"/>
          <w:numId w:val="3"/>
        </w:numPr>
        <w:spacing w:after="100" w:line="276"/>
      </w:pPr>
      <w:r>
        <w:rPr>
          <w:rFonts w:ascii="IBM Plex Sans" w:cs="IBM Plex Sans" w:eastAsia="IBM Plex Sans" w:hAnsi="IBM Plex Sans"/>
          <w:color w:val="334155"/>
          <w:sz w:val="22"/>
          <w:szCs w:val="22"/>
        </w:rPr>
        <w:t xml:space="preserve">World Health Organization. WHO Recommendations on Antenatal Care for a Positive Pregnancy Experience. Geneva: WHO; 2016. Tersedia pada: https://www.who.int/publications/i/item/9789241549912</w:t>
      </w:r>
    </w:p>
    <w:p>
      <w:pPr>
        <w:pStyle w:val="ListParagraph"/>
        <w:numPr>
          <w:ilvl w:val="0"/>
          <w:numId w:val="3"/>
        </w:numPr>
        <w:spacing w:after="100" w:line="276"/>
      </w:pPr>
      <w:r>
        <w:rPr>
          <w:rFonts w:ascii="IBM Plex Sans" w:cs="IBM Plex Sans" w:eastAsia="IBM Plex Sans" w:hAnsi="IBM Plex Sans"/>
          <w:color w:val="334155"/>
          <w:sz w:val="22"/>
          <w:szCs w:val="22"/>
        </w:rPr>
        <w:t xml:space="preserve">World Health Organization. ICD-11 for Mortality and Morbidity Statistics — kode JA80 (Maternal care related to multiple gestation) dan KA01.5 (Fetus or newborn affected by multiple pregnancy). Tersedia pada: https://icd.who.int/browse/latest-release/mms/en</w:t>
      </w:r>
    </w:p>
    <w:p>
      <w:pPr>
        <w:pStyle w:val="Heading1"/>
        <w:spacing w:after="140" w:before="240"/>
      </w:pPr>
      <w:r>
        <w:t xml:space="preserve">14. Glossarium</w:t>
      </w:r>
    </w:p>
    <w:tbl>
      <w:tblPr>
        <w:tblW w:type="dxa" w:w="9350"/>
        <w:tblBorders>
          <w:top w:val="single" w:color="CBD5E1" w:sz="4"/>
          <w:left w:val="single" w:color="CBD5E1" w:sz="4"/>
          <w:bottom w:val="single" w:color="CBD5E1" w:sz="4"/>
          <w:right w:val="single" w:color="CBD5E1" w:sz="4"/>
          <w:insideH w:val="single" w:color="E2E8F0" w:sz="2"/>
          <w:insideV w:val="single" w:color="E2E8F0" w:sz="2"/>
        </w:tblBorders>
      </w:tblPr>
      <w:tblGrid>
        <w:gridCol w:w="4675"/>
        <w:gridCol w:w="4675"/>
      </w:tblGrid>
      <w:tr>
        <w:trPr>
          <w:tblHeader/>
        </w:trPr>
        <w:tc>
          <w:tcPr>
            <w:tcW w:type="dxa" w:w="4675"/>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Istilah</w:t>
            </w:r>
          </w:p>
        </w:tc>
        <w:tc>
          <w:tcPr>
            <w:tcW w:type="dxa" w:w="4675"/>
            <w:shd w:fill="4F46E5" w:val="clear"/>
            <w:tcMar>
              <w:top w:type="dxa" w:w="80"/>
              <w:left w:type="dxa" w:w="100"/>
              <w:bottom w:type="dxa" w:w="80"/>
              <w:right w:type="dxa" w:w="100"/>
            </w:tcMar>
          </w:tcPr>
          <w:p>
            <w:r>
              <w:rPr>
                <w:rFonts w:ascii="IBM Plex Sans" w:cs="IBM Plex Sans" w:eastAsia="IBM Plex Sans" w:hAnsi="IBM Plex Sans"/>
                <w:b/>
                <w:bCs/>
                <w:color w:val="FFFFFF"/>
                <w:sz w:val="19"/>
                <w:szCs w:val="19"/>
              </w:rPr>
              <w:t xml:space="preserve">Penjelasan</w:t>
            </w:r>
          </w:p>
        </w:tc>
      </w:tr>
      <w:tr>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Korionisitas (chorionicity)</w:t>
            </w:r>
          </w:p>
        </w:tc>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Jumlah plasenta fungsional pada kehamilan multipel; menentukan apakah janin berbagi satu plasenta (monokorionik) atau memiliki plasenta terpisah (dikorionik).</w:t>
            </w:r>
          </w:p>
        </w:tc>
      </w:tr>
      <w:tr>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Amnionisitas (amnionicity)</w:t>
            </w:r>
          </w:p>
        </w:tc>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Jumlah kantong amnion pada kehamilan multipel; menentukan apakah tiap janin berada pada kantong terpisah (diamniotik) atau berbagi satu kantong (monoamniotik).</w:t>
            </w:r>
          </w:p>
        </w:tc>
      </w:tr>
      <w:tr>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Tanda lambda (lambda/twin peak sign)</w:t>
            </w:r>
          </w:p>
        </w:tc>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Gambaran USG berbentuk segitiga pada dasar membran pemisah yang menunjukkan kehamilan dikorionik.</w:t>
            </w:r>
          </w:p>
        </w:tc>
      </w:tr>
      <w:tr>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Tanda-T (T-sign)</w:t>
            </w:r>
          </w:p>
        </w:tc>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Gambaran USG berupa pertemuan tegak lurus membran pemisah dengan permukaan plasenta yang menunjukkan kehamilan monokorionik.</w:t>
            </w:r>
          </w:p>
        </w:tc>
      </w:tr>
      <w:tr>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TTTS (Twin-to-Twin Transfusion Syndrome)</w:t>
            </w:r>
          </w:p>
        </w:tc>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Sindrom transfusi janin-ke-janin akibat anastomosis vaskular tidak seimbang pada plasenta monokorionik, menyebabkan ketidakseimbangan volume cairan amnion antarjanin.</w:t>
            </w:r>
          </w:p>
        </w:tc>
      </w:tr>
      <w:tr>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TAPS (Twin Anemia Polycythemia Sequence)</w:t>
            </w:r>
          </w:p>
        </w:tc>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Kondisi anemia pada satu janin dan polisitemia pada janin pasangannya akibat transfusi darah lambat melalui anastomosis vaskular kecil pada plasenta monokorionik, tanpa disertai ketidakseimbangan cairan amnion seperti pada TTTS.</w:t>
            </w:r>
          </w:p>
        </w:tc>
      </w:tr>
      <w:tr>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TRAP (Twin Reversed Arterial Perfusion)</w:t>
            </w:r>
          </w:p>
        </w:tc>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Kondisi langka pada kehamilan monokorionik dengan satu janin tanpa fungsi jantung (acardiac) yang menerima aliran darah terbalik dari janin pasangannya (janin pompa/pump twin).</w:t>
            </w:r>
          </w:p>
        </w:tc>
      </w:tr>
      <w:tr>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Diskordansi pertumbuhan (growth discordance)</w:t>
            </w:r>
          </w:p>
        </w:tc>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Selisih taksiran berat janin antarjanin dalam satu kehamilan multipel, umumnya bermakna klinis bila melebihi 20-25%.</w:t>
            </w:r>
          </w:p>
        </w:tc>
      </w:tr>
      <w:tr>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sFGR (selective Fetal Growth Restriction)</w:t>
            </w:r>
          </w:p>
        </w:tc>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Restriksi pertumbuhan yang hanya terjadi pada salah satu janin dalam kehamilan multipel monokorionik.</w:t>
            </w:r>
          </w:p>
        </w:tc>
      </w:tr>
      <w:tr>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MCA-PSV (kecepatan puncak sistolik arteri serebri media)</w:t>
            </w:r>
          </w:p>
        </w:tc>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Parameter Doppler pada arteri serebri media janin yang digunakan untuk skrining anemia janin, termasuk pada TAPS.</w:t>
            </w:r>
          </w:p>
        </w:tc>
      </w:tr>
      <w:tr>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Kortikosteroid antenatal</w:t>
            </w:r>
          </w:p>
        </w:tc>
        <w:tc>
          <w:tcPr>
            <w:tcW w:type="dxa" w:w="4675"/>
            <w:shd w:fill="FFFFFF"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Terapi steroid yang diberikan pada ibu hamil dengan ancaman persalinan preterm untuk mempercepat pematangan paru janin.</w:t>
            </w:r>
          </w:p>
        </w:tc>
      </w:tr>
      <w:tr>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Tokolitik</w:t>
            </w:r>
          </w:p>
        </w:tc>
        <w:tc>
          <w:tcPr>
            <w:tcW w:type="dxa" w:w="4675"/>
            <w:shd w:fill="F1F5F9" w:val="clear"/>
            <w:tcMar>
              <w:top w:type="dxa" w:w="80"/>
              <w:left w:type="dxa" w:w="100"/>
              <w:bottom w:type="dxa" w:w="80"/>
              <w:right w:type="dxa" w:w="100"/>
            </w:tcMar>
          </w:tcPr>
          <w:p>
            <w:r>
              <w:rPr>
                <w:rFonts w:ascii="IBM Plex Sans" w:cs="IBM Plex Sans" w:eastAsia="IBM Plex Sans" w:hAnsi="IBM Plex Sans"/>
                <w:color w:val="334155"/>
                <w:sz w:val="19"/>
                <w:szCs w:val="19"/>
              </w:rPr>
              <w:t xml:space="preserve">Golongan obat yang digunakan untuk menghambat kontraksi uterus pada ancaman persalinan preterm.</w:t>
            </w:r>
          </w:p>
        </w:tc>
      </w:tr>
    </w:tbl>
    <w:p>
      <w:pPr>
        <w:spacing w:after="200"/>
      </w:pPr>
    </w:p>
    <w:p>
      <w:pPr>
        <w:pBdr>
          <w:top w:val="single" w:color="E2E8F0" w:sz="6"/>
        </w:pBdr>
        <w:spacing w:before="400"/>
      </w:pPr>
    </w:p>
    <w:p>
      <w:pPr>
        <w:spacing w:before="160"/>
      </w:pPr>
      <w:r>
        <w:rPr>
          <w:rFonts w:ascii="IBM Plex Mono" w:cs="IBM Plex Mono" w:eastAsia="IBM Plex Mono" w:hAnsi="IBM Plex Mono"/>
          <w:b/>
          <w:bCs/>
          <w:color w:val="4F46E5"/>
          <w:sz w:val="18"/>
          <w:szCs w:val="18"/>
        </w:rPr>
        <w:t xml:space="preserve">PPK No. 28 dari 73</w:t>
      </w:r>
    </w:p>
    <w:p>
      <w:r>
        <w:rPr>
          <w:rFonts w:ascii="IBM Plex Sans" w:cs="IBM Plex Sans" w:eastAsia="IBM Plex Sans" w:hAnsi="IBM Plex Sans"/>
          <w:color w:val="334155"/>
          <w:sz w:val="18"/>
          <w:szCs w:val="18"/>
        </w:rPr>
        <w:t xml:space="preserve">← PPK 27: Kematian Janin Intrauterin    |    PPK 29: Kehamilan dengan Obesitas →</w:t>
      </w:r>
    </w:p>
    <w:sectPr>
      <w:headerReference w:type="default" r:id="rId7"/>
      <w:footerReference w:type="default" r:id="rId8"/>
      <w:pgSz w:w="11906" w:h="16838" w:orient="portrait"/>
      <w:pgMar w:top="1080" w:right="1150" w:bottom="108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94A3B8"/>
        <w:sz w:val="16"/>
        <w:szCs w:val="16"/>
      </w:rPr>
      <w:t xml:space="preserve">Halaman </w:t>
    </w:r>
    <w:r>
      <w:rPr>
        <w:rFonts w:ascii="IBM Plex Mono" w:cs="IBM Plex Mono" w:eastAsia="IBM Plex Mono" w:hAnsi="IBM Plex Mono"/>
        <w:color w:val="94A3B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94A3B8"/>
        <w:sz w:val="16"/>
        <w:szCs w:val="16"/>
      </w:rPr>
      <w:t xml:space="preserve">PPK No. 28 — Kehamilan Multipel Tanpa Komplikasi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288"/>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40" w:before="280"/>
      <w:outlineLvl w:val="0"/>
    </w:pPr>
    <w:rPr>
      <w:rFonts w:ascii="Source Serif 4" w:cs="Source Serif 4" w:eastAsia="Source Serif 4" w:hAnsi="Source Serif 4"/>
      <w:b/>
      <w:bCs/>
      <w:color w:val="4F46E5"/>
      <w:sz w:val="30"/>
      <w:szCs w:val="30"/>
    </w:rPr>
  </w:style>
  <w:style w:type="paragraph" w:styleId="Heading2">
    <w:name w:val="Heading 2"/>
    <w:basedOn w:val="Normal"/>
    <w:next w:val="Normal"/>
    <w:qFormat/>
    <w:pPr>
      <w:spacing w:after="110" w:before="220"/>
      <w:outlineLvl w:val="1"/>
    </w:pPr>
    <w:rPr>
      <w:rFonts w:ascii="Source Serif 4" w:cs="Source Serif 4" w:eastAsia="Source Serif 4" w:hAnsi="Source Serif 4"/>
      <w:b/>
      <w:bCs/>
      <w:color w:val="B45309"/>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2026-08-17T10:58:53.263Z</dcterms:created>
  <dcterms:modified xsi:type="dcterms:W3CDTF">2026-08-17T10:58:53.263Z</dcterms:modified>
</cp:coreProperties>
</file>

<file path=docProps/custom.xml><?xml version="1.0" encoding="utf-8"?>
<Properties xmlns="http://schemas.openxmlformats.org/officeDocument/2006/custom-properties" xmlns:vt="http://schemas.openxmlformats.org/officeDocument/2006/docPropsVTypes"/>
</file>