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00"/>
        <w:jc w:val="center"/>
      </w:pPr>
      <w:r>
        <w:rPr>
          <w:rFonts w:ascii="IBM Plex Sans" w:cs="IBM Plex Sans" w:eastAsia="IBM Plex Sans" w:hAnsi="IBM Plex Sans"/>
          <w:b/>
          <w:bCs/>
          <w:color w:val="64748B"/>
          <w:sz w:val="28"/>
          <w:szCs w:val="28"/>
        </w:rPr>
        <w:t xml:space="preserve">PANDUAN PRAKTIK KLINIS</w:t>
      </w:r>
    </w:p>
    <w:p>
      <w:pPr>
        <w:spacing w:after="600"/>
        <w:jc w:val="center"/>
      </w:pPr>
      <w:r>
        <w:rPr>
          <w:rFonts w:ascii="IBM Plex Sans" w:cs="IBM Plex Sans" w:eastAsia="IBM Plex Sans" w:hAnsi="IBM Plex Sans"/>
          <w:b/>
          <w:bCs/>
          <w:color w:val="B45309"/>
          <w:sz w:val="22"/>
          <w:szCs w:val="22"/>
        </w:rPr>
        <w:t xml:space="preserve">PPK-032 — Dokumen 32 dari 73</w:t>
      </w:r>
    </w:p>
    <w:p>
      <w:pPr>
        <w:spacing w:after="200"/>
        <w:jc w:val="center"/>
      </w:pPr>
      <w:r>
        <w:rPr>
          <w:rFonts w:ascii="Source Serif 4" w:cs="Source Serif 4" w:eastAsia="Source Serif 4" w:hAnsi="Source Serif 4"/>
          <w:b/>
          <w:bCs/>
          <w:color w:val="4F46E5"/>
          <w:sz w:val="44"/>
          <w:szCs w:val="44"/>
        </w:rPr>
        <w:t xml:space="preserve">Kehamilan dengan Kelainan Darah</w:t>
      </w:r>
    </w:p>
    <w:p>
      <w:pPr>
        <w:spacing w:after="500"/>
        <w:jc w:val="center"/>
      </w:pPr>
      <w:r>
        <w:rPr>
          <w:rFonts w:ascii="Source Serif 4" w:cs="Source Serif 4" w:eastAsia="Source Serif 4" w:hAnsi="Source Serif 4"/>
          <w:i/>
          <w:iCs/>
          <w:color w:val="64748B"/>
          <w:sz w:val="28"/>
          <w:szCs w:val="28"/>
        </w:rPr>
        <w:t xml:space="preserve">Hematological Disorders in Pregnancy</w:t>
      </w:r>
    </w:p>
    <w:p>
      <w:pPr>
        <w:spacing w:after="200"/>
        <w:jc w:val="center"/>
      </w:pPr>
      <w:r>
        <w:rPr>
          <w:rFonts w:ascii="IBM Plex Mono" w:cs="IBM Plex Mono" w:eastAsia="IBM Plex Mono" w:hAnsi="IBM Plex Mono"/>
          <w:color w:val="334155"/>
          <w:sz w:val="22"/>
          <w:szCs w:val="22"/>
        </w:rPr>
        <w:t xml:space="preserve">ICD-10: O99.1    |    ICD-11: JB64.1</w:t>
      </w:r>
    </w:p>
    <w:p>
      <w:pPr>
        <w:spacing w:after="800"/>
        <w:jc w:val="center"/>
      </w:pPr>
      <w:r>
        <w:rPr>
          <w:rFonts w:ascii="IBM Plex Sans" w:cs="IBM Plex Sans" w:eastAsia="IBM Plex Sans" w:hAnsi="IBM Plex Sans"/>
          <w:color w:val="334155"/>
          <w:sz w:val="22"/>
          <w:szCs w:val="22"/>
        </w:rPr>
        <w:t xml:space="preserve">Divisi Pengampu: Fetomaternal</w:t>
      </w:r>
    </w:p>
    <w:p>
      <w:pPr>
        <w:spacing w:after="1600"/>
        <w:jc w:val="center"/>
      </w:pPr>
      <w:r>
        <w:rPr>
          <w:rFonts w:ascii="IBM Plex Sans" w:cs="IBM Plex Sans" w:eastAsia="IBM Plex Sans" w:hAnsi="IBM Plex Sans"/>
          <w:color w:val="64748B"/>
          <w:sz w:val="18"/>
          <w:szCs w:val="18"/>
        </w:rPr>
        <w:t xml:space="preserve">Dasar Regulasi: Keputusan Ketua Konsil Kesehatan Indonesia No. HK.01.02/KKI/1318/2026, Lampiran, Tabel 7 No. 32</w:t>
      </w:r>
    </w:p>
    <w:p>
      <w:pPr>
        <w:spacing w:after="60"/>
        <w:jc w:val="center"/>
      </w:pPr>
      <w:r>
        <w:rPr>
          <w:rFonts w:ascii="IBM Plex Sans" w:cs="IBM Plex Sans" w:eastAsia="IBM Plex Sans" w:hAnsi="IBM Plex Sans"/>
          <w:b/>
          <w:bCs/>
          <w:color w:val="334155"/>
          <w:sz w:val="20"/>
          <w:szCs w:val="20"/>
        </w:rPr>
        <w:t xml:space="preserve">Dr.dr. Budi Siswanto, Sp.OG., Subsp.Obginsos., SH., S.Kom.</w:t>
      </w:r>
    </w:p>
    <w:p>
      <w:pPr>
        <w:spacing w:after="1200"/>
        <w:jc w:val="center"/>
      </w:pPr>
      <w:r>
        <w:rPr>
          <w:rFonts w:ascii="IBM Plex Sans" w:cs="IBM Plex Sans" w:eastAsia="IBM Plex Sans" w:hAnsi="IBM Plex Sans"/>
          <w:color w:val="64748B"/>
          <w:sz w:val="18"/>
          <w:szCs w:val="18"/>
        </w:rPr>
        <w:t xml:space="preserve">Perpustakaan Digital ABBA · Jl. Kerinci Raya No. 9, Malang 65138 · 2026</w:t>
      </w:r>
    </w:p>
    <w:p>
      <w:r>
        <w:br w:type="page"/>
      </w: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line="300"/>
        <w:jc w:val="both"/>
      </w:pPr>
      <w:r>
        <w:rPr>
          <w:rFonts w:ascii="IBM Plex Sans" w:cs="IBM Plex Sans" w:eastAsia="IBM Plex Sans" w:hAnsi="IBM Plex Sans"/>
          <w:color w:val="334155"/>
          <w:sz w:val="21"/>
          <w:szCs w:val="21"/>
        </w:rPr>
        <w:t xml:space="preserve">Panduan Praktik Klinis (PPK) ini merupakan turunan operasional dari Buku Tematik B4 — Kehamilan dengan Penyakit Penyerta. PPK ini mengatur tata laksana klinis individual pada satu episode layanan kehamilan dengan kelainan darah (hematological disorders in pregnancy), sesuai entri Tabel 7 No. 32 Kepkonsil No. HK.01.02/KKI/1318/2026.</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tcW w:type="pct" w:w="100%"/>
            <w:shd w:fill="FFFBEB"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Lampiran, Tabel 7 No. 32.</w:t>
            </w:r>
          </w:p>
        </w:tc>
      </w:tr>
    </w:tbl>
    <w:p>
      <w:pPr>
        <w:spacing w:after="160"/>
      </w:pPr>
    </w:p>
    <w:p>
      <w:pPr>
        <w:spacing w:after="160" w:line="300"/>
        <w:jc w:val="both"/>
      </w:pPr>
      <w:r>
        <w:rPr>
          <w:rFonts w:ascii="IBM Plex Sans" w:cs="IBM Plex Sans" w:eastAsia="IBM Plex Sans" w:hAnsi="IBM Plex Sans"/>
          <w:color w:val="334155"/>
          <w:sz w:val="21"/>
          <w:szCs w:val="21"/>
        </w:rPr>
        <w:t xml:space="preserve">Kehamilan dengan kelainan darah (hematological disorders in pregnancy) didefinisikan sebagai kelainan hematologis dengan risiko komplikasi obstetri, mencakup — namun tidak terbatas pada — trombositopenia, hemoglobinopati, dan trombofilia, yang terjadi atau terdeteksi selama kehamilan dan berdampak pada luaran maternal maupun janin. Definisi ini mengikuti keterangan resmi pada Lampiran Kepkonsil No. HK.01.02/KKI/1318/2026.</w:t>
      </w:r>
    </w:p>
    <w:p>
      <w:pPr>
        <w:spacing w:after="160" w:line="300"/>
        <w:jc w:val="both"/>
      </w:pPr>
      <w:r>
        <w:rPr>
          <w:rFonts w:ascii="IBM Plex Sans" w:cs="IBM Plex Sans" w:eastAsia="IBM Plex Sans" w:hAnsi="IBM Plex Sans"/>
          <w:color w:val="334155"/>
          <w:sz w:val="21"/>
          <w:szCs w:val="21"/>
        </w:rPr>
        <w:t xml:space="preserve">Berbeda dari anemia defisiensi besi pada kehamilan yang dibahas tersendiri pada PPK No. 31 (Kehamilan dengan Anemia, ICD-10 O99.0), PPK ini mencakup kelompok kelainan darah non-defisiensi. Kelompok ini secara operasional dipecah menjadi lima subkelompok mengikuti Tabel 8 No. 12 Kepkonsil (Spektrum Penyakit dan Kondisi Klinis yang Ditangani Spesialis/Subspesialis Kedokteran Fetomaternal), yaitu:</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Trombofilia (herediter maupun didapat)</w:t>
      </w:r>
    </w:p>
    <w:p>
      <w:pPr>
        <w:pStyle w:val="ListParagraph"/>
        <w:numPr>
          <w:ilvl w:val="0"/>
          <w:numId w:val="1"/>
        </w:numPr>
        <w:spacing w:after="100" w:line="300"/>
      </w:pPr>
      <w:r>
        <w:rPr>
          <w:rFonts w:ascii="IBM Plex Sans" w:cs="IBM Plex Sans" w:eastAsia="IBM Plex Sans" w:hAnsi="IBM Plex Sans"/>
          <w:color w:val="334155"/>
          <w:sz w:val="21"/>
          <w:szCs w:val="21"/>
        </w:rPr>
        <w:t xml:space="preserve">Kelainan perdarahan/koagulasi (misalnya penyakit von Willebrand, karier hemofilia)</w:t>
      </w:r>
    </w:p>
    <w:p>
      <w:pPr>
        <w:pStyle w:val="ListParagraph"/>
        <w:numPr>
          <w:ilvl w:val="0"/>
          <w:numId w:val="1"/>
        </w:numPr>
        <w:spacing w:after="100" w:line="300"/>
      </w:pPr>
      <w:r>
        <w:rPr>
          <w:rFonts w:ascii="IBM Plex Sans" w:cs="IBM Plex Sans" w:eastAsia="IBM Plex Sans" w:hAnsi="IBM Plex Sans"/>
          <w:color w:val="334155"/>
          <w:sz w:val="21"/>
          <w:szCs w:val="21"/>
        </w:rPr>
        <w:t xml:space="preserve">Talasemia</w:t>
      </w:r>
    </w:p>
    <w:p>
      <w:pPr>
        <w:pStyle w:val="ListParagraph"/>
        <w:numPr>
          <w:ilvl w:val="0"/>
          <w:numId w:val="1"/>
        </w:numPr>
        <w:spacing w:after="100" w:line="300"/>
      </w:pPr>
      <w:r>
        <w:rPr>
          <w:rFonts w:ascii="IBM Plex Sans" w:cs="IBM Plex Sans" w:eastAsia="IBM Plex Sans" w:hAnsi="IBM Plex Sans"/>
          <w:color w:val="334155"/>
          <w:sz w:val="21"/>
          <w:szCs w:val="21"/>
        </w:rPr>
        <w:t xml:space="preserve">Limfoma dan lekemia</w:t>
      </w:r>
    </w:p>
    <w:p>
      <w:pPr>
        <w:pStyle w:val="ListParagraph"/>
        <w:numPr>
          <w:ilvl w:val="0"/>
          <w:numId w:val="1"/>
        </w:numPr>
        <w:spacing w:after="100" w:line="300"/>
      </w:pPr>
      <w:r>
        <w:rPr>
          <w:rFonts w:ascii="IBM Plex Sans" w:cs="IBM Plex Sans" w:eastAsia="IBM Plex Sans" w:hAnsi="IBM Plex Sans"/>
          <w:color w:val="334155"/>
          <w:sz w:val="21"/>
          <w:szCs w:val="21"/>
        </w:rPr>
        <w:t xml:space="preserve">Kelainan hematologik lain yang relevan secara klinis (termasuk trombositopenia gestasional, trombositopenia imun/ITP, dan hemoglobinopati struktural seperti penyakit sel sabit)</w:t>
      </w:r>
    </w:p>
    <w:p>
      <w:pPr>
        <w:spacing w:after="160" w:line="300"/>
        <w:jc w:val="both"/>
      </w:pPr>
      <w:r>
        <w:rPr>
          <w:rFonts w:ascii="IBM Plex Sans" w:cs="IBM Plex Sans" w:eastAsia="IBM Plex Sans" w:hAnsi="IBM Plex Sans"/>
          <w:color w:val="334155"/>
          <w:sz w:val="21"/>
          <w:szCs w:val="21"/>
        </w:rPr>
        <w:t xml:space="preserve">Secara patofisiologis, kehamilan normal sendiri menimbulkan perubahan hematologis fisiologis — peningkatan volume plasma yang melebihi peningkatan massa eritrosit (hemodilusi), penurunan bertahap hitung trombosit akibat peningkatan konsumsi dan pengenceran plasenta, serta keadaan hiperkoagulabilitas relatif akibat peningkatan faktor koagulasi dan penurunan aktivitas fibrinolitik. Perubahan fisiologis ini dapat menyamarkan atau memperberat kelainan darah yang mendasari, sehingga interpretasi hasil laboratorium wajib mempertimbangkan rentang rujukan spesifik kehamilan.</w:t>
      </w:r>
    </w:p>
    <w:p>
      <w:pPr>
        <w:spacing w:after="160" w:line="300"/>
        <w:jc w:val="both"/>
      </w:pPr>
      <w:r>
        <w:rPr>
          <w:rFonts w:ascii="IBM Plex Sans" w:cs="IBM Plex Sans" w:eastAsia="IBM Plex Sans" w:hAnsi="IBM Plex Sans"/>
          <w:color w:val="334155"/>
          <w:sz w:val="21"/>
          <w:szCs w:val="21"/>
        </w:rPr>
        <w:t xml:space="preserve">Kondisi ini penting secara klinis karena berpotensi meningkatkan risiko komplikasi obstetri — perdarahan peripartum, tromboemboli vena, preeklamsia, restriksi pertumbuhan janin, hingga anemia atau trombositopenia pada janin/neonatus — sehingga memerlukan pendekatan multidisiplin antara spesialis Obstetri dan Ginekologi, subspesialis Fetomaternal, dan hematologi.</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line="300"/>
        <w:jc w:val="both"/>
      </w:pPr>
      <w:r>
        <w:rPr>
          <w:rFonts w:ascii="IBM Plex Sans" w:cs="IBM Plex Sans" w:eastAsia="IBM Plex Sans" w:hAnsi="IBM Plex Sans"/>
          <w:color w:val="334155"/>
          <w:sz w:val="21"/>
          <w:szCs w:val="21"/>
        </w:rPr>
        <w:t xml:space="preserve">Anamnesis terarah bertujuan mengidentifikasi jenis kelainan darah, derajat keparahan, dan riwayat komplikasi yang relevan terhadap kehamilan saat ini, sekaligus membedakan kelainan darah primer dari perubahan hematologis fisiologis kehamilan. Komponen anamnesis mencakup:</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perdarahan abnormal: menoragia, mudah memar tanpa trauma bermakna, epistaksis berulang, atau perdarahan berlebihan pasca luka minor, pencabutan gigi, maupun tindakan bedah sebelumnya — mengarahkan kecurigaan kelainan koagulasi herediter</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keluarga: talasemia, hemofilia, trombofilia herediter, atau kematian mendadak dan kejadian tromboemboli pada keluarga inti</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transfusi darah sebelumnya, termasuk reaksi transfusi dan frekuensi kebutuhan transfusi (relevan pada talasemia intermedia/mayor)</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penyakit dasar hematologik atau autoimun: trombositopenia imun (ITP), lupus eritematosus sistemik, sindrom antifosfolipid, atau keganasan hematologik</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obstetri: keguguran berulang, kematian janin dalam rahim (IUFD), preeklamsia berat awitan dini, atau riwayat tromboemboli vena pada kehamilan sebelumnya</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pengobatan yang sedang atau pernah digunakan: antikoagulan, kortikosteroid, kemoterapi, kelasi besi, atau suplemen besi/asam folat</w:t>
      </w:r>
    </w:p>
    <w:p>
      <w:pPr>
        <w:pStyle w:val="ListParagraph"/>
        <w:numPr>
          <w:ilvl w:val="0"/>
          <w:numId w:val="1"/>
        </w:numPr>
        <w:spacing w:after="100" w:line="300"/>
      </w:pPr>
      <w:r>
        <w:rPr>
          <w:rFonts w:ascii="IBM Plex Sans" w:cs="IBM Plex Sans" w:eastAsia="IBM Plex Sans" w:hAnsi="IBM Plex Sans"/>
          <w:color w:val="334155"/>
          <w:sz w:val="21"/>
          <w:szCs w:val="21"/>
        </w:rPr>
        <w:t xml:space="preserve">Latar belakang etnis dan asal geografis, mengingat prevalensi talasemia dan penyakit sel sabit yang secara epidemiologis lebih tinggi pada populasi asal Mediterania, Asia Tenggara (termasuk sejumlah wilayah di Indonesia), Timur Tengah, dan Afrika</w:t>
      </w:r>
    </w:p>
    <w:p>
      <w:pPr>
        <w:pStyle w:val="ListParagraph"/>
        <w:numPr>
          <w:ilvl w:val="0"/>
          <w:numId w:val="1"/>
        </w:numPr>
        <w:spacing w:after="100" w:line="300"/>
      </w:pPr>
      <w:r>
        <w:rPr>
          <w:rFonts w:ascii="IBM Plex Sans" w:cs="IBM Plex Sans" w:eastAsia="IBM Plex Sans" w:hAnsi="IBM Plex Sans"/>
          <w:color w:val="334155"/>
          <w:sz w:val="21"/>
          <w:szCs w:val="21"/>
        </w:rPr>
        <w:t xml:space="preserve">Keluhan saat ini: mudah lebam, bintik merah di kulit (petekie), gusi berdarah, sesak napas, cepat lelah, nyeri tulang atau sendi, riwayat episode nyeri hebat berulang (dicurigai krisis vaso-oklusif pada penyakit sel sabit), atau pembengkakan kelenjar getah bening</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spacing w:after="160" w:line="300"/>
        <w:jc w:val="both"/>
      </w:pPr>
      <w:r>
        <w:rPr>
          <w:rFonts w:ascii="IBM Plex Sans" w:cs="IBM Plex Sans" w:eastAsia="IBM Plex Sans" w:hAnsi="IBM Plex Sans"/>
          <w:color w:val="334155"/>
          <w:sz w:val="21"/>
          <w:szCs w:val="21"/>
        </w:rPr>
        <w:t xml:space="preserve">Pemeriksaan fisik umum dan obstetri dilakukan secara sistematis dengan penekanan pada tanda kelainan hematologik:</w:t>
      </w:r>
    </w:p>
    <w:p>
      <w:pPr>
        <w:pStyle w:val="ListParagraph"/>
        <w:numPr>
          <w:ilvl w:val="0"/>
          <w:numId w:val="1"/>
        </w:numPr>
        <w:spacing w:after="100" w:line="300"/>
      </w:pPr>
      <w:r>
        <w:rPr>
          <w:rFonts w:ascii="IBM Plex Sans" w:cs="IBM Plex Sans" w:eastAsia="IBM Plex Sans" w:hAnsi="IBM Plex Sans"/>
          <w:color w:val="334155"/>
          <w:sz w:val="21"/>
          <w:szCs w:val="21"/>
        </w:rPr>
        <w:t xml:space="preserve">Tanda vital lengkap, termasuk penilaian tanda syok bila dicurigai perdarahan aktif dan saturasi oksigen pada kecurigaan sindrom dada akut (acute chest syndrome) pada penyakit sel sabit</w:t>
      </w:r>
    </w:p>
    <w:p>
      <w:pPr>
        <w:pStyle w:val="ListParagraph"/>
        <w:numPr>
          <w:ilvl w:val="0"/>
          <w:numId w:val="1"/>
        </w:numPr>
        <w:spacing w:after="100" w:line="300"/>
      </w:pPr>
      <w:r>
        <w:rPr>
          <w:rFonts w:ascii="IBM Plex Sans" w:cs="IBM Plex Sans" w:eastAsia="IBM Plex Sans" w:hAnsi="IBM Plex Sans"/>
          <w:color w:val="334155"/>
          <w:sz w:val="21"/>
          <w:szCs w:val="21"/>
        </w:rPr>
        <w:t xml:space="preserve">Inspeksi kulit dan mukosa: pucat, ikterus (mengarah pada proses hemolitik), petekie, purpura, dan ekimosis</w:t>
      </w:r>
    </w:p>
    <w:p>
      <w:pPr>
        <w:pStyle w:val="ListParagraph"/>
        <w:numPr>
          <w:ilvl w:val="0"/>
          <w:numId w:val="1"/>
        </w:numPr>
        <w:spacing w:after="100" w:line="300"/>
      </w:pPr>
      <w:r>
        <w:rPr>
          <w:rFonts w:ascii="IBM Plex Sans" w:cs="IBM Plex Sans" w:eastAsia="IBM Plex Sans" w:hAnsi="IBM Plex Sans"/>
          <w:color w:val="334155"/>
          <w:sz w:val="21"/>
          <w:szCs w:val="21"/>
        </w:rPr>
        <w:t xml:space="preserve">Palpasi kelenjar getah bening dan abdomen untuk menilai limfadenopati atau hepatosplenomegali, yang mengarah pada kecurigaan keganasan hematologik atau proses hemolitik kronik</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Pemeriksaan ekstremitas: edema tungkai asimetris dan nyeri betis sebagai tanda kecurigaan trombosis vena dalam</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Pemeriksaan respirasi: takipnea, ronki, atau saturasi oksigen rendah sebagai kecurigaan emboli paru pada pasien dengan faktor risiko trombofilia, atau sindrom dada akut pada penyakit sel sabit</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Pemeriksaan obstetri rutin: tinggi fundus uteri (skrining restriksi pertumbuhan janin), denyut jantung janin, dan tanda-tanda preeklamsia (tekanan darah, edema, refleks patela) mengingat tumpang tindih gambaran klinis dengan trombositopenia sekunder akibat preeklamsia/sindrom HELLP</w:t>
      </w:r>
    </w:p>
    <w:p>
      <w:pPr>
        <w:pStyle w:val="Heading1"/>
        <w:spacing w:after="160" w:before="320"/>
      </w:pPr>
      <w:r>
        <w:rPr>
          <w:rFonts w:ascii="Source Serif 4" w:cs="Source Serif 4" w:eastAsia="Source Serif 4" w:hAnsi="Source Serif 4"/>
          <w:b/>
          <w:bCs/>
          <w:color w:val="4F46E5"/>
          <w:sz w:val="30"/>
          <w:szCs w:val="30"/>
        </w:rPr>
        <w:t xml:space="preserve">4. Kriteria Diagnosis</w:t>
      </w:r>
    </w:p>
    <w:p>
      <w:pPr>
        <w:spacing w:after="160" w:line="300"/>
        <w:jc w:val="both"/>
      </w:pPr>
      <w:r>
        <w:rPr>
          <w:rFonts w:ascii="IBM Plex Mono" w:cs="IBM Plex Mono" w:eastAsia="IBM Plex Mono" w:hAnsi="IBM Plex Mono"/>
          <w:color w:val="334155"/>
          <w:sz w:val="21"/>
          <w:szCs w:val="21"/>
        </w:rPr>
        <w:t xml:space="preserve">Kode diagnosis: ICD-10 O99.1 | ICD-11 JB64.1.</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tcW w:type="pct" w:w="100%"/>
            <w:shd w:fill="FFFBEB"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Lampiran, Tabel 7 No. 32; kode ICD-10/ICD-11 dikonfirmasi silang dengan Tabel 8 No. 12 (kompetensi subspesialis Fetomaternal) pada lampiran yang sama.</w:t>
            </w:r>
          </w:p>
        </w:tc>
      </w:tr>
    </w:tbl>
    <w:p>
      <w:pPr>
        <w:spacing w:after="160"/>
      </w:pPr>
    </w:p>
    <w:p>
      <w:pPr>
        <w:spacing w:after="160" w:line="300"/>
        <w:jc w:val="both"/>
      </w:pPr>
      <w:r>
        <w:rPr>
          <w:rFonts w:ascii="IBM Plex Sans" w:cs="IBM Plex Sans" w:eastAsia="IBM Plex Sans" w:hAnsi="IBM Plex Sans"/>
          <w:color w:val="334155"/>
          <w:sz w:val="21"/>
          <w:szCs w:val="21"/>
        </w:rPr>
        <w:t xml:space="preserve">Diagnosis ditegakkan berdasarkan kombinasi hasil pemeriksaan darah lengkap, apusan darah tepi, dan pemeriksaan konfirmasi spesifik sesuai subtipe kelainan darah yang dicurigai. Kriteria operasional untuk subtipe yang paling sering dijumpai:</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Trombositopenia gestasional: hitung trombosit umumnya 100.000–150.000/µL, tanpa riwayat trombositopenia sebelum kehamilan, tanpa splenomegali, dan cenderung membaik spontan dalam 1–2 bulan pascasalin; merupakan penyebab tersering trombositopenia isolasi pada kehamilan</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Trombositopenia imun (ITP): hitung trombosit &lt;100.000/µL yang menetap atau bermanifestasi sejak awal kehamilan, setelah menyingkirkan penyebab sekunder (preeklamsia/HELLP, infeksi, efek obat)</w:t>
      </w:r>
    </w:p>
    <w:p>
      <w:pPr>
        <w:pStyle w:val="ListParagraph"/>
        <w:numPr>
          <w:ilvl w:val="0"/>
          <w:numId w:val="1"/>
        </w:numPr>
        <w:spacing w:after="100" w:line="300"/>
      </w:pPr>
      <w:r>
        <w:rPr>
          <w:rFonts w:ascii="IBM Plex Sans" w:cs="IBM Plex Sans" w:eastAsia="IBM Plex Sans" w:hAnsi="IBM Plex Sans"/>
          <w:color w:val="334155"/>
          <w:sz w:val="21"/>
          <w:szCs w:val="21"/>
        </w:rPr>
        <w:t xml:space="preserve">Hemoglobinopati (talasemia/penyakit sel sabit): indeks eritrosit mikrositik hipokrom yang tidak sesuai dengan defisiensi besi murni (feritin serum normal/tinggi), dikonfirmasi dengan elektroforesis hemoglobin</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Trombofilia: riwayat tromboemboli vena personal atau keluarga bermakna, dikonfirmasi dengan panel trombofilia bila terindikasi — idealnya pemeriksaan dilakukan sebelum kehamilan atau di luar episode akut karena kehamilan itu sendiri memengaruhi sejumlah parameter koagulasi</w:t>
      </w:r>
    </w:p>
    <w:p>
      <w:pPr>
        <w:pStyle w:val="ListParagraph"/>
        <w:numPr>
          <w:ilvl w:val="0"/>
          <w:numId w:val="1"/>
        </w:numPr>
        <w:spacing w:after="100" w:line="300"/>
      </w:pPr>
      <w:r>
        <w:rPr>
          <w:rFonts w:ascii="IBM Plex Sans" w:cs="IBM Plex Sans" w:eastAsia="IBM Plex Sans" w:hAnsi="IBM Plex Sans"/>
          <w:color w:val="334155"/>
          <w:sz w:val="21"/>
          <w:szCs w:val="21"/>
        </w:rPr>
        <w:t xml:space="preserve">Kelainan perdarahan/koagulasi: riwayat perdarahan abnormal disertai pemeriksaan faktor koagulasi yang abnormal (misalnya kadar faktor von Willebrand rendah)</w:t>
      </w:r>
    </w:p>
    <w:p>
      <w:pPr>
        <w:spacing w:after="160" w:line="300"/>
        <w:jc w:val="both"/>
      </w:pPr>
      <w:r>
        <w:rPr>
          <w:rFonts w:ascii="IBM Plex Sans" w:cs="IBM Plex Sans" w:eastAsia="IBM Plex Sans" w:hAnsi="IBM Plex Sans"/>
          <w:color w:val="334155"/>
          <w:sz w:val="21"/>
          <w:szCs w:val="21"/>
        </w:rPr>
        <w:t xml:space="preserve">Untuk seluruh subtipe, klasifikasi derajat keparahan trombositopenia yang digunakan secara operasional dalam PPK ini adalah: ringan (100.000–150.000/µL), sedang (50.000–&lt;100.000/µL), dan berat (&lt;50.000/µL) — klasifikasi ini menentukan intensitas pemantauan dan ambang rujukan pada bagian Tata Laksana.</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300"/>
        <w:jc w:val="both"/>
      </w:pPr>
      <w:r>
        <w:rPr>
          <w:rFonts w:ascii="IBM Plex Sans" w:cs="IBM Plex Sans" w:eastAsia="IBM Plex Sans" w:hAnsi="IBM Plex Sans"/>
          <w:color w:val="334155"/>
          <w:sz w:val="21"/>
          <w:szCs w:val="21"/>
        </w:rPr>
        <w:t xml:space="preserve">Diagnosis kerja ditetapkan spesifik sesuai subtipe kelainan darah yang telah dikonfirmasi (misalnya "Kehamilan dengan trombositopenia imun" atau "Kehamilan dengan talasemia trait"), dengan kode ICD-10/ICD-11 induk yang sama seperti tercantum pada bagian Kriteria Diagnosis.</w:t>
      </w:r>
    </w:p>
    <w:p>
      <w:pPr>
        <w:spacing w:after="160" w:line="300"/>
        <w:jc w:val="both"/>
      </w:pPr>
      <w:r>
        <w:rPr>
          <w:rFonts w:ascii="IBM Plex Sans" w:cs="IBM Plex Sans" w:eastAsia="IBM Plex Sans" w:hAnsi="IBM Plex Sans"/>
          <w:color w:val="334155"/>
          <w:sz w:val="21"/>
          <w:szCs w:val="21"/>
        </w:rPr>
        <w:t xml:space="preserve">Diagnosis banding yang wajib disingkirkan sebelum kelainan darah primer ditegakkan sebagai diagnosis kerja meliputi:</w:t>
      </w:r>
    </w:p>
    <w:p>
      <w:pPr>
        <w:pStyle w:val="ListParagraph"/>
        <w:numPr>
          <w:ilvl w:val="0"/>
          <w:numId w:val="1"/>
        </w:numPr>
        <w:spacing w:after="100" w:line="300"/>
      </w:pPr>
      <w:r>
        <w:rPr>
          <w:rFonts w:ascii="IBM Plex Sans" w:cs="IBM Plex Sans" w:eastAsia="IBM Plex Sans" w:hAnsi="IBM Plex Sans"/>
          <w:color w:val="334155"/>
          <w:sz w:val="21"/>
          <w:szCs w:val="21"/>
        </w:rPr>
        <w:t xml:space="preserve">Anemia defisiensi besi pada kehamilan (PPK No. 31) — dibedakan melalui status besi (feritin serum) dan respons terhadap suplementasi</w:t>
      </w:r>
    </w:p>
    <w:p>
      <w:pPr>
        <w:pStyle w:val="ListParagraph"/>
        <w:numPr>
          <w:ilvl w:val="0"/>
          <w:numId w:val="1"/>
        </w:numPr>
        <w:spacing w:after="100" w:line="300"/>
      </w:pPr>
      <w:r>
        <w:rPr>
          <w:rFonts w:ascii="IBM Plex Sans" w:cs="IBM Plex Sans" w:eastAsia="IBM Plex Sans" w:hAnsi="IBM Plex Sans"/>
          <w:color w:val="334155"/>
          <w:sz w:val="21"/>
          <w:szCs w:val="21"/>
        </w:rPr>
        <w:t xml:space="preserve">Trombositopenia sekunder akibat preeklamsia dengan sindrom HELLP (hemolysis, elevated liver enzymes, low platelets)</w:t>
      </w:r>
    </w:p>
    <w:p>
      <w:pPr>
        <w:pStyle w:val="ListParagraph"/>
        <w:numPr>
          <w:ilvl w:val="0"/>
          <w:numId w:val="1"/>
        </w:numPr>
        <w:spacing w:after="100" w:line="300"/>
      </w:pPr>
      <w:r>
        <w:rPr>
          <w:rFonts w:ascii="IBM Plex Sans" w:cs="IBM Plex Sans" w:eastAsia="IBM Plex Sans" w:hAnsi="IBM Plex Sans"/>
          <w:color w:val="334155"/>
          <w:sz w:val="21"/>
          <w:szCs w:val="21"/>
        </w:rPr>
        <w:t xml:space="preserve">Koagulasi intravaskular diseminata (disseminated intravascular coagulation/DIC) pada kondisi obstetri akut, misalnya solusio plasenta atau emboli cairan ketuban</w:t>
      </w:r>
    </w:p>
    <w:p>
      <w:pPr>
        <w:pStyle w:val="ListParagraph"/>
        <w:numPr>
          <w:ilvl w:val="0"/>
          <w:numId w:val="1"/>
        </w:numPr>
        <w:spacing w:after="100" w:line="300"/>
      </w:pPr>
      <w:r>
        <w:rPr>
          <w:rFonts w:ascii="IBM Plex Sans" w:cs="IBM Plex Sans" w:eastAsia="IBM Plex Sans" w:hAnsi="IBM Plex Sans"/>
          <w:color w:val="334155"/>
          <w:sz w:val="21"/>
          <w:szCs w:val="21"/>
        </w:rPr>
        <w:t xml:space="preserve">Purpura trombotik trombositopenik (TTP) dan sindrom uremik hemolitik (HUS) — keduanya memerlukan tata laksana kegawatdaruratan berbeda dan tidak boleh disamakan dengan ITP</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spacing w:after="160" w:line="300"/>
        <w:jc w:val="both"/>
      </w:pPr>
      <w:r>
        <w:rPr>
          <w:rFonts w:ascii="IBM Plex Sans" w:cs="IBM Plex Sans" w:eastAsia="IBM Plex Sans" w:hAnsi="IBM Plex Sans"/>
          <w:color w:val="334155"/>
          <w:sz w:val="21"/>
          <w:szCs w:val="21"/>
        </w:rPr>
        <w:t xml:space="preserve">Pemeriksaan penunjang dipilih secara bertahap dan terarah berdasarkan kecurigaan klinis pada anamnesis dan pemeriksaan fisik, guna menghindari pemeriksaan berlebihan yang tidak mengubah tata laksana:</w:t>
      </w:r>
    </w:p>
    <w:p>
      <w:pPr>
        <w:pStyle w:val="ListParagraph"/>
        <w:numPr>
          <w:ilvl w:val="0"/>
          <w:numId w:val="1"/>
        </w:numPr>
        <w:spacing w:after="100" w:line="300"/>
      </w:pPr>
      <w:r>
        <w:rPr>
          <w:rFonts w:ascii="IBM Plex Sans" w:cs="IBM Plex Sans" w:eastAsia="IBM Plex Sans" w:hAnsi="IBM Plex Sans"/>
          <w:color w:val="334155"/>
          <w:sz w:val="21"/>
          <w:szCs w:val="21"/>
        </w:rPr>
        <w:t xml:space="preserve">Darah perifer lengkap (DPL) dengan apusan darah tepi — pemeriksaan lini pertama untuk seluruh kecurigaan kelainan darah</w:t>
      </w:r>
    </w:p>
    <w:p>
      <w:pPr>
        <w:pStyle w:val="ListParagraph"/>
        <w:numPr>
          <w:ilvl w:val="0"/>
          <w:numId w:val="1"/>
        </w:numPr>
        <w:spacing w:after="100" w:line="300"/>
      </w:pPr>
      <w:r>
        <w:rPr>
          <w:rFonts w:ascii="IBM Plex Sans" w:cs="IBM Plex Sans" w:eastAsia="IBM Plex Sans" w:hAnsi="IBM Plex Sans"/>
          <w:color w:val="334155"/>
          <w:sz w:val="21"/>
          <w:szCs w:val="21"/>
        </w:rPr>
        <w:t xml:space="preserve">Elektroforesis hemoglobin bila dicurigai hemoglobinopati berdasarkan indeks eritrosit atau riwayat keluarga/etnis berisiko</w:t>
      </w:r>
    </w:p>
    <w:p>
      <w:pPr>
        <w:pStyle w:val="ListParagraph"/>
        <w:numPr>
          <w:ilvl w:val="0"/>
          <w:numId w:val="1"/>
        </w:numPr>
        <w:spacing w:after="100" w:line="300"/>
      </w:pPr>
      <w:r>
        <w:rPr>
          <w:rFonts w:ascii="IBM Plex Sans" w:cs="IBM Plex Sans" w:eastAsia="IBM Plex Sans" w:hAnsi="IBM Plex Sans"/>
          <w:color w:val="334155"/>
          <w:sz w:val="21"/>
          <w:szCs w:val="21"/>
        </w:rPr>
        <w:t xml:space="preserve">Panel koagulasi: waktu protrombin (PT), waktu tromboplastin parsial teraktivasi (aPTT), dan kadar fibrinogen; pemeriksaan D-dimer hanya bermakna diagnostik terbatas pada kehamilan karena nilai fisiologisnya meningkat progresif — digunakan sebagai bagian penilaian klinis menyeluruh, bukan sebagai penentu tunggal</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Pemeriksaan antibodi antiplatelet pada kecurigaan ITP — nilai diagnostik terbatas (sensitivitas dan spesifisitas rendah), sehingga diagnosis ITP tetap bersifat eksklusi</w:t>
      </w:r>
    </w:p>
    <w:p>
      <w:pPr>
        <w:pStyle w:val="ListParagraph"/>
        <w:numPr>
          <w:ilvl w:val="0"/>
          <w:numId w:val="1"/>
        </w:numPr>
        <w:spacing w:after="100" w:line="300"/>
      </w:pPr>
      <w:r>
        <w:rPr>
          <w:rFonts w:ascii="IBM Plex Sans" w:cs="IBM Plex Sans" w:eastAsia="IBM Plex Sans" w:hAnsi="IBM Plex Sans"/>
          <w:color w:val="334155"/>
          <w:sz w:val="21"/>
          <w:szCs w:val="21"/>
        </w:rPr>
        <w:t xml:space="preserve">Panel trombofilia (Faktor V Leiden, mutasi gen protrombin G20210A, aktivitas protein C, protein S, antitrombin III, antibodi antifosfolipid) hanya bila terindikasi kuat oleh riwayat personal/keluarga — skrining rutin pada seluruh populasi hamil tidak direkomendasikan</w:t>
      </w:r>
    </w:p>
    <w:p>
      <w:pPr>
        <w:pStyle w:val="ListParagraph"/>
        <w:numPr>
          <w:ilvl w:val="0"/>
          <w:numId w:val="1"/>
        </w:numPr>
        <w:spacing w:after="100" w:line="300"/>
      </w:pPr>
      <w:r>
        <w:rPr>
          <w:rFonts w:ascii="IBM Plex Sans" w:cs="IBM Plex Sans" w:eastAsia="IBM Plex Sans" w:hAnsi="IBM Plex Sans"/>
          <w:color w:val="334155"/>
          <w:sz w:val="21"/>
          <w:szCs w:val="21"/>
        </w:rPr>
        <w:t xml:space="preserve">Ultrasonografi obstetri serial untuk evaluasi pertumbuhan janin, terutama pada hemoglobinopati mayor dan trombofilia dengan riwayat komplikasi plasenta</w:t>
      </w:r>
    </w:p>
    <w:p>
      <w:pPr>
        <w:pStyle w:val="ListParagraph"/>
        <w:numPr>
          <w:ilvl w:val="0"/>
          <w:numId w:val="1"/>
        </w:numPr>
        <w:spacing w:after="100" w:line="300"/>
      </w:pPr>
      <w:r>
        <w:rPr>
          <w:rFonts w:ascii="IBM Plex Sans" w:cs="IBM Plex Sans" w:eastAsia="IBM Plex Sans" w:hAnsi="IBM Plex Sans"/>
          <w:color w:val="334155"/>
          <w:sz w:val="21"/>
          <w:szCs w:val="21"/>
        </w:rPr>
        <w:t xml:space="preserve">Skrining genetik pasangan bila riwayat keluarga talasemia positif atau hasil skrining ibu mengarah pada status karier, untuk konseling risiko talasemia mayor pada janin</w:t>
      </w:r>
    </w:p>
    <w:p>
      <w:pPr>
        <w:pStyle w:val="ListParagraph"/>
        <w:numPr>
          <w:ilvl w:val="0"/>
          <w:numId w:val="1"/>
        </w:numPr>
        <w:spacing w:after="100" w:line="300"/>
      </w:pPr>
      <w:r>
        <w:rPr>
          <w:rFonts w:ascii="IBM Plex Sans" w:cs="IBM Plex Sans" w:eastAsia="IBM Plex Sans" w:hAnsi="IBM Plex Sans"/>
          <w:color w:val="334155"/>
          <w:sz w:val="21"/>
          <w:szCs w:val="21"/>
        </w:rPr>
        <w:t xml:space="preserve">Konsultasi hematologi untuk konfirmasi diagnosis dan perencanaan tata laksana bersama, khususnya pada kasus yang tidak sesuai pola trombositopenia gestasional atau memerlukan terapi lini kedua</w:t>
      </w:r>
    </w:p>
    <w:p>
      <w:pPr>
        <w:pStyle w:val="Heading1"/>
        <w:spacing w:after="160" w:before="320"/>
      </w:pPr>
      <w:r>
        <w:rPr>
          <w:rFonts w:ascii="Source Serif 4" w:cs="Source Serif 4" w:eastAsia="Source Serif 4" w:hAnsi="Source Serif 4"/>
          <w:b/>
          <w:bCs/>
          <w:color w:val="4F46E5"/>
          <w:sz w:val="30"/>
          <w:szCs w:val="30"/>
        </w:rPr>
        <w:t xml:space="preserve">7. Tata Laksana</w:t>
      </w:r>
    </w:p>
    <w:p>
      <w:pPr>
        <w:spacing w:after="160" w:line="300"/>
        <w:jc w:val="both"/>
      </w:pPr>
      <w:r>
        <w:rPr>
          <w:rFonts w:ascii="IBM Plex Sans" w:cs="IBM Plex Sans" w:eastAsia="IBM Plex Sans" w:hAnsi="IBM Plex Sans"/>
          <w:color w:val="334155"/>
          <w:sz w:val="21"/>
          <w:szCs w:val="21"/>
        </w:rPr>
        <w:t xml:space="preserve">Tata laksana bersifat individual sesuai subtipe kelainan darah, derajat keparahan, dan usia kehamilan, dilaksanakan secara kolaboratif oleh spesialis Obstetri dan Ginekologi bersama hematologi serta subspesialis Fetomaternal bila diperlukan.</w:t>
      </w:r>
    </w:p>
    <w:p>
      <w:pPr>
        <w:pStyle w:val="Heading2"/>
        <w:spacing w:after="160" w:before="3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line="300"/>
      </w:pPr>
      <w:r>
        <w:rPr>
          <w:rFonts w:ascii="IBM Plex Sans" w:cs="IBM Plex Sans" w:eastAsia="IBM Plex Sans" w:hAnsi="IBM Plex Sans"/>
          <w:color w:val="334155"/>
          <w:sz w:val="21"/>
          <w:szCs w:val="21"/>
        </w:rPr>
        <w:t xml:space="preserve">Edukasi nutrisi dan pemantauan berkala sesuai subtipe kelainan darah</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Pemantauan hitung trombosit dan parameter hematologik berkala pada trombositopenia, dengan frekuensi disesuaikan derajat keparahan (klasifikasi ringan/sedang/berat pada bagian Kriteria Diagnosis)</w:t>
      </w:r>
    </w:p>
    <w:p>
      <w:pPr>
        <w:pStyle w:val="ListParagraph"/>
        <w:numPr>
          <w:ilvl w:val="0"/>
          <w:numId w:val="1"/>
        </w:numPr>
        <w:spacing w:after="100" w:line="300"/>
      </w:pPr>
      <w:r>
        <w:rPr>
          <w:rFonts w:ascii="IBM Plex Sans" w:cs="IBM Plex Sans" w:eastAsia="IBM Plex Sans" w:hAnsi="IBM Plex Sans"/>
          <w:color w:val="334155"/>
          <w:sz w:val="21"/>
          <w:szCs w:val="21"/>
        </w:rPr>
        <w:t xml:space="preserve">Modifikasi aktivitas untuk menghindari trauma pada trombositopenia berat (hitung trombosit &lt;30.000/µL)</w:t>
      </w:r>
    </w:p>
    <w:p>
      <w:pPr>
        <w:pStyle w:val="ListParagraph"/>
        <w:numPr>
          <w:ilvl w:val="0"/>
          <w:numId w:val="1"/>
        </w:numPr>
        <w:spacing w:after="100" w:line="300"/>
      </w:pPr>
      <w:r>
        <w:rPr>
          <w:rFonts w:ascii="IBM Plex Sans" w:cs="IBM Plex Sans" w:eastAsia="IBM Plex Sans" w:hAnsi="IBM Plex Sans"/>
          <w:color w:val="334155"/>
          <w:sz w:val="21"/>
          <w:szCs w:val="21"/>
        </w:rPr>
        <w:t xml:space="preserve">Kompresi pneumatik intermiten atau stoking kompresi pada pasien dengan risiko tromboemboli vena yang meningkat namun belum memenuhi indikasi profilaksis farmakologis penuh</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Perencanaan persalinan multidisiplin yang mempertimbangkan jalur persalinan, waktu penghentian sementara antikoagulan bila digunakan, dan kesiapan produk darah</w:t>
      </w:r>
    </w:p>
    <w:p>
      <w:pPr>
        <w:pStyle w:val="Heading2"/>
        <w:spacing w:after="160" w:before="320"/>
      </w:pPr>
      <w:r>
        <w:rPr>
          <w:rFonts w:ascii="Source Serif 4" w:cs="Source Serif 4" w:eastAsia="Source Serif 4" w:hAnsi="Source Serif 4"/>
          <w:b/>
          <w:bCs/>
          <w:color w:val="B45309"/>
          <w:sz w:val="24"/>
          <w:szCs w:val="24"/>
        </w:rPr>
        <w:t xml:space="preserve">7.2 Tata Laksana Farmakologis</w:t>
      </w:r>
    </w:p>
    <w:p>
      <w:pPr>
        <w:spacing w:after="160" w:line="300"/>
        <w:jc w:val="both"/>
      </w:pPr>
      <w:r>
        <w:rPr>
          <w:rFonts w:ascii="IBM Plex Sans" w:cs="IBM Plex Sans" w:eastAsia="IBM Plex Sans" w:hAnsi="IBM Plex Sans"/>
          <w:color w:val="334155"/>
          <w:sz w:val="21"/>
          <w:szCs w:val="21"/>
        </w:rPr>
        <w:t xml:space="preserve">Prinsip umum farmakoterapi mengikuti kerangka evidens ACOG Practice Bulletin No. 207 (2019) untuk trombositopenia dan RCOG Green-top Guideline No. 37a (2015) untuk profilaksis tromboemboli vena, dengan penyesuaian terhadap ketersediaan sumber daya lokal:</w:t>
      </w:r>
    </w:p>
    <w:p>
      <w:pPr>
        <w:pStyle w:val="ListParagraph"/>
        <w:numPr>
          <w:ilvl w:val="0"/>
          <w:numId w:val="1"/>
        </w:numPr>
        <w:spacing w:after="100" w:line="300"/>
      </w:pPr>
      <w:r>
        <w:rPr>
          <w:rFonts w:ascii="IBM Plex Sans" w:cs="IBM Plex Sans" w:eastAsia="IBM Plex Sans" w:hAnsi="IBM Plex Sans"/>
          <w:color w:val="334155"/>
          <w:sz w:val="21"/>
          <w:szCs w:val="21"/>
        </w:rPr>
        <w:t xml:space="preserve">Kortikosteroid lini pertama (prednison dosis rendah-sedang) atau imunoglobulin intravena (IVIG) untuk ITP simtomatik, hitung trombosit &lt;30.000/µL, atau trombosit yang mengancam keselamatan persalinan (target praktis ≥50.000/µL menjelang persalinan pervaginam dan ≥80.000/µL untuk anestesi neuraksial, sesuai kebijakan tim anestesi setempat)</w:t>
      </w:r>
    </w:p>
    <w:p>
      <w:pPr>
        <w:pStyle w:val="ListParagraph"/>
        <w:numPr>
          <w:ilvl w:val="0"/>
          <w:numId w:val="1"/>
        </w:numPr>
        <w:spacing w:after="100" w:line="300"/>
      </w:pPr>
      <w:r>
        <w:rPr>
          <w:rFonts w:ascii="IBM Plex Sans" w:cs="IBM Plex Sans" w:eastAsia="IBM Plex Sans" w:hAnsi="IBM Plex Sans"/>
          <w:color w:val="334155"/>
          <w:sz w:val="21"/>
          <w:szCs w:val="21"/>
        </w:rPr>
        <w:t xml:space="preserve">Transfusi sel darah merah pekat (PRC) pada anemia berat akibat hemoglobinopati, disesuaikan ambang klinis, gejala, dan riwayat program transfusi rutin pada talasemia mayor</w:t>
      </w:r>
    </w:p>
    <w:p>
      <w:pPr>
        <w:pStyle w:val="ListParagraph"/>
        <w:numPr>
          <w:ilvl w:val="0"/>
          <w:numId w:val="1"/>
        </w:numPr>
        <w:spacing w:after="100" w:line="300"/>
      </w:pPr>
      <w:r>
        <w:rPr>
          <w:rFonts w:ascii="IBM Plex Sans" w:cs="IBM Plex Sans" w:eastAsia="IBM Plex Sans" w:hAnsi="IBM Plex Sans"/>
          <w:color w:val="334155"/>
          <w:sz w:val="21"/>
          <w:szCs w:val="21"/>
        </w:rPr>
        <w:t xml:space="preserve">Profilaksis atau terapi antikoagulan menggunakan heparin berat molekul rendah (low molecular weight heparin/LMWH) pada trombofilia dengan riwayat tromboemboli vena bermakna — LMWH dipilih karena tidak menembus plasenta dan profil keamanannya lebih baik dibanding heparin tak terfraksi maupun warfarin pada kehamilan; warfarin dihindari karena bersifat teratogenik</w:t>
      </w:r>
    </w:p>
    <w:p>
      <w:pPr>
        <w:pStyle w:val="ListParagraph"/>
        <w:numPr>
          <w:ilvl w:val="0"/>
          <w:numId w:val="1"/>
        </w:numPr>
        <w:spacing w:after="100" w:line="300"/>
      </w:pPr>
      <w:r>
        <w:rPr>
          <w:rFonts w:ascii="IBM Plex Sans" w:cs="IBM Plex Sans" w:eastAsia="IBM Plex Sans" w:hAnsi="IBM Plex Sans"/>
          <w:color w:val="334155"/>
          <w:sz w:val="21"/>
          <w:szCs w:val="21"/>
        </w:rPr>
        <w:t xml:space="preserve">Asam folat dosis tinggi pada pasien hemoglobinopati untuk mendukung eritropoiesis yang meningkat</w:t>
      </w:r>
    </w:p>
    <w:p>
      <w:pPr>
        <w:pStyle w:val="ListParagraph"/>
        <w:numPr>
          <w:ilvl w:val="0"/>
          <w:numId w:val="1"/>
        </w:numPr>
        <w:spacing w:after="100" w:line="300"/>
      </w:pPr>
      <w:r>
        <w:rPr>
          <w:rFonts w:ascii="IBM Plex Sans" w:cs="IBM Plex Sans" w:eastAsia="IBM Plex Sans" w:hAnsi="IBM Plex Sans"/>
          <w:color w:val="334155"/>
          <w:sz w:val="21"/>
          <w:szCs w:val="21"/>
        </w:rPr>
        <w:t xml:space="preserve">Penyesuaian dosis dan jenis terapi bersama tim hematologi pada kasus limfoma/lekemia yang terdiagnosis selama kehamilan, mempertimbangkan keamanan janin sesuai usia kehamilan</w:t>
      </w:r>
    </w:p>
    <w:p>
      <w:pPr>
        <w:spacing w:after="160" w:line="300"/>
        <w:jc w:val="both"/>
      </w:pPr>
      <w:r>
        <w:rPr>
          <w:rFonts w:ascii="IBM Plex Sans" w:cs="IBM Plex Sans" w:eastAsia="IBM Plex Sans" w:hAnsi="IBM Plex Sans"/>
          <w:color w:val="334155"/>
          <w:sz w:val="21"/>
          <w:szCs w:val="21"/>
        </w:rPr>
        <w:t xml:space="preserve">Perlu dicatat bahwa tinjauan sistematis Cochrane (Middleton dkk., 2021) terhadap profilaksis tromboemboli vena pada kehamilan dan periode pascasalin dini menyimpulkan bukti uji klinis acak yang tersedia masih terbatas untuk menetapkan rekomendasi definitif mengenai populasi, dosis, dan durasi optimal LMWH profilaksis. Rekomendasi penggunaan LMWH pada kelompok berisiko tinggi (riwayat tromboemboli vena bermakna, trombofilia bermakna) yang dianut ACOG dan RCOG karena itu bersifat konsensus ahli berbasis bukti tidak langsung dan profil keamanan LMWH, bukan bukti kelas I langsung dari uji acak besar pada populasi ini — hal ini tercermin pada tingkat evidens di bagian 10.</w:t>
      </w:r>
    </w:p>
    <w:p>
      <w:pPr>
        <w:pStyle w:val="Heading2"/>
        <w:spacing w:after="160" w:before="320"/>
      </w:pPr>
      <w:r>
        <w:rPr>
          <w:rFonts w:ascii="Source Serif 4" w:cs="Source Serif 4" w:eastAsia="Source Serif 4" w:hAnsi="Source Serif 4"/>
          <w:b/>
          <w:bCs/>
          <w:color w:val="B45309"/>
          <w:sz w:val="24"/>
          <w:szCs w:val="24"/>
        </w:rPr>
        <w:t xml:space="preserve">7.3 Tata Laksana Bedah/Prosedural (bila relevan)</w:t>
      </w:r>
    </w:p>
    <w:p>
      <w:pPr>
        <w:pStyle w:val="ListParagraph"/>
        <w:numPr>
          <w:ilvl w:val="0"/>
          <w:numId w:val="1"/>
        </w:numPr>
        <w:spacing w:after="100" w:line="300"/>
      </w:pPr>
      <w:r>
        <w:rPr>
          <w:rFonts w:ascii="IBM Plex Sans" w:cs="IBM Plex Sans" w:eastAsia="IBM Plex Sans" w:hAnsi="IBM Plex Sans"/>
          <w:color w:val="334155"/>
          <w:sz w:val="21"/>
          <w:szCs w:val="21"/>
        </w:rPr>
        <w:t xml:space="preserve">Transfusi tukar (exchange transfusion) pada krisis vaso-oklusif berat penyakit sel sabit yang tidak responsif terhadap tata laksana konservatif, atau pada sindrom dada akut</w:t>
      </w:r>
    </w:p>
    <w:p>
      <w:pPr>
        <w:pStyle w:val="ListParagraph"/>
        <w:numPr>
          <w:ilvl w:val="0"/>
          <w:numId w:val="1"/>
        </w:numPr>
        <w:spacing w:after="100" w:line="300"/>
      </w:pPr>
      <w:r>
        <w:rPr>
          <w:rFonts w:ascii="IBM Plex Sans" w:cs="IBM Plex Sans" w:eastAsia="IBM Plex Sans" w:hAnsi="IBM Plex Sans"/>
          <w:color w:val="334155"/>
          <w:sz w:val="21"/>
          <w:szCs w:val="21"/>
        </w:rPr>
        <w:t xml:space="preserve">Splenektomi hanya dipertimbangkan pada ITP refrakter terhadap terapi lini pertama dan kedua, dengan risiko-manfaat dipertimbangkan ketat mengingat kehamilan — idealnya ditunda hingga trimester kedua bila benar-benar diperlukan</w:t>
      </w:r>
    </w:p>
    <w:p>
      <w:pPr>
        <w:pStyle w:val="ListParagraph"/>
        <w:numPr>
          <w:ilvl w:val="0"/>
          <w:numId w:val="1"/>
        </w:numPr>
        <w:spacing w:after="100" w:line="300"/>
      </w:pPr>
      <w:r>
        <w:rPr>
          <w:rFonts w:ascii="IBM Plex Sans" w:cs="IBM Plex Sans" w:eastAsia="IBM Plex Sans" w:hAnsi="IBM Plex Sans"/>
          <w:color w:val="334155"/>
          <w:sz w:val="21"/>
          <w:szCs w:val="21"/>
        </w:rPr>
        <w:t xml:space="preserve">Pemasangan akses vena sentral pada kasus yang memerlukan transfusi berulang atau kemoterapi</w:t>
      </w:r>
    </w:p>
    <w:p>
      <w:pPr>
        <w:pStyle w:val="Heading2"/>
        <w:spacing w:after="160" w:before="320"/>
      </w:pPr>
      <w:r>
        <w:rPr>
          <w:rFonts w:ascii="Source Serif 4" w:cs="Source Serif 4" w:eastAsia="Source Serif 4" w:hAnsi="Source Serif 4"/>
          <w:b/>
          <w:bCs/>
          <w:color w:val="B45309"/>
          <w:sz w:val="24"/>
          <w:szCs w:val="24"/>
        </w:rPr>
        <w:t xml:space="preserve">7.4 Kriteria Rujukan ke Subspesialis Fetomaternal</w:t>
      </w:r>
    </w:p>
    <w:p>
      <w:pPr>
        <w:spacing w:after="160" w:line="300"/>
        <w:jc w:val="both"/>
      </w:pPr>
      <w:r>
        <w:rPr>
          <w:rFonts w:ascii="IBM Plex Sans" w:cs="IBM Plex Sans" w:eastAsia="IBM Plex Sans" w:hAnsi="IBM Plex Sans"/>
          <w:color w:val="334155"/>
          <w:sz w:val="21"/>
          <w:szCs w:val="21"/>
        </w:rPr>
        <w:t xml:space="preserve">Sesuai pemetaan kompetensi pada Tabel 8 No. 12 Kepkonsil No. HK.01.02/KKI/1318/2026 (Spektrum Penyakit dan Kondisi Klinis yang Ditangani Spesialis/Subspesialis Kedokteran Fetomaternal — kategori Penyakit Hematologik), rujukan ke subspesialis Fetomaternal dipertimbangkan pada kondisi berikut:</w:t>
      </w: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tcW w:type="pct" w:w="100%"/>
            <w:shd w:fill="FFFBEB" w:val="clear"/>
            <w:tcMar>
              <w:top w:type="dxa" w:w="150"/>
              <w:left w:type="dxa" w:w="200"/>
              <w:bottom w:type="dxa" w:w="15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Lampiran, Tabel 8 No. 12; kriteria rujukan mengacu pada batasan kewenangan spesialis vs subspesialis pada entri "Penyakit hematologik" tabel tersebut.</w:t>
            </w:r>
          </w:p>
        </w:tc>
      </w:tr>
    </w:tbl>
    <w:p>
      <w:pPr>
        <w:spacing w:after="160"/>
      </w:pPr>
    </w:p>
    <w:p>
      <w:pPr>
        <w:pStyle w:val="ListParagraph"/>
        <w:numPr>
          <w:ilvl w:val="0"/>
          <w:numId w:val="1"/>
        </w:numPr>
        <w:spacing w:after="100" w:line="300"/>
      </w:pPr>
      <w:r>
        <w:rPr>
          <w:rFonts w:ascii="IBM Plex Sans" w:cs="IBM Plex Sans" w:eastAsia="IBM Plex Sans" w:hAnsi="IBM Plex Sans"/>
          <w:color w:val="334155"/>
          <w:sz w:val="21"/>
          <w:szCs w:val="21"/>
        </w:rPr>
        <w:t xml:space="preserve">Hitung trombosit &lt;50.000/µL atau trombositopenia refrakter terhadap terapi lini pertama</w:t>
      </w:r>
    </w:p>
    <w:p>
      <w:pPr>
        <w:pStyle w:val="ListParagraph"/>
        <w:numPr>
          <w:ilvl w:val="0"/>
          <w:numId w:val="1"/>
        </w:numPr>
        <w:spacing w:after="100" w:line="300"/>
      </w:pPr>
      <w:r>
        <w:rPr>
          <w:rFonts w:ascii="IBM Plex Sans" w:cs="IBM Plex Sans" w:eastAsia="IBM Plex Sans" w:hAnsi="IBM Plex Sans"/>
          <w:color w:val="334155"/>
          <w:sz w:val="21"/>
          <w:szCs w:val="21"/>
        </w:rPr>
        <w:t xml:space="preserve">Riwayat tromboemboli vena bermakna atau trombofilia dengan komplikasi obstetri berulang</w:t>
      </w:r>
    </w:p>
    <w:p>
      <w:pPr>
        <w:pStyle w:val="ListParagraph"/>
        <w:numPr>
          <w:ilvl w:val="0"/>
          <w:numId w:val="1"/>
        </w:numPr>
        <w:spacing w:after="100" w:line="300"/>
      </w:pPr>
      <w:r>
        <w:rPr>
          <w:rFonts w:ascii="IBM Plex Sans" w:cs="IBM Plex Sans" w:eastAsia="IBM Plex Sans" w:hAnsi="IBM Plex Sans"/>
          <w:color w:val="334155"/>
          <w:sz w:val="21"/>
          <w:szCs w:val="21"/>
        </w:rPr>
        <w:t xml:space="preserve">Hemoglobinopati mayor (talasemia mayor/intermedia, penyakit sel sabit) yang memerlukan pemantauan janin intensif</w:t>
      </w:r>
    </w:p>
    <w:p>
      <w:pPr>
        <w:pStyle w:val="ListParagraph"/>
        <w:numPr>
          <w:ilvl w:val="0"/>
          <w:numId w:val="1"/>
        </w:numPr>
        <w:spacing w:after="100" w:line="300"/>
      </w:pPr>
      <w:r>
        <w:rPr>
          <w:rFonts w:ascii="IBM Plex Sans" w:cs="IBM Plex Sans" w:eastAsia="IBM Plex Sans" w:hAnsi="IBM Plex Sans"/>
          <w:color w:val="334155"/>
          <w:sz w:val="21"/>
          <w:szCs w:val="21"/>
        </w:rPr>
        <w:t xml:space="preserve">Kecurigaan atau konfirmasi keganasan hematologik (limfoma/lekemia) selama kehamilan</w:t>
      </w:r>
    </w:p>
    <w:p>
      <w:pPr>
        <w:pStyle w:val="ListParagraph"/>
        <w:numPr>
          <w:ilvl w:val="0"/>
          <w:numId w:val="1"/>
        </w:numPr>
        <w:spacing w:after="100" w:line="300"/>
      </w:pPr>
      <w:r>
        <w:rPr>
          <w:rFonts w:ascii="IBM Plex Sans" w:cs="IBM Plex Sans" w:eastAsia="IBM Plex Sans" w:hAnsi="IBM Plex Sans"/>
          <w:color w:val="334155"/>
          <w:sz w:val="21"/>
          <w:szCs w:val="21"/>
        </w:rPr>
        <w:t xml:space="preserve">Respons buruk terhadap tata laksana lini pertama atau komplikasi maternal-fetal yang berkembang</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300"/>
      </w:pPr>
      <w:r>
        <w:rPr>
          <w:rFonts w:ascii="IBM Plex Sans" w:cs="IBM Plex Sans" w:eastAsia="IBM Plex Sans" w:hAnsi="IBM Plex Sans"/>
          <w:color w:val="334155"/>
          <w:sz w:val="21"/>
          <w:szCs w:val="21"/>
        </w:rPr>
        <w:t xml:space="preserve">Penjelasan mengenai jenis kelainan darah yang dialami, dampaknya terhadap kehamilan, dan rencana pemantauan, disampaikan dengan bahasa yang mudah dipahami</w:t>
      </w:r>
    </w:p>
    <w:p>
      <w:pPr>
        <w:pStyle w:val="ListParagraph"/>
        <w:numPr>
          <w:ilvl w:val="0"/>
          <w:numId w:val="1"/>
        </w:numPr>
        <w:spacing w:after="100" w:line="300"/>
      </w:pPr>
      <w:r>
        <w:rPr>
          <w:rFonts w:ascii="IBM Plex Sans" w:cs="IBM Plex Sans" w:eastAsia="IBM Plex Sans" w:hAnsi="IBM Plex Sans"/>
          <w:color w:val="334155"/>
          <w:sz w:val="21"/>
          <w:szCs w:val="21"/>
        </w:rPr>
        <w:t xml:space="preserve">Pentingnya kepatuhan terhadap jadwal kontrol antenatal dan pemeriksaan laboratorium berkala</w:t>
      </w:r>
    </w:p>
    <w:p>
      <w:pPr>
        <w:pStyle w:val="ListParagraph"/>
        <w:numPr>
          <w:ilvl w:val="0"/>
          <w:numId w:val="1"/>
        </w:numPr>
        <w:spacing w:after="100" w:line="300"/>
      </w:pPr>
      <w:r>
        <w:rPr>
          <w:rFonts w:ascii="IBM Plex Sans" w:cs="IBM Plex Sans" w:eastAsia="IBM Plex Sans" w:hAnsi="IBM Plex Sans"/>
          <w:color w:val="334155"/>
          <w:sz w:val="21"/>
          <w:szCs w:val="21"/>
        </w:rPr>
        <w:t xml:space="preserve">Pengenalan tanda bahaya yang memerlukan evaluasi segera: perdarahan tidak biasa, sesak napas mendadak, nyeri dan bengkak tungkai, nyeri hebat mendadak (pada penyakit sel sabit), atau penurunan gerak janin</w:t>
      </w:r>
    </w:p>
    <w:p>
      <w:pPr>
        <w:pStyle w:val="ListParagraph"/>
        <w:numPr>
          <w:ilvl w:val="0"/>
          <w:numId w:val="1"/>
        </w:numPr>
        <w:spacing w:after="100" w:line="300"/>
      </w:pPr>
      <w:r>
        <w:rPr>
          <w:rFonts w:ascii="IBM Plex Sans" w:cs="IBM Plex Sans" w:eastAsia="IBM Plex Sans" w:hAnsi="IBM Plex Sans"/>
          <w:color w:val="334155"/>
          <w:sz w:val="21"/>
          <w:szCs w:val="21"/>
        </w:rPr>
        <w:t xml:space="preserve">Konseling genetik pada pasangan dengan risiko talasemia atau kelainan darah herediter lain, khususnya untuk perencanaan kehamilan berikutnya</w:t>
      </w:r>
    </w:p>
    <w:p>
      <w:pPr>
        <w:pStyle w:val="ListParagraph"/>
        <w:numPr>
          <w:ilvl w:val="0"/>
          <w:numId w:val="1"/>
        </w:numPr>
        <w:spacing w:after="100" w:line="300"/>
      </w:pPr>
      <w:r>
        <w:rPr>
          <w:rFonts w:ascii="IBM Plex Sans" w:cs="IBM Plex Sans" w:eastAsia="IBM Plex Sans" w:hAnsi="IBM Plex Sans"/>
          <w:color w:val="334155"/>
          <w:sz w:val="21"/>
          <w:szCs w:val="21"/>
        </w:rPr>
        <w:t xml:space="preserve">Edukasi mengenai kepatuhan terapi, termasuk teknik penyuntikan LMWH mandiri bila tata laksana farmakologis jangka panjang diperlukan</w:t>
      </w:r>
    </w:p>
    <w:p>
      <w:pPr>
        <w:pStyle w:val="ListParagraph"/>
        <w:numPr>
          <w:ilvl w:val="0"/>
          <w:numId w:val="1"/>
        </w:numPr>
        <w:spacing w:after="100" w:line="300"/>
      </w:pPr>
      <w:r>
        <w:rPr>
          <w:rFonts w:ascii="IBM Plex Sans" w:cs="IBM Plex Sans" w:eastAsia="IBM Plex Sans" w:hAnsi="IBM Plex Sans"/>
          <w:color w:val="334155"/>
          <w:sz w:val="21"/>
          <w:szCs w:val="21"/>
        </w:rPr>
        <w:t xml:space="preserve">Informasi mengenai rencana persalinan dan pertimbangan anestesi, khususnya batas aman hitung trombosit untuk anestesi neuraksial, agar pasien dapat berpartisipasi dalam pengambilan keputusan bersama</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line="300"/>
        <w:jc w:val="both"/>
      </w:pPr>
      <w:r>
        <w:rPr>
          <w:rFonts w:ascii="IBM Plex Sans" w:cs="IBM Plex Sans" w:eastAsia="IBM Plex Sans" w:hAnsi="IBM Plex Sans"/>
          <w:color w:val="334155"/>
          <w:sz w:val="21"/>
          <w:szCs w:val="21"/>
        </w:rPr>
        <w:t xml:space="preserve">Prognosis bervariasi bergantung pada subtipe dan derajat keparahan kelainan darah. Pada trombositopenia gestasional, prognosis maternal dan janin sangat baik dan kondisi ini bersifat swasirna pascasalin. Pada trombofilia dengan tata laksana profilaksis adekuat, prognosis umumnya baik dengan penurunan bermakna risiko rekurensi tromboemboli vena.</w:t>
      </w:r>
    </w:p>
    <w:p>
      <w:pPr>
        <w:spacing w:after="160" w:line="300"/>
        <w:jc w:val="both"/>
      </w:pPr>
      <w:r>
        <w:rPr>
          <w:rFonts w:ascii="IBM Plex Sans" w:cs="IBM Plex Sans" w:eastAsia="IBM Plex Sans" w:hAnsi="IBM Plex Sans"/>
          <w:color w:val="334155"/>
          <w:sz w:val="21"/>
          <w:szCs w:val="21"/>
        </w:rPr>
        <w:t xml:space="preserve">Pada hemoglobinopati mayor, keganasan hematologik, atau ITP berat yang refrakter, risiko komplikasi maternal (perdarahan peripartum, tromboemboli, krisis vaso-oklusif) dan janin (restriksi pertumbuhan, anemia janin, prematuritas) meningkat, sehingga memerlukan pemantauan multidisiplin ketat sepanjang kehamilan hingga periode pascasalin. Konseling prakonsepsi dan perencanaan kehamilan pada kelompok risiko tinggi ini terbukti memperbaiki luaran dibandingkan penanganan reaktif setelah kehamilan berlangsung.</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Aspek Tata Laksana</w:t>
            </w:r>
          </w:p>
        </w:tc>
        <w:tc>
          <w:tcPr>
            <w:tcW w:type="dxa" w:w="2256"/>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Tingkat Evidens</w:t>
            </w:r>
          </w:p>
        </w:tc>
        <w:tc>
          <w:tcPr>
            <w:tcW w:type="dxa" w:w="2256"/>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Rekomendasi</w:t>
            </w:r>
          </w:p>
        </w:tc>
        <w:tc>
          <w:tcPr>
            <w:tcW w:type="dxa" w:w="2256"/>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Sumber</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LMWH sebagai antikoagulan pilihan pada trombofilia bermakna</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II-2, konsensus ahli</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Kuat (bersyarat)</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ACOG PB No. 207 (2019); RCOG GTG 37a (2015); Cochrane (Middleton 2021)</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IVIG/kortikosteroid lini pertama untuk ITP simtomatik pada kehamilan</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II-3, konsensus ahli</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Sedang–Kuat</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ACOG PB No. 207 (2019)</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Elektroforesis Hb sebagai konfirmasi hemoglobinopati</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II-2</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Kuat</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BSH Guideline (2021)</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Pemantauan pertumbuhan janin serial pada hemoglobinopati/kondisi berisiko plasenta</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II-2</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Sedang</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ISUOG Practice Guidelines (2020)</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Darah perifer lengkap sebagai metode diagnosis anemia dalam kehamilan (bukan hanya kadar Hb)</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Kuat</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WHO ANC Recommendations (2016), Rekomendasi B.1.1</w:t>
            </w:r>
          </w:p>
        </w:tc>
      </w:tr>
      <w:tr>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Warfarin dihindari selama kehamilan karena risiko teratogenik</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II-3</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Kuat</w:t>
            </w:r>
          </w:p>
        </w:tc>
        <w:tc>
          <w:tcPr>
            <w:tcW w:type="dxa" w:w="2256"/>
            <w:tcMar>
              <w:top w:type="dxa" w:w="80"/>
              <w:left w:type="dxa" w:w="100"/>
              <w:bottom w:type="dxa" w:w="80"/>
              <w:right w:type="dxa" w:w="100"/>
            </w:tcMar>
          </w:tcPr>
          <w:p>
            <w:r>
              <w:rPr>
                <w:rFonts w:ascii="IBM Plex Sans" w:cs="IBM Plex Sans" w:eastAsia="IBM Plex Sans" w:hAnsi="IBM Plex Sans"/>
                <w:color w:val="334155"/>
                <w:sz w:val="18"/>
                <w:szCs w:val="18"/>
              </w:rPr>
              <w:t xml:space="preserve">ACOG PB No. 207 (2019); RCOG GTG 37a (2015)</w:t>
            </w:r>
          </w:p>
        </w:tc>
      </w:tr>
    </w:tbl>
    <w:p>
      <w:pPr>
        <w:spacing w:after="160"/>
      </w:pPr>
    </w:p>
    <w:p>
      <w:pPr>
        <w:spacing w:after="160" w:line="300"/>
        <w:jc w:val="both"/>
      </w:pPr>
      <w:r>
        <w:rPr>
          <w:rFonts w:ascii="IBM Plex Sans" w:cs="IBM Plex Sans" w:eastAsia="IBM Plex Sans" w:hAnsi="IBM Plex Sans"/>
          <w:color w:val="334155"/>
          <w:sz w:val="21"/>
          <w:szCs w:val="21"/>
        </w:rPr>
        <w:t xml:space="preserve">Skala tingkat evidens mengikuti gradasi standar U.S. Preventive Services Task Force yang diadopsi ACOG (I: uji klinis acak terkontrol; II-1: uji terkontrol tanpa randomisasi; II-2: studi kohort/kasus-kontrol; II-3: seri kasus atau hasil dramatis pada studi tanpa kontrol; III: opini ahli), dengan derajat rekomendasi disesuaikan bobot bukti yang tersedia untuk setiap aspek tata laksana.</w:t>
      </w:r>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Persentase pasien dengan skrining darah perifer lengkap dan riwayat keluarga hematologik yang terdokumentasi lengkap pada kunjungan antenatal pertama</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Persentase kasus trombositopenia berat (hitung trombosit &lt;50.000/µL) yang dirujuk tepat waktu ke subspesialis Fetomaternal</w:t>
      </w:r>
    </w:p>
    <w:p>
      <w:pPr>
        <w:pStyle w:val="ListParagraph"/>
        <w:numPr>
          <w:ilvl w:val="0"/>
          <w:numId w:val="1"/>
        </w:numPr>
        <w:spacing w:after="100" w:line="300"/>
      </w:pPr>
      <w:r>
        <w:rPr>
          <w:rFonts w:ascii="IBM Plex Sans" w:cs="IBM Plex Sans" w:eastAsia="IBM Plex Sans" w:hAnsi="IBM Plex Sans"/>
          <w:color w:val="334155"/>
          <w:sz w:val="21"/>
          <w:szCs w:val="21"/>
        </w:rPr>
        <w:t xml:space="preserve">Insidensi komplikasi perdarahan peripartum pada kelompok berisiko dibandingkan populasi umum [DATA: rujuk laporan/registri resmi terbaru]</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Persentase pasien dengan trombofilia bermakna yang menerima profilaksis LMWH sesuai indikasi</w:t>
      </w:r>
    </w:p>
    <w:p>
      <w:pPr>
        <w:pStyle w:val="ListParagraph"/>
        <w:numPr>
          <w:ilvl w:val="0"/>
          <w:numId w:val="1"/>
        </w:numPr>
        <w:spacing w:after="100" w:line="300"/>
      </w:pPr>
      <w:r>
        <w:rPr>
          <w:rFonts w:ascii="IBM Plex Sans" w:cs="IBM Plex Sans" w:eastAsia="IBM Plex Sans" w:hAnsi="IBM Plex Sans"/>
          <w:color w:val="334155"/>
          <w:sz w:val="21"/>
          <w:szCs w:val="21"/>
        </w:rPr>
        <w:t xml:space="preserve">Persentase pasangan berisiko talasemia yang menerima konseling genetik sebelum atau selama kehamilan</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jc w:val="both"/>
      </w:pPr>
      <w:r>
        <w:rPr>
          <w:rFonts w:ascii="IBM Plex Sans" w:cs="IBM Plex Sans" w:eastAsia="IBM Plex Sans" w:hAnsi="IBM Plex Sans"/>
          <w:color w:val="334155"/>
          <w:sz w:val="21"/>
          <w:szCs w:val="21"/>
        </w:rPr>
        <w:t xml:space="preserve">Standar nasional (Kepkonsil No. HK.01.02/KKI/1318/2026) menetapkan kelainan darah dalam kehamilan sebagai satu entitas kompetensi (Tabel 7 No. 32) yang ditangani spesialis Obstetri dan Ginekologi, dengan rujukan ke subspesialis Fetomaternal pada kondisi berat atau kompleks sesuai Tabel 8 No. 12. Pendekatan ini secara umum konsisten dengan standar internasional berikut, dengan beberapa penekanan tambahan yang dinyatakan eksplisit di bawah ini:</w:t>
      </w:r>
    </w:p>
    <w:p>
      <w:pPr>
        <w:pStyle w:val="ListParagraph"/>
        <w:numPr>
          <w:ilvl w:val="0"/>
          <w:numId w:val="1"/>
        </w:numPr>
        <w:spacing w:after="100" w:line="300"/>
      </w:pPr>
      <w:r>
        <w:rPr>
          <w:rFonts w:ascii="IBM Plex Sans" w:cs="IBM Plex Sans" w:eastAsia="IBM Plex Sans" w:hAnsi="IBM Plex Sans"/>
          <w:color w:val="334155"/>
          <w:sz w:val="21"/>
          <w:szCs w:val="21"/>
        </w:rPr>
        <w:t xml:space="preserve">ACOG Practice Bulletin No. 207 (2019) tentang trombositopenia dalam kehamilan merekomendasikan pendekatan bertahap (kortikosteroid → IVIG → splenektomi) untuk ITP dan ambang trombosit spesifik menjelang persalinan, yang sejalan dengan tata laksana pada PPK ini</w:t>
      </w:r>
    </w:p>
    <w:p>
      <w:pPr>
        <w:pStyle w:val="ListParagraph"/>
        <w:numPr>
          <w:ilvl w:val="0"/>
          <w:numId w:val="1"/>
        </w:numPr>
        <w:spacing w:after="100" w:line="300"/>
      </w:pPr>
      <w:r>
        <w:rPr>
          <w:rFonts w:ascii="IBM Plex Sans" w:cs="IBM Plex Sans" w:eastAsia="IBM Plex Sans" w:hAnsi="IBM Plex Sans"/>
          <w:color w:val="334155"/>
          <w:sz w:val="21"/>
          <w:szCs w:val="21"/>
        </w:rPr>
        <w:t xml:space="preserve">RCOG Green-top Guideline No. 37a (2015) merekomendasikan penilaian risiko tromboemboli vena terstruktur dengan skoring numerik pada setiap kunjungan antenatal dan pascasalin — standar nasional (Kepkonsil) menetapkan kriteria rujukan berbasis riwayat tromboemboli/trombofilia bermakna secara kualitatif; standar internasional RCOG merekomendasikan skoring risiko terstruktur multifaktor untuk stratifikasi risiko yang lebih presisi; praktik di Indonesia mengikuti standar nasional dengan skoring RCOG sebagai pertimbangan tambahan pada kasus kompleks di fasilitas yang mampu menerapkannya</w:t>
      </w:r>
    </w:p>
    <w:p>
      <w:pPr>
        <w:pStyle w:val="ListParagraph"/>
        <w:numPr>
          <w:ilvl w:val="0"/>
          <w:numId w:val="1"/>
        </w:numPr>
        <w:spacing w:after="100" w:line="300"/>
      </w:pPr>
      <w:r>
        <w:rPr>
          <w:rFonts w:ascii="IBM Plex Sans" w:cs="IBM Plex Sans" w:eastAsia="IBM Plex Sans" w:hAnsi="IBM Plex Sans"/>
          <w:color w:val="334155"/>
          <w:sz w:val="21"/>
          <w:szCs w:val="21"/>
        </w:rPr>
        <w:t xml:space="preserve">British Society for Haematology (BSH) Guideline (2021) — yang menggantikan RCOG Green-top Guideline No. 61 setelah diarsipkan pada 2023 — merupakan rujukan internasional terkini untuk tata laksana penyakit sel sabit dalam kehamilan, mencakup skrining preeklamsia, pemantauan pertumbuhan janin, dan protokol transfusi</w:t>
      </w:r>
    </w:p>
    <w:p>
      <w:pPr>
        <w:pStyle w:val="ListParagraph"/>
        <w:numPr>
          <w:ilvl w:val="0"/>
          <w:numId w:val="1"/>
        </w:numPr>
        <w:spacing w:after="100" w:line="300"/>
      </w:pPr>
      <w:r>
        <w:rPr>
          <w:rFonts w:ascii="IBM Plex Sans" w:cs="IBM Plex Sans" w:eastAsia="IBM Plex Sans" w:hAnsi="IBM Plex Sans"/>
          <w:color w:val="334155"/>
          <w:sz w:val="21"/>
          <w:szCs w:val="21"/>
        </w:rPr>
        <w:t xml:space="preserve">ISUOG Practice Guidelines (2020) tentang diagnosis dan tata laksana janin kecil masa kehamilan/restriksi pertumbuhan janin merekomendasikan pemantauan Doppler dan biometri janin serial pada kehamilan berisiko tinggi, termasuk pada hemoglobinopati mayor, sejalan dengan bagian Pemeriksaan Penunjang PPK ini</w:t>
      </w:r>
    </w:p>
    <w:p>
      <w:pPr>
        <w:pStyle w:val="ListParagraph"/>
        <w:numPr>
          <w:ilvl w:val="0"/>
          <w:numId w:val="1"/>
        </w:numPr>
        <w:spacing w:after="100" w:line="300"/>
      </w:pPr>
      <w:r>
        <w:rPr>
          <w:rFonts w:ascii="IBM Plex Sans" w:cs="IBM Plex Sans" w:eastAsia="IBM Plex Sans" w:hAnsi="IBM Plex Sans"/>
          <w:color w:val="334155"/>
          <w:sz w:val="21"/>
          <w:szCs w:val="21"/>
        </w:rPr>
        <w:t xml:space="preserve">WHO ANC Recommendations (2016), Rekomendasi B.1.1, menetapkan darah perifer lengkap — bukan sekadar pengukuran kadar hemoglobin tunggal — sebagai metode yang direkomendasikan untuk diagnosis anemia dalam kehamilan; pendekatan ini relevan karena indeks eritrosit pada DPL membantu membedakan anemia defisiensi besi dari anemia akibat hemoglobinopati, sejalan dengan alur diagnosis pada PPK ini</w:t>
      </w:r>
    </w:p>
    <w:p>
      <w:pPr>
        <w:pStyle w:val="Heading1"/>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1"/>
        </w:numPr>
        <w:spacing w:after="100" w:line="30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Lampiran Tabel 7 No. 32 dan Tabel 8 No. 12.</w:t>
      </w:r>
    </w:p>
    <w:p>
      <w:pPr>
        <w:pStyle w:val="ListParagraph"/>
        <w:numPr>
          <w:ilvl w:val="0"/>
          <w:numId w:val="1"/>
        </w:numPr>
        <w:spacing w:after="100" w:line="300"/>
      </w:pPr>
      <w:r>
        <w:rPr>
          <w:rFonts w:ascii="IBM Plex Sans" w:cs="IBM Plex Sans" w:eastAsia="IBM Plex Sans" w:hAnsi="IBM Plex Sans"/>
          <w:color w:val="334155"/>
          <w:sz w:val="21"/>
          <w:szCs w:val="21"/>
        </w:rPr>
        <w:t xml:space="preserve">American College of Obstetricians and Gynecologists. ACOG Practice Bulletin No. 207: Thrombocytopenia in Pregnancy. Obstetrics &amp; Gynecology. 2019;133(3):e181–e193. Tersedia pada: https://www.acog.org/clinical/clinical-guidance/practice-bulletin/articles/2019/03/thrombocytopenia-in-pregnancy</w:t>
      </w:r>
    </w:p>
    <w:p>
      <w:pPr>
        <w:pStyle w:val="ListParagraph"/>
        <w:numPr>
          <w:ilvl w:val="0"/>
          <w:numId w:val="1"/>
        </w:numPr>
        <w:spacing w:after="100" w:line="300"/>
      </w:pPr>
      <w:r>
        <w:rPr>
          <w:rFonts w:ascii="IBM Plex Sans" w:cs="IBM Plex Sans" w:eastAsia="IBM Plex Sans" w:hAnsi="IBM Plex Sans"/>
          <w:color w:val="334155"/>
          <w:sz w:val="21"/>
          <w:szCs w:val="21"/>
        </w:rPr>
        <w:t xml:space="preserve">Royal College of Obstetricians and Gynaecologists. Reducing the Risk of Venous Thromboembolism during Pregnancy and the Puerperium (Green-top Guideline No. 37a). 2015. Tersedia pada: https://www.rcog.org.uk/guidance/browse-all-guidance/green-top-guidelines/reducing-the-risk-of-thrombosis-and-embolism-during-pregnancy-and-the-puerperium-green-top-guideline-no-37a/</w:t>
      </w:r>
    </w:p>
    <w:p>
      <w:pPr>
        <w:pStyle w:val="ListParagraph"/>
        <w:numPr>
          <w:ilvl w:val="0"/>
          <w:numId w:val="1"/>
        </w:numPr>
        <w:spacing w:after="100" w:line="300"/>
      </w:pPr>
      <w:r>
        <w:rPr>
          <w:rFonts w:ascii="IBM Plex Sans" w:cs="IBM Plex Sans" w:eastAsia="IBM Plex Sans" w:hAnsi="IBM Plex Sans"/>
          <w:color w:val="334155"/>
          <w:sz w:val="21"/>
          <w:szCs w:val="21"/>
        </w:rPr>
        <w:t xml:space="preserve">Oteng-Ntim E, Pavord S, Howard R, dkk.; British Society for Haematology Guideline. Management of Sickle Cell Disease in Pregnancy. British Journal of Haematology. 2021;194(6):980–995. doi:10.1111/bjh.17671. Tersedia pada: https://onlinelibrary.wiley.com/doi/10.1111/bjh.17671</w:t>
      </w:r>
    </w:p>
    <w:p>
      <w:pPr>
        <w:pStyle w:val="ListParagraph"/>
        <w:numPr>
          <w:ilvl w:val="0"/>
          <w:numId w:val="1"/>
        </w:numPr>
        <w:spacing w:after="100" w:line="300"/>
      </w:pPr>
      <w:r>
        <w:rPr>
          <w:rFonts w:ascii="IBM Plex Sans" w:cs="IBM Plex Sans" w:eastAsia="IBM Plex Sans" w:hAnsi="IBM Plex Sans"/>
          <w:color w:val="334155"/>
          <w:sz w:val="21"/>
          <w:szCs w:val="21"/>
        </w:rPr>
        <w:t xml:space="preserve">Lees CC, Stampalija T, Baschat A, dkk. ISUOG Practice Guidelines: Diagnosis and Management of Small-for-Gestational-Age Fetus and Fetal Growth Restriction. Ultrasound in Obstetrics &amp; Gynecology. 2020;56(2):298–312. Tersedia pada: https://obgyn.onlinelibrary.wiley.com/doi/10.1002/uog.22134</w:t>
      </w:r>
    </w:p>
    <w:p>
      <w:pPr>
        <w:pStyle w:val="ListParagraph"/>
        <w:numPr>
          <w:ilvl w:val="0"/>
          <w:numId w:val="1"/>
        </w:numPr>
        <w:spacing w:after="100" w:line="300"/>
      </w:pPr>
      <w:r>
        <w:rPr>
          <w:rFonts w:ascii="IBM Plex Sans" w:cs="IBM Plex Sans" w:eastAsia="IBM Plex Sans" w:hAnsi="IBM Plex Sans"/>
          <w:color w:val="334155"/>
          <w:sz w:val="21"/>
          <w:szCs w:val="21"/>
        </w:rPr>
        <w:t xml:space="preserve">World Health Organization. WHO Recommendations on Antenatal Care for a Positive Pregnancy Experience. Geneva: WHO; 2016. Tersedia pada: https://www.who.int/publications/i/item/9789241549912</w:t>
      </w:r>
    </w:p>
    <w:p>
      <w:pPr>
        <w:pStyle w:val="ListParagraph"/>
        <w:numPr>
          <w:ilvl w:val="0"/>
          <w:numId w:val="1"/>
        </w:numPr>
        <w:spacing w:after="100" w:line="300"/>
      </w:pPr>
      <w:r>
        <w:rPr>
          <w:rFonts w:ascii="IBM Plex Sans" w:cs="IBM Plex Sans" w:eastAsia="IBM Plex Sans" w:hAnsi="IBM Plex Sans"/>
          <w:color w:val="334155"/>
          <w:sz w:val="21"/>
          <w:szCs w:val="21"/>
        </w:rPr>
        <w:t xml:space="preserve">Middleton P, Shepherd E, Gomersall JC. Venous Thromboembolism Prophylaxis for Women at Risk during Pregnancy and the Early Postnatal Period. Cochrane Database of Systematic Reviews. 2021;3:CD001689. doi:10.1002/14651858.CD001689.pub4. Tersedia pada: https://www.cochranelibrary.com/cdsr/doi/10.1002/14651858.CD001689.pub4/full</w:t>
      </w:r>
    </w:p>
    <w:p>
      <w:pPr>
        <w:pStyle w:val="Heading1"/>
        <w:spacing w:after="160" w:before="320"/>
      </w:pPr>
      <w:r>
        <w:rPr>
          <w:rFonts w:ascii="Source Serif 4" w:cs="Source Serif 4" w:eastAsia="Source Serif 4" w:hAnsi="Source Serif 4"/>
          <w:b/>
          <w:bCs/>
          <w:color w:val="4F46E5"/>
          <w:sz w:val="30"/>
          <w:szCs w:val="30"/>
        </w:rPr>
        <w:t xml:space="preserve">14. Glosarium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Istilah</w:t>
            </w:r>
          </w:p>
        </w:tc>
        <w:tc>
          <w:tcPr>
            <w:tcW w:type="dxa" w:w="4513"/>
            <w:shd w:fill="EEF2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Penjelasan</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Trombositopenia</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Penurunan hitung trombosit di bawah nilai rujukan normal (&lt;150.000/µL).</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Trombositopenia gestasional</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Penurunan hitung trombosit ringan yang bersifat fisiologis pada kehamilan, tanpa dampak klinis bermakna dan membaik spontan pascasalin.</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ITP (Immune Thrombocytopenia)</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Trombositopenia imun; kondisi autoimun dengan destruksi trombosit oleh antibodi, dapat mendahului atau muncul selama kehamilan.</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Hemoglobinopati</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Kelainan struktural atau produksi rantai globin hemoglobin, mencakup talasemia dan penyakit sel sabit.</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Talasemia</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Kelainan genetik akibat gangguan sintesis rantai globin (alfa atau beta) yang menyebabkan anemia mikrositik dengan derajat bervariasi (trait, intermedia, mayor).</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Penyakit sel sabit (sickle cell disease)</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Kelainan struktural hemoglobin (HbS) yang menyebabkan eritrosit berbentuk sabit, rentan mengalami krisis vaso-oklusif dan hemolisis.</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Trombofilia</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Kecenderungan meningkatnya risiko trombosis akibat kelainan herediter atau didapat pada sistem koagulasi.</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LMWH (Low Molecular Weight Heparin)</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Heparin berat molekul rendah; antikoagulan pilihan pada kehamilan karena tidak menembus plasenta.</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Elektroforesis hemoglobin</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Pemeriksaan laboratorium untuk memisahkan dan mengidentifikasi jenis hemoglobin, digunakan mengonfirmasi hemoglobinopati.</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Sindrom HELLP</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Hemolysis, Elevated Liver enzymes, Low Platelets; varian preeklamsia berat dengan trombositopenia dan disfungsi hati.</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Krisis vaso-oklusif</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Episode nyeri akut akibat sumbatan pembuluh darah kecil oleh eritrosit berbentuk sabit pada penyakit sel sabit.</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Sindrom dada akut (acute chest syndrome)</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Komplikasi paru akut pada penyakit sel sabit dengan gejala nyeri dada, demam, dan infiltrat paru baru pada pencitraan.</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Transfusi tukar (exchange transfusion)</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Prosedur mengganti sebagian besar eritrosit pasien dengan eritrosit donor, digunakan pada krisis berat penyakit sel sabit.</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Restriksi pertumbuhan janin (fetal growth restriction)</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Kondisi janin tidak mencapai potensi pertumbuhan genetiknya, sering dikaitkan dengan insufisiensi plasenta.</w:t>
            </w:r>
          </w:p>
        </w:tc>
      </w:tr>
      <w:tr>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Antibodi antifosfolipid</w:t>
            </w:r>
          </w:p>
        </w:tc>
        <w:tc>
          <w:tcPr>
            <w:tcW w:type="dxa" w:w="4513"/>
            <w:tcMar>
              <w:top w:type="dxa" w:w="80"/>
              <w:left w:type="dxa" w:w="100"/>
              <w:bottom w:type="dxa" w:w="80"/>
              <w:right w:type="dxa" w:w="100"/>
            </w:tcMar>
          </w:tcPr>
          <w:p>
            <w:r>
              <w:rPr>
                <w:rFonts w:ascii="IBM Plex Sans" w:cs="IBM Plex Sans" w:eastAsia="IBM Plex Sans" w:hAnsi="IBM Plex Sans"/>
                <w:color w:val="334155"/>
                <w:sz w:val="18"/>
                <w:szCs w:val="18"/>
              </w:rPr>
              <w:t xml:space="preserve">Kelompok autoantibodi yang berkaitan dengan peningkatan risiko trombosis dan komplikasi obstetri berulang.</w:t>
            </w:r>
          </w:p>
        </w:tc>
      </w:tr>
    </w:tbl>
    <w:p>
      <w:pPr>
        <w:spacing w:after="160"/>
      </w:pPr>
    </w:p>
    <w:sectPr>
      <w:headerReference w:type="default" r:id="rId7"/>
      <w:footerReference w:type="default" r:id="rId8"/>
      <w:pgSz w:w="11906" w:h="16838"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Perpustakaan Digital ABBA — Dokumen 32 dari 73 — 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pBdr>
      <w:jc w:val="right"/>
    </w:pPr>
    <w:r>
      <w:rPr>
        <w:rFonts w:ascii="IBM Plex Sans" w:cs="IBM Plex Sans" w:eastAsia="IBM Plex Sans" w:hAnsi="IBM Plex Sans"/>
        <w:color w:val="64748B"/>
        <w:sz w:val="16"/>
        <w:szCs w:val="16"/>
      </w:rPr>
      <w:t xml:space="preserve">PPK-032 — Kehamilan dengan Kelainan Darah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2026-08-17T11:34:19.808Z</dcterms:created>
  <dcterms:modified xsi:type="dcterms:W3CDTF">2026-08-17T11:34:19.820Z</dcterms:modified>
</cp:coreProperties>
</file>

<file path=docProps/custom.xml><?xml version="1.0" encoding="utf-8"?>
<Properties xmlns="http://schemas.openxmlformats.org/officeDocument/2006/custom-properties" xmlns:vt="http://schemas.openxmlformats.org/officeDocument/2006/docPropsVTypes"/>
</file>