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0"/>
      </w:pPr>
    </w:p>
    <w:p>
      <w:pPr>
        <w:jc w:val="center"/>
      </w:pPr>
      <w:r>
        <w:rPr>
          <w:rFonts w:ascii="IBM Plex Sans" w:cs="IBM Plex Sans" w:eastAsia="IBM Plex Sans" w:hAnsi="IBM Plex Sans"/>
          <w:b/>
          <w:bCs/>
          <w:color w:val="B45309"/>
          <w:sz w:val="24"/>
          <w:szCs w:val="24"/>
        </w:rPr>
        <w:t xml:space="preserve">PPK No. 34 dari 73</w:t>
      </w:r>
    </w:p>
    <w:p>
      <w:pPr>
        <w:spacing w:after="100" w:before="200"/>
        <w:jc w:val="center"/>
      </w:pPr>
      <w:r>
        <w:rPr>
          <w:rFonts w:ascii="IBM Plex Sans" w:cs="IBM Plex Sans" w:eastAsia="IBM Plex Sans" w:hAnsi="IBM Plex Sans"/>
          <w:b/>
          <w:bCs/>
          <w:color w:val="64748B"/>
          <w:sz w:val="22"/>
          <w:szCs w:val="22"/>
        </w:rPr>
        <w:t xml:space="preserve">PANDUAN PRAKTIK KLINIS</w:t>
      </w:r>
    </w:p>
    <w:p>
      <w:pPr>
        <w:spacing w:after="200" w:before="300"/>
        <w:jc w:val="center"/>
      </w:pPr>
      <w:r>
        <w:rPr>
          <w:rFonts w:ascii="Source Serif 4" w:cs="Source Serif 4" w:eastAsia="Source Serif 4" w:hAnsi="Source Serif 4"/>
          <w:b/>
          <w:bCs/>
          <w:color w:val="4F46E5"/>
          <w:sz w:val="48"/>
          <w:szCs w:val="48"/>
        </w:rPr>
        <w:t xml:space="preserve">Kehamilan dengan Infeksi Dengue tanpa Komplikasi</w:t>
      </w:r>
    </w:p>
    <w:p>
      <w:pPr>
        <w:spacing w:after="600"/>
        <w:jc w:val="center"/>
      </w:pPr>
      <w:r>
        <w:rPr>
          <w:rFonts w:ascii="Source Serif 4" w:cs="Source Serif 4" w:eastAsia="Source Serif 4" w:hAnsi="Source Serif 4"/>
          <w:i/>
          <w:iCs/>
          <w:color w:val="64748B"/>
          <w:sz w:val="26"/>
          <w:szCs w:val="26"/>
        </w:rPr>
        <w:t xml:space="preserve">Dengue Infection in Pregnancy without Complication</w:t>
      </w:r>
    </w:p>
    <w:tbl>
      <w:tblPr>
        <w:tblW w:type="pct" w:w="100%"/>
        <w:tblBorders>
          <w:top w:val="single" w:color="B45309" w:sz="6"/>
          <w:left w:val="single" w:color="B45309" w:sz="6"/>
          <w:bottom w:val="single" w:color="B45309" w:sz="6"/>
          <w:right w:val="single" w:color="B45309" w:sz="6"/>
          <w:insideH w:val="single" w:color="auto" w:sz="4"/>
          <w:insideV w:val="single" w:color="auto" w:sz="4"/>
        </w:tblBorders>
      </w:tblPr>
      <w:tblGrid>
        <w:gridCol w:w="100"/>
      </w:tblGrid>
      <w:tr>
        <w:tc>
          <w:tcPr>
            <w:shd w:fill="FEF3C7" w:val="clear"/>
            <w:tcMar>
              <w:top w:type="dxa" w:w="150"/>
              <w:left w:type="dxa" w:w="200"/>
              <w:bottom w:type="dxa" w:w="150"/>
              <w:right w:type="dxa" w:w="200"/>
            </w:tcMar>
          </w:tcPr>
          <w:p>
            <w:r>
              <w:rPr>
                <w:rFonts w:ascii="IBM Plex Sans" w:cs="IBM Plex Sans" w:eastAsia="IBM Plex Sans" w:hAnsi="IBM Plex Sans"/>
                <w:b/>
                <w:bCs/>
                <w:color w:val="B45309"/>
                <w:sz w:val="18"/>
                <w:szCs w:val="18"/>
              </w:rPr>
              <w:t xml:space="preserve">DASAR REGULASI  </w:t>
            </w: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("Kepkonsil"), Tabel 7, entri No. 34. Kode unit: PPK-034. Divisi pengampu (perspektif tambahan): Fetomaternal.</w:t>
            </w:r>
          </w:p>
        </w:tc>
      </w:tr>
    </w:tbl>
    <w:p>
      <w:pPr>
        <w:spacing w:before="400"/>
      </w:pPr>
    </w:p>
    <w:p>
      <w:pPr>
        <w:spacing w:after="100"/>
      </w:pPr>
      <w:r>
        <w:rPr>
          <w:rFonts w:ascii="IBM Plex Mono" w:cs="IBM Plex Mono" w:eastAsia="IBM Plex Mono" w:hAnsi="IBM Plex Mono"/>
          <w:b/>
          <w:bCs/>
          <w:color w:val="334155"/>
          <w:sz w:val="20"/>
          <w:szCs w:val="20"/>
        </w:rPr>
        <w:t xml:space="preserve">ICD-10: </w:t>
      </w:r>
      <w:r>
        <w:rPr>
          <w:rFonts w:ascii="IBM Plex Mono" w:cs="IBM Plex Mono" w:eastAsia="IBM Plex Mono" w:hAnsi="IBM Plex Mono"/>
          <w:color w:val="334155"/>
          <w:sz w:val="20"/>
          <w:szCs w:val="20"/>
        </w:rPr>
        <w:t xml:space="preserve">A90/A91 disertai O98.5</w:t>
      </w:r>
    </w:p>
    <w:p>
      <w:pPr>
        <w:spacing w:after="600"/>
      </w:pPr>
      <w:r>
        <w:rPr>
          <w:rFonts w:ascii="IBM Plex Mono" w:cs="IBM Plex Mono" w:eastAsia="IBM Plex Mono" w:hAnsi="IBM Plex Mono"/>
          <w:b/>
          <w:bCs/>
          <w:color w:val="334155"/>
          <w:sz w:val="20"/>
          <w:szCs w:val="20"/>
        </w:rPr>
        <w:t xml:space="preserve">ICD-11: </w:t>
      </w:r>
      <w:r>
        <w:rPr>
          <w:rFonts w:ascii="IBM Plex Mono" w:cs="IBM Plex Mono" w:eastAsia="IBM Plex Mono" w:hAnsi="IBM Plex Mono"/>
          <w:color w:val="334155"/>
          <w:sz w:val="20"/>
          <w:szCs w:val="20"/>
        </w:rPr>
        <w:t xml:space="preserve">1D20</w:t>
      </w:r>
    </w:p>
    <w:p>
      <w:pPr>
        <w:spacing w:after="40"/>
        <w:jc w:val="center"/>
      </w:pPr>
      <w:r>
        <w:rPr>
          <w:rFonts w:ascii="IBM Plex Sans" w:cs="IBM Plex Sans" w:eastAsia="IBM Plex Sans" w:hAnsi="IBM Plex Sans"/>
          <w:b/>
          <w:bCs/>
          <w:color w:val="334155"/>
          <w:sz w:val="21"/>
          <w:szCs w:val="21"/>
        </w:rPr>
        <w:t xml:space="preserve">Dr.dr. Budi Siswanto, Sp.OG., Subsp.Obginsos., SH., S.Kom.</w:t>
      </w:r>
    </w:p>
    <w:p>
      <w:pPr>
        <w:spacing w:after="40"/>
        <w:jc w:val="center"/>
      </w:pPr>
      <w:r>
        <w:rPr>
          <w:rFonts w:ascii="IBM Plex Sans" w:cs="IBM Plex Sans" w:eastAsia="IBM Plex Sans" w:hAnsi="IBM Plex Sans"/>
          <w:color w:val="64748B"/>
          <w:sz w:val="19"/>
          <w:szCs w:val="19"/>
        </w:rPr>
        <w:t xml:space="preserve">Perpustakaan Digital ABBA</w:t>
      </w:r>
    </w:p>
    <w:p>
      <w:pPr>
        <w:spacing w:after="40"/>
        <w:jc w:val="center"/>
      </w:pPr>
      <w:r>
        <w:rPr>
          <w:rFonts w:ascii="IBM Plex Sans" w:cs="IBM Plex Sans" w:eastAsia="IBM Plex Sans" w:hAnsi="IBM Plex Sans"/>
          <w:color w:val="64748B"/>
          <w:sz w:val="19"/>
          <w:szCs w:val="19"/>
        </w:rPr>
        <w:t xml:space="preserve">Jl. Kerinci Raya No. 9, Malang 65138</w:t>
      </w:r>
    </w:p>
    <w:p>
      <w:pPr>
        <w:spacing w:after="200"/>
        <w:jc w:val="center"/>
      </w:pPr>
      <w:r>
        <w:rPr>
          <w:rFonts w:ascii="IBM Plex Sans" w:cs="IBM Plex Sans" w:eastAsia="IBM Plex Sans" w:hAnsi="IBM Plex Sans"/>
          <w:i/>
          <w:iCs/>
          <w:color w:val="64748B"/>
          <w:sz w:val="18"/>
          <w:szCs w:val="18"/>
        </w:rPr>
        <w:t xml:space="preserve">Cetakan pertama, Agustus 2026</w:t>
      </w:r>
    </w:p>
    <w:p>
      <w:r>
        <w:br w:type="page"/>
      </w:r>
    </w:p>
    <w:p>
      <w:pPr>
        <w:pStyle w:val="Heading1"/>
        <w:spacing w:after="150" w:before="300"/>
      </w:pPr>
      <w:r>
        <w:t xml:space="preserve">1. Pengertian/Definisi</w:t>
      </w:r>
    </w:p>
    <w:tbl>
      <w:tblPr>
        <w:tblW w:type="pct" w:w="100%"/>
        <w:tblBorders>
          <w:top w:val="single" w:color="B45309" w:sz="6"/>
          <w:left w:val="single" w:color="B45309" w:sz="6"/>
          <w:bottom w:val="single" w:color="B45309" w:sz="6"/>
          <w:right w:val="single" w:color="B45309" w:sz="6"/>
          <w:insideH w:val="single" w:color="auto" w:sz="4"/>
          <w:insideV w:val="single" w:color="auto" w:sz="4"/>
        </w:tblBorders>
      </w:tblPr>
      <w:tblGrid>
        <w:gridCol w:w="100"/>
      </w:tblGrid>
      <w:tr>
        <w:tc>
          <w:tcPr>
            <w:shd w:fill="FEF3C7" w:val="clear"/>
            <w:tcMar>
              <w:top w:type="dxa" w:w="150"/>
              <w:left w:type="dxa" w:w="200"/>
              <w:bottom w:type="dxa" w:w="150"/>
              <w:right w:type="dxa" w:w="200"/>
            </w:tcMar>
          </w:tcPr>
          <w:p>
            <w:r>
              <w:rPr>
                <w:rFonts w:ascii="IBM Plex Sans" w:cs="IBM Plex Sans" w:eastAsia="IBM Plex Sans" w:hAnsi="IBM Plex Sans"/>
                <w:b/>
                <w:bCs/>
                <w:color w:val="B45309"/>
                <w:sz w:val="18"/>
                <w:szCs w:val="18"/>
              </w:rPr>
              <w:t xml:space="preserve">DASAR REGULASI  </w:t>
            </w: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("Kepkonsil"), Tabel 7, entri No. 34. Redaksi resmi Tabel 7 Kepkonsil No. HK.01.02/KKI/1318/2026 tidak tersedia pada saat penyusunan naskah ini. Judul diagnosis dan catatan Keterangan/Populasi mengikuti penunjuk lokasi awal serta kesesuaiannya dengan tata laksana klinis standar; wajib dicocokkan kata-demi-kata terhadap dokumen tabel resmi oleh tim penyusun PPK sebelum disahkan sebagai pedoman pelayanan.</w:t>
            </w:r>
          </w:p>
        </w:tc>
      </w:tr>
    </w:tbl>
    <w:p>
      <w:pPr>
        <w:spacing w:after="100"/>
      </w:pPr>
    </w:p>
    <w:p>
      <w:pPr>
        <w:spacing w:after="150"/>
        <w:jc w:val="both"/>
      </w:pPr>
      <w:r>
        <w:rPr>
          <w:rFonts w:ascii="IBM Plex Sans" w:cs="IBM Plex Sans" w:eastAsia="IBM Plex Sans" w:hAnsi="IBM Plex Sans"/>
          <w:color w:val="334155"/>
          <w:sz w:val="22"/>
          <w:szCs w:val="22"/>
        </w:rPr>
        <w:t xml:space="preserve">PPK ini merupakan turunan operasional dari Bab Kehamilan dengan Infeksi Virus, Buku Tematik B4 — Kehamilan dengan Penyakit Penyerta, dan disusun untuk entri No. 34 Tabel 7 Kepkonsil No. HK.01.02/KKI/1318/2026: "Kehamilan dengan infeksi dengue tanpa komplikasi (Dengue infection in pregnancy without complication)".</w:t>
      </w:r>
    </w:p>
    <w:p>
      <w:pPr>
        <w:spacing w:after="150"/>
        <w:jc w:val="both"/>
      </w:pPr>
      <w:r>
        <w:rPr>
          <w:rFonts w:ascii="IBM Plex Sans" w:cs="IBM Plex Sans" w:eastAsia="IBM Plex Sans" w:hAnsi="IBM Plex Sans"/>
          <w:color w:val="334155"/>
          <w:sz w:val="22"/>
          <w:szCs w:val="22"/>
        </w:rPr>
        <w:t xml:space="preserve">Infeksi dengue dalam kehamilan (dengue infection in pregnancy) adalah infeksi akut oleh virus dengue (Orthoflavivirus dengue, famili Flaviviridae, empat serotipe DENV-1 hingga DENV-4) yang ditularkan terutama melalui gigitan nyamuk Aedes aegypti dan Aedes albopictus, yang terjadi pada perempuan hamil. Infeksi oleh satu serotipe memberikan imunitas seumur hidup terhadap serotipe tersebut serta imunitas silang parsial dan sementara terhadap serotipe lain; infeksi sekunder oleh serotipe berbeda meningkatkan risiko dengue berat melalui mekanisme antibody-dependent enhancement.</w:t>
      </w:r>
    </w:p>
    <w:p>
      <w:pPr>
        <w:spacing w:after="150"/>
        <w:jc w:val="both"/>
      </w:pPr>
      <w:r>
        <w:rPr>
          <w:rFonts w:ascii="IBM Plex Sans" w:cs="IBM Plex Sans" w:eastAsia="IBM Plex Sans" w:hAnsi="IBM Plex Sans"/>
          <w:color w:val="334155"/>
          <w:sz w:val="22"/>
          <w:szCs w:val="22"/>
        </w:rPr>
        <w:t xml:space="preserve">Yang dimaksud "tanpa komplikasi" pada PPK ini adalah dengue tanpa tanda bahaya (dengue without warning signs) menurut klasifikasi keparahan WHO, tanpa kriteria dengue berat (severe dengue), dan tanpa komplikasi obstetrik akut yang menyertainya (mis. perdarahan antepartum aktif, gawat janin, atau persalinan preterm mengancam). Skema klasifikasi tiga tingkat ini (tanpa tanda bahaya / dengan tanda bahaya / dengue berat) pertama kali diterbitkan WHO pada 2009 dan tetap menjadi rujukan definisi keparahan pada pembaruan pedoman klinis arbovirus WHO edisi 2025.</w:t>
      </w:r>
    </w:p>
    <w:p>
      <w:pPr>
        <w:spacing w:after="150"/>
        <w:jc w:val="both"/>
      </w:pPr>
      <w:r>
        <w:rPr>
          <w:rFonts w:ascii="IBM Plex Sans" w:cs="IBM Plex Sans" w:eastAsia="IBM Plex Sans" w:hAnsi="IBM Plex Sans"/>
          <w:color w:val="334155"/>
          <w:sz w:val="22"/>
          <w:szCs w:val="22"/>
        </w:rPr>
        <w:t xml:space="preserve">Kehamilan menimbulkan tumpang tindih gejala dan perubahan fisiologis (hemodilusi, trombositopenia gestasional ringan, perubahan tekanan darah) yang dapat menyamarkan tanda peringatan dengue maupun sebaliknya memperberat interpretasinya secara klinis. Pedoman klinis arbovirus WHO edisi 2025 secara eksplisit mencantumkan kehamilan sebagai salah satu kondisi yang mendorong pertimbangan rawat inap pada dengue, sejalan dengan prinsip kewaspadaan lebih tinggi pada kelompok ini dibandingkan populasi umum.</w:t>
      </w:r>
    </w:p>
    <w:p>
      <w:pPr>
        <w:pStyle w:val="Heading1"/>
        <w:spacing w:after="150" w:before="300"/>
      </w:pPr>
      <w:r>
        <w:t xml:space="preserve">2. Anamnesis</w:t>
      </w:r>
    </w:p>
    <w:p>
      <w:pPr>
        <w:spacing w:after="150"/>
        <w:jc w:val="both"/>
      </w:pPr>
      <w:r>
        <w:rPr>
          <w:rFonts w:ascii="IBM Plex Sans" w:cs="IBM Plex Sans" w:eastAsia="IBM Plex Sans" w:hAnsi="IBM Plex Sans"/>
          <w:color w:val="334155"/>
          <w:sz w:val="22"/>
          <w:szCs w:val="22"/>
        </w:rPr>
        <w:t xml:space="preserve">Anamnesis diarahkan untuk menegakkan kecurigaan klinis dengue serta mendeteksi dini tanda bahaya (warning signs) yang mengubah kategori menjadi dengue dengan komplikasi.</w:t>
      </w:r>
    </w:p>
    <w:p>
      <w:pPr>
        <w:spacing w:after="80" w:before="100"/>
      </w:pPr>
      <w:r>
        <w:rPr>
          <w:rFonts w:ascii="IBM Plex Sans" w:cs="IBM Plex Sans" w:eastAsia="IBM Plex Sans" w:hAnsi="IBM Plex Sans"/>
          <w:color w:val="334155"/>
          <w:sz w:val="22"/>
          <w:szCs w:val="22"/>
        </w:rPr>
        <w:t xml:space="preserve">Hal pokok yang digali:</w:t>
      </w:r>
    </w:p>
    <w:p>
      <w:pPr>
        <w:pStyle w:val="ListParagraph"/>
        <w:numPr>
          <w:ilvl w:val="0"/>
          <w:numId w:val="1"/>
        </w:numPr>
        <w:spacing w:after="60"/>
      </w:pPr>
      <w:r>
        <w:rPr>
          <w:rFonts w:ascii="IBM Plex Sans" w:cs="IBM Plex Sans" w:eastAsia="IBM Plex Sans" w:hAnsi="IBM Plex Sans"/>
          <w:color w:val="334155"/>
          <w:sz w:val="22"/>
          <w:szCs w:val="22"/>
        </w:rPr>
        <w:t xml:space="preserve">Demam akut tinggi mendadak (umumnya 39–40°C), berlangsung 2–7 hari.</w:t>
      </w:r>
    </w:p>
    <w:p>
      <w:pPr>
        <w:pStyle w:val="ListParagraph"/>
        <w:numPr>
          <w:ilvl w:val="0"/>
          <w:numId w:val="1"/>
        </w:numPr>
        <w:spacing w:after="60"/>
      </w:pPr>
      <w:r>
        <w:rPr>
          <w:rFonts w:ascii="IBM Plex Sans" w:cs="IBM Plex Sans" w:eastAsia="IBM Plex Sans" w:hAnsi="IBM Plex Sans"/>
          <w:color w:val="334155"/>
          <w:sz w:val="22"/>
          <w:szCs w:val="22"/>
        </w:rPr>
        <w:t xml:space="preserve">Nyeri kepala hebat, nyeri retro-orbital, mialgia, artralgia, dan ruam kulit makulopapular (dijumpai pada sekitar separuh kasus).</w:t>
      </w:r>
    </w:p>
    <w:p>
      <w:pPr>
        <w:pStyle w:val="ListParagraph"/>
        <w:numPr>
          <w:ilvl w:val="0"/>
          <w:numId w:val="1"/>
        </w:numPr>
        <w:spacing w:after="60"/>
      </w:pPr>
      <w:r>
        <w:rPr>
          <w:rFonts w:ascii="IBM Plex Sans" w:cs="IBM Plex Sans" w:eastAsia="IBM Plex Sans" w:hAnsi="IBM Plex Sans"/>
          <w:color w:val="334155"/>
          <w:sz w:val="22"/>
          <w:szCs w:val="22"/>
        </w:rPr>
        <w:t xml:space="preserve">Riwayat tinggal atau bepergian ke daerah dengan transmisi dengue aktif dalam 14 hari terakhir (masa inkubasi umumnya 4–10 hari).</w:t>
      </w:r>
    </w:p>
    <w:p>
      <w:pPr>
        <w:pStyle w:val="ListParagraph"/>
        <w:numPr>
          <w:ilvl w:val="0"/>
          <w:numId w:val="1"/>
        </w:numPr>
        <w:spacing w:after="60"/>
      </w:pPr>
      <w:r>
        <w:rPr>
          <w:rFonts w:ascii="IBM Plex Sans" w:cs="IBM Plex Sans" w:eastAsia="IBM Plex Sans" w:hAnsi="IBM Plex Sans"/>
          <w:color w:val="334155"/>
          <w:sz w:val="22"/>
          <w:szCs w:val="22"/>
        </w:rPr>
        <w:t xml:space="preserve">Gejala gastrointestinal: mual, muntah, anoreksia, nyeri perut, kadang diare ringan; nyeri perut yang progresif hingga menetap dan intens menjelang akhir fase demam merupakan tanda bahaya.</w:t>
      </w:r>
    </w:p>
    <w:p>
      <w:pPr>
        <w:pStyle w:val="ListParagraph"/>
        <w:numPr>
          <w:ilvl w:val="0"/>
          <w:numId w:val="1"/>
        </w:numPr>
        <w:spacing w:after="60"/>
      </w:pPr>
      <w:r>
        <w:rPr>
          <w:rFonts w:ascii="IBM Plex Sans" w:cs="IBM Plex Sans" w:eastAsia="IBM Plex Sans" w:hAnsi="IBM Plex Sans"/>
          <w:color w:val="334155"/>
          <w:sz w:val="22"/>
          <w:szCs w:val="22"/>
        </w:rPr>
        <w:t xml:space="preserve">Riwayat perdarahan spontan: gusi berdarah, epistaksis, petekie, atau perdarahan pervaginam di luar pola haid/kehamilan normal.</w:t>
      </w:r>
    </w:p>
    <w:p>
      <w:pPr>
        <w:pStyle w:val="ListParagraph"/>
        <w:numPr>
          <w:ilvl w:val="0"/>
          <w:numId w:val="1"/>
        </w:numPr>
        <w:spacing w:after="60"/>
      </w:pPr>
      <w:r>
        <w:rPr>
          <w:rFonts w:ascii="IBM Plex Sans" w:cs="IBM Plex Sans" w:eastAsia="IBM Plex Sans" w:hAnsi="IBM Plex Sans"/>
          <w:color w:val="334155"/>
          <w:sz w:val="22"/>
          <w:szCs w:val="22"/>
        </w:rPr>
        <w:t xml:space="preserve">Usia gestasi saat ini, riwayat obstetri (paritas, riwayat perdarahan/preeklamsia/diabetes gestasional pada kehamilan ini atau sebelumnya), dan gerak janin (bila usia gestasi memungkinkan).</w:t>
      </w:r>
    </w:p>
    <w:p>
      <w:pPr>
        <w:pStyle w:val="ListParagraph"/>
        <w:numPr>
          <w:ilvl w:val="0"/>
          <w:numId w:val="1"/>
        </w:numPr>
        <w:spacing w:after="60"/>
      </w:pPr>
      <w:r>
        <w:rPr>
          <w:rFonts w:ascii="IBM Plex Sans" w:cs="IBM Plex Sans" w:eastAsia="IBM Plex Sans" w:hAnsi="IBM Plex Sans"/>
          <w:color w:val="334155"/>
          <w:sz w:val="22"/>
          <w:szCs w:val="22"/>
        </w:rPr>
        <w:t xml:space="preserve">Riwayat infeksi dengue sebelumnya, karena infeksi sekunder meningkatkan risiko dengue berat.</w:t>
      </w:r>
    </w:p>
    <w:p>
      <w:pPr>
        <w:pStyle w:val="ListParagraph"/>
        <w:numPr>
          <w:ilvl w:val="0"/>
          <w:numId w:val="1"/>
        </w:numPr>
        <w:spacing w:after="60"/>
      </w:pPr>
      <w:r>
        <w:rPr>
          <w:rFonts w:ascii="IBM Plex Sans" w:cs="IBM Plex Sans" w:eastAsia="IBM Plex Sans" w:hAnsi="IBM Plex Sans"/>
          <w:color w:val="334155"/>
          <w:sz w:val="22"/>
          <w:szCs w:val="22"/>
        </w:rPr>
        <w:t xml:space="preserve">Komorbid: diabetes melitus, hipertensi kronik, penyakit ginjal, atau kondisi lain yang memengaruhi ambang kewaspadaan dan risiko perburukan.</w:t>
      </w:r>
    </w:p>
    <w:p>
      <w:pPr>
        <w:pStyle w:val="Heading1"/>
        <w:spacing w:after="150" w:before="300"/>
      </w:pPr>
      <w:r>
        <w:t xml:space="preserve">3. Pemeriksaan Fisik</w:t>
      </w:r>
    </w:p>
    <w:p>
      <w:pPr>
        <w:spacing w:after="150"/>
        <w:jc w:val="both"/>
      </w:pPr>
      <w:r>
        <w:rPr>
          <w:rFonts w:ascii="IBM Plex Sans" w:cs="IBM Plex Sans" w:eastAsia="IBM Plex Sans" w:hAnsi="IBM Plex Sans"/>
          <w:color w:val="334155"/>
          <w:sz w:val="22"/>
          <w:szCs w:val="22"/>
        </w:rPr>
        <w:t xml:space="preserve">Pemeriksaan fisik menilai tanda vital ibu, tanda kebocoran plasma/perdarahan, serta kesejahteraan janin secara bersamaan — pendekatan terpadu inilah yang membedakan penilaian dengue pada kehamilan dari populasi umum.</w:t>
      </w:r>
    </w:p>
    <w:p>
      <w:pPr>
        <w:spacing w:after="80" w:before="100"/>
      </w:pPr>
      <w:r>
        <w:rPr>
          <w:rFonts w:ascii="IBM Plex Sans" w:cs="IBM Plex Sans" w:eastAsia="IBM Plex Sans" w:hAnsi="IBM Plex Sans"/>
          <w:color w:val="334155"/>
          <w:sz w:val="22"/>
          <w:szCs w:val="22"/>
        </w:rPr>
        <w:t xml:space="preserve">Komponen wajib pemeriksaan:</w:t>
      </w:r>
    </w:p>
    <w:p>
      <w:pPr>
        <w:pStyle w:val="ListParagraph"/>
        <w:numPr>
          <w:ilvl w:val="0"/>
          <w:numId w:val="1"/>
        </w:numPr>
        <w:spacing w:after="60"/>
      </w:pPr>
      <w:r>
        <w:rPr>
          <w:rFonts w:ascii="IBM Plex Sans" w:cs="IBM Plex Sans" w:eastAsia="IBM Plex Sans" w:hAnsi="IBM Plex Sans"/>
          <w:color w:val="334155"/>
          <w:sz w:val="22"/>
          <w:szCs w:val="22"/>
        </w:rPr>
        <w:t xml:space="preserve">Tanda vital lengkap: suhu, tekanan darah (perhatikan tekanan nadi/pulse pressure yang menyempit sebagai tanda awal kebocoran plasma), frekuensi nadi, frekuensi napas, saturasi oksigen.</w:t>
      </w:r>
    </w:p>
    <w:p>
      <w:pPr>
        <w:pStyle w:val="ListParagraph"/>
        <w:numPr>
          <w:ilvl w:val="0"/>
          <w:numId w:val="1"/>
        </w:numPr>
        <w:spacing w:after="60"/>
      </w:pPr>
      <w:r>
        <w:rPr>
          <w:rFonts w:ascii="IBM Plex Sans" w:cs="IBM Plex Sans" w:eastAsia="IBM Plex Sans" w:hAnsi="IBM Plex Sans"/>
          <w:color w:val="334155"/>
          <w:sz w:val="22"/>
          <w:szCs w:val="22"/>
        </w:rPr>
        <w:t xml:space="preserve">Uji torniket (Rumpel-Leede) bila indikasi klinis; hasil positif mendukung diagnosis namun hasil negatif tidak menyingkirkan dengue.</w:t>
      </w:r>
    </w:p>
    <w:p>
      <w:pPr>
        <w:pStyle w:val="ListParagraph"/>
        <w:numPr>
          <w:ilvl w:val="0"/>
          <w:numId w:val="1"/>
        </w:numPr>
        <w:spacing w:after="60"/>
      </w:pPr>
      <w:r>
        <w:rPr>
          <w:rFonts w:ascii="IBM Plex Sans" w:cs="IBM Plex Sans" w:eastAsia="IBM Plex Sans" w:hAnsi="IBM Plex Sans"/>
          <w:color w:val="334155"/>
          <w:sz w:val="22"/>
          <w:szCs w:val="22"/>
        </w:rPr>
        <w:t xml:space="preserve">Inspeksi kulit untuk ruam makulopapular/petekie, ekimosis, dan tanda perdarahan mukosa.</w:t>
      </w:r>
    </w:p>
    <w:p>
      <w:pPr>
        <w:pStyle w:val="ListParagraph"/>
        <w:numPr>
          <w:ilvl w:val="0"/>
          <w:numId w:val="1"/>
        </w:numPr>
        <w:spacing w:after="60"/>
      </w:pPr>
      <w:r>
        <w:rPr>
          <w:rFonts w:ascii="IBM Plex Sans" w:cs="IBM Plex Sans" w:eastAsia="IBM Plex Sans" w:hAnsi="IBM Plex Sans"/>
          <w:color w:val="334155"/>
          <w:sz w:val="22"/>
          <w:szCs w:val="22"/>
        </w:rPr>
        <w:t xml:space="preserve">Palpasi abdomen: nyeri tekan hipokondrium kanan (pembesaran hepar, terutama bila lebih dari 2 cm di bawah arkus kosta dan timbul mendadak), tanda asites pada kasus dengan kebocoran plasma bermakna.</w:t>
      </w:r>
    </w:p>
    <w:p>
      <w:pPr>
        <w:pStyle w:val="ListParagraph"/>
        <w:numPr>
          <w:ilvl w:val="0"/>
          <w:numId w:val="1"/>
        </w:numPr>
        <w:spacing w:after="60"/>
      </w:pPr>
      <w:r>
        <w:rPr>
          <w:rFonts w:ascii="IBM Plex Sans" w:cs="IBM Plex Sans" w:eastAsia="IBM Plex Sans" w:hAnsi="IBM Plex Sans"/>
          <w:color w:val="334155"/>
          <w:sz w:val="22"/>
          <w:szCs w:val="22"/>
        </w:rPr>
        <w:t xml:space="preserve">Pemeriksaan obstetrik: tinggi fundus uteri, denyut jantung janin (DJJ), tanda kontraksi/persalinan preterm, tanda perdarahan pervaginam.</w:t>
      </w:r>
    </w:p>
    <w:p>
      <w:pPr>
        <w:pStyle w:val="ListParagraph"/>
        <w:numPr>
          <w:ilvl w:val="0"/>
          <w:numId w:val="1"/>
        </w:numPr>
        <w:spacing w:after="60"/>
      </w:pPr>
      <w:r>
        <w:rPr>
          <w:rFonts w:ascii="IBM Plex Sans" w:cs="IBM Plex Sans" w:eastAsia="IBM Plex Sans" w:hAnsi="IBM Plex Sans"/>
          <w:color w:val="334155"/>
          <w:sz w:val="22"/>
          <w:szCs w:val="22"/>
        </w:rPr>
        <w:t xml:space="preserve">Penilaian tanda syok: akral dingin, capillary refill time memanjang, nadi cepat dan lemah, tekanan darah menurun — bila ditemukan, kasus keluar dari kategori "tanpa komplikasi" dan dirujuk sesuai jalur dengue berat.</w:t>
      </w:r>
    </w:p>
    <w:p>
      <w:pPr>
        <w:pStyle w:val="Heading1"/>
        <w:spacing w:after="150" w:before="300"/>
      </w:pPr>
      <w:r>
        <w:t xml:space="preserve">4. Kriteria Diagnosis</w:t>
      </w:r>
    </w:p>
    <w:tbl>
      <w:tblPr>
        <w:tblW w:type="pct" w:w="100%"/>
        <w:tblBorders>
          <w:top w:val="single" w:color="B45309" w:sz="6"/>
          <w:left w:val="single" w:color="B45309" w:sz="6"/>
          <w:bottom w:val="single" w:color="B45309" w:sz="6"/>
          <w:right w:val="single" w:color="B45309" w:sz="6"/>
          <w:insideH w:val="single" w:color="auto" w:sz="4"/>
          <w:insideV w:val="single" w:color="auto" w:sz="4"/>
        </w:tblBorders>
      </w:tblPr>
      <w:tblGrid>
        <w:gridCol w:w="100"/>
      </w:tblGrid>
      <w:tr>
        <w:tc>
          <w:tcPr>
            <w:shd w:fill="FEF3C7" w:val="clear"/>
            <w:tcMar>
              <w:top w:type="dxa" w:w="150"/>
              <w:left w:type="dxa" w:w="200"/>
              <w:bottom w:type="dxa" w:w="150"/>
              <w:right w:type="dxa" w:w="200"/>
            </w:tcMar>
          </w:tcPr>
          <w:p>
            <w:r>
              <w:rPr>
                <w:rFonts w:ascii="IBM Plex Sans" w:cs="IBM Plex Sans" w:eastAsia="IBM Plex Sans" w:hAnsi="IBM Plex Sans"/>
                <w:b/>
                <w:bCs/>
                <w:color w:val="B45309"/>
                <w:sz w:val="18"/>
                <w:szCs w:val="18"/>
              </w:rPr>
              <w:t xml:space="preserve">DASAR REGULASI  </w:t>
            </w:r>
            <w:r>
              <w:rPr>
                <w:rFonts w:ascii="IBM Plex Sans" w:cs="IBM Plex Sans" w:eastAsia="IBM Plex Sans" w:hAnsi="IBM Plex Sans"/>
                <w:color w:val="334155"/>
                <w:sz w:val="20"/>
                <w:szCs w:val="20"/>
              </w:rPr>
              <w:t xml:space="preserve">Kode ICD-10: A90/A91 disertai O98.5. O98.5 (Other viral diseases complicating pregnancy, childbirth and the puerperium) dicantumkan berdampingan dengan kode etiologi A90 (Dengue fever) atau A91 (Dengue haemorrhagic fever) sesuai kaidah dual-coding ICD-10 Bab XV. Kesesuaian kode ini dengan redaksi persis Tabel 7 Kepkonsil No. HK.01.02/KKI/1318/2026 entri No. 34 tetap memerlukan konfirmasi oleh tim rekam medis sebelum dicantumkan pada berkas resmi. Kode ICD-11: 1D20 (Dengue without warning signs). 1D20 (Dengue without warning signs) adalah kode inti ICD-11 untuk kategori tanpa tanda bahaya. ICD-11 tidak memiliki padanan langsung kode kombinasi seperti O98.5 pada ICD-10; konteks kehamilan dicantumkan melalui mekanisme postkoordinasi dengan kode dari Bab 18 (kehamilan, persalinan, dan nifas). Kode ekstensi postkoordinasi yang tepat wajib ditentukan oleh tim rekam medis institusi menggunakan ICD-11 Coding Tool resmi, bukan disalin dari dokumen ini.</w:t>
            </w:r>
          </w:p>
        </w:tc>
      </w:tr>
    </w:tbl>
    <w:p>
      <w:pPr>
        <w:spacing w:after="100"/>
      </w:pPr>
    </w:p>
    <w:p>
      <w:pPr>
        <w:spacing w:after="150"/>
        <w:jc w:val="both"/>
      </w:pPr>
      <w:r>
        <w:rPr>
          <w:rFonts w:ascii="IBM Plex Sans" w:cs="IBM Plex Sans" w:eastAsia="IBM Plex Sans" w:hAnsi="IBM Plex Sans"/>
          <w:color w:val="334155"/>
          <w:sz w:val="22"/>
          <w:szCs w:val="22"/>
        </w:rPr>
        <w:t xml:space="preserve">Diagnosis mengikuti klasifikasi keparahan dengue WHO (tanpa tanda bahaya / dengan tanda bahaya / dengue berat), yang tetap dipertahankan sebagai definisi kerja pada pedoman klinis arbovirus WHO edisi 2025, diterapkan dengan penyesuaian konteks kehamilan.</w:t>
      </w:r>
    </w:p>
    <w:p>
      <w:pPr>
        <w:spacing w:after="80" w:before="100"/>
      </w:pPr>
      <w:r>
        <w:rPr>
          <w:rFonts w:ascii="IBM Plex Sans" w:cs="IBM Plex Sans" w:eastAsia="IBM Plex Sans" w:hAnsi="IBM Plex Sans"/>
          <w:color w:val="334155"/>
          <w:sz w:val="22"/>
          <w:szCs w:val="22"/>
        </w:rPr>
        <w:t xml:space="preserve">Kriteria dengue tanpa tanda bahaya pada kehamilan (kategori PPK ini):</w:t>
      </w:r>
    </w:p>
    <w:p>
      <w:pPr>
        <w:pStyle w:val="ListParagraph"/>
        <w:numPr>
          <w:ilvl w:val="0"/>
          <w:numId w:val="1"/>
        </w:numPr>
        <w:spacing w:after="60"/>
      </w:pPr>
      <w:r>
        <w:rPr>
          <w:rFonts w:ascii="IBM Plex Sans" w:cs="IBM Plex Sans" w:eastAsia="IBM Plex Sans" w:hAnsi="IBM Plex Sans"/>
          <w:color w:val="334155"/>
          <w:sz w:val="22"/>
          <w:szCs w:val="22"/>
        </w:rPr>
        <w:t xml:space="preserve">Demam tinggi akut 2–7 hari DITAMBAH minimal dua dari: mual/muntah, ruam, nyeri/mialgia, leukopenia, atau uji torniket positif.</w:t>
      </w:r>
    </w:p>
    <w:p>
      <w:pPr>
        <w:pStyle w:val="ListParagraph"/>
        <w:numPr>
          <w:ilvl w:val="0"/>
          <w:numId w:val="1"/>
        </w:numPr>
        <w:spacing w:after="60"/>
      </w:pPr>
      <w:r>
        <w:rPr>
          <w:rFonts w:ascii="IBM Plex Sans" w:cs="IBM Plex Sans" w:eastAsia="IBM Plex Sans" w:hAnsi="IBM Plex Sans"/>
          <w:color w:val="334155"/>
          <w:sz w:val="22"/>
          <w:szCs w:val="22"/>
        </w:rPr>
        <w:t xml:space="preserve">Konfirmasi laboratorium mendukung: antigen NS1 positif (optimal hari ke-1 sampai ke-5 demam), dan/atau IgM/IgG anti-dengue reaktif, dan/atau RT-PCR positif bila tersedia.</w:t>
      </w:r>
    </w:p>
    <w:p>
      <w:pPr>
        <w:pStyle w:val="ListParagraph"/>
        <w:numPr>
          <w:ilvl w:val="0"/>
          <w:numId w:val="1"/>
        </w:numPr>
        <w:spacing w:after="60"/>
      </w:pPr>
      <w:r>
        <w:rPr>
          <w:rFonts w:ascii="IBM Plex Sans" w:cs="IBM Plex Sans" w:eastAsia="IBM Plex Sans" w:hAnsi="IBM Plex Sans"/>
          <w:color w:val="334155"/>
          <w:sz w:val="22"/>
          <w:szCs w:val="22"/>
        </w:rPr>
        <w:t xml:space="preserve">TIDAK dijumpai tanda bahaya (warning signs): nyeri perut yang progresif/menetap dan intens, muntah persisten (≥3 episode/jam atau ≥4 episode/6 jam), akumulasi cairan klinis (asites/efusi), perdarahan mukosa, letargi/gelisah, pembesaran hepar &gt;2 cm yang timbul mendadak, atau peningkatan hematokrit yang progresif bersamaan penurunan cepat trombosit pada minimal dua pemeriksaan berurutan.</w:t>
      </w:r>
    </w:p>
    <w:p>
      <w:pPr>
        <w:pStyle w:val="ListParagraph"/>
        <w:numPr>
          <w:ilvl w:val="0"/>
          <w:numId w:val="1"/>
        </w:numPr>
        <w:spacing w:after="60"/>
      </w:pPr>
      <w:r>
        <w:rPr>
          <w:rFonts w:ascii="IBM Plex Sans" w:cs="IBM Plex Sans" w:eastAsia="IBM Plex Sans" w:hAnsi="IBM Plex Sans"/>
          <w:color w:val="334155"/>
          <w:sz w:val="22"/>
          <w:szCs w:val="22"/>
        </w:rPr>
        <w:t xml:space="preserve">TIDAK dijumpai kriteria dengue berat: kebocoran plasma berat yang menyebabkan syok/distres napas, perdarahan berat, atau gangguan organ berat (AST/ALT ≥1000, gangguan kesadaran, keterlibatan jantung/ginjal berat).</w:t>
      </w:r>
    </w:p>
    <w:p>
      <w:pPr>
        <w:pStyle w:val="ListParagraph"/>
        <w:numPr>
          <w:ilvl w:val="0"/>
          <w:numId w:val="1"/>
        </w:numPr>
        <w:spacing w:after="60"/>
      </w:pPr>
      <w:r>
        <w:rPr>
          <w:rFonts w:ascii="IBM Plex Sans" w:cs="IBM Plex Sans" w:eastAsia="IBM Plex Sans" w:hAnsi="IBM Plex Sans"/>
          <w:color w:val="334155"/>
          <w:sz w:val="22"/>
          <w:szCs w:val="22"/>
        </w:rPr>
        <w:t xml:space="preserve">TIDAK dijumpai komplikasi obstetrik akut yang menyertai (mis. solusio plasenta, gawat janin akut, persalinan preterm aktif) — bila ditemukan, kasus direklasifikasi ke luar cakupan PPK ini.</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Fase Klinis</w:t>
            </w:r>
          </w:p>
        </w:tc>
        <w:tc>
          <w:tcPr>
            <w:tcW w:type="dxa" w:w="312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Perkiraan Hari Sakit</w:t>
            </w:r>
          </w:p>
        </w:tc>
        <w:tc>
          <w:tcPr>
            <w:tcW w:type="dxa" w:w="312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Ciri Utama</w:t>
            </w:r>
          </w:p>
        </w:tc>
      </w:tr>
      <w:tr>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Fase demam (febrile phase)</w:t>
            </w:r>
          </w:p>
        </w:tc>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Hari 1–3</w:t>
            </w:r>
          </w:p>
        </w:tc>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Demam tinggi mendadak, gejala sistemik nonspesifik, umumnya belum ada kebocoran plasma bermakna.</w:t>
            </w:r>
          </w:p>
        </w:tc>
      </w:tr>
      <w:tr>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Fase kritis (critical phase)</w:t>
            </w:r>
          </w:p>
        </w:tc>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Sekitar hari 4–6, bertepatan dengan penurunan suhu (defervescence)</w:t>
            </w:r>
          </w:p>
        </w:tc>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Peningkatan permeabilitas kapiler; tanda bahaya dan perburukan dapat muncul pada fase ini meskipun tidak semua kasus dengue berat didahului tanda bahaya.</w:t>
            </w:r>
          </w:p>
        </w:tc>
      </w:tr>
      <w:tr>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Fase penyembuhan (recovery phase)</w:t>
            </w:r>
          </w:p>
        </w:tc>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Setelah hari 6–7</w:t>
            </w:r>
          </w:p>
        </w:tc>
        <w:tc>
          <w:tcPr>
            <w:tcW w:type="dxa" w:w="3120"/>
            <w:tcMar>
              <w:top w:type="dxa" w:w="100"/>
              <w:left w:type="dxa" w:w="100"/>
              <w:bottom w:type="dxa" w:w="100"/>
              <w:right w:type="dxa" w:w="100"/>
            </w:tcMar>
          </w:tcPr>
          <w:p>
            <w:r>
              <w:rPr>
                <w:rFonts w:ascii="IBM Plex Sans" w:cs="IBM Plex Sans" w:eastAsia="IBM Plex Sans" w:hAnsi="IBM Plex Sans"/>
                <w:color w:val="334155"/>
                <w:sz w:val="18"/>
                <w:szCs w:val="18"/>
              </w:rPr>
              <w:t xml:space="preserve">Reabsorpsi cairan ekstravaskular; sebagian besar pasien pulih dalam 1–2 minggu.</w:t>
            </w:r>
          </w:p>
        </w:tc>
      </w:tr>
    </w:tbl>
    <w:p>
      <w:pPr>
        <w:spacing w:after="150"/>
      </w:pPr>
    </w:p>
    <w:p>
      <w:pPr>
        <w:pStyle w:val="Heading1"/>
        <w:spacing w:after="150" w:before="300"/>
      </w:pPr>
      <w:r>
        <w:t xml:space="preserve">5. Diagnosis Kerja dan Diagnosis Banding</w:t>
      </w:r>
    </w:p>
    <w:p>
      <w:pPr>
        <w:spacing w:after="150"/>
        <w:jc w:val="both"/>
      </w:pPr>
      <w:r>
        <w:rPr>
          <w:rFonts w:ascii="IBM Plex Sans" w:cs="IBM Plex Sans" w:eastAsia="IBM Plex Sans" w:hAnsi="IBM Plex Sans"/>
          <w:color w:val="334155"/>
          <w:sz w:val="22"/>
          <w:szCs w:val="22"/>
        </w:rPr>
        <w:t xml:space="preserve">Diagnosis kerja: G_P_A_ hamil ... minggu dengan infeksi dengue tanpa komplikasi (sesuaikan usia gestasi dan status obstetrik pasien).</w:t>
      </w:r>
    </w:p>
    <w:p>
      <w:pPr>
        <w:spacing w:after="80" w:before="100"/>
      </w:pPr>
      <w:r>
        <w:rPr>
          <w:rFonts w:ascii="IBM Plex Sans" w:cs="IBM Plex Sans" w:eastAsia="IBM Plex Sans" w:hAnsi="IBM Plex Sans"/>
          <w:color w:val="334155"/>
          <w:sz w:val="22"/>
          <w:szCs w:val="22"/>
        </w:rPr>
        <w:t xml:space="preserve">Diagnosis banding yang wajib disingkirkan pada demam akut kehamilan:</w:t>
      </w:r>
    </w:p>
    <w:p>
      <w:pPr>
        <w:pStyle w:val="ListParagraph"/>
        <w:numPr>
          <w:ilvl w:val="0"/>
          <w:numId w:val="1"/>
        </w:numPr>
        <w:spacing w:after="60"/>
      </w:pPr>
      <w:r>
        <w:rPr>
          <w:rFonts w:ascii="IBM Plex Sans" w:cs="IBM Plex Sans" w:eastAsia="IBM Plex Sans" w:hAnsi="IBM Plex Sans"/>
          <w:color w:val="334155"/>
          <w:sz w:val="22"/>
          <w:szCs w:val="22"/>
        </w:rPr>
        <w:t xml:space="preserve">Malaria, terutama di daerah ko-endemis — apusan darah tebal/tipis atau rapid diagnostic test.</w:t>
      </w:r>
    </w:p>
    <w:p>
      <w:pPr>
        <w:pStyle w:val="ListParagraph"/>
        <w:numPr>
          <w:ilvl w:val="0"/>
          <w:numId w:val="1"/>
        </w:numPr>
        <w:spacing w:after="60"/>
      </w:pPr>
      <w:r>
        <w:rPr>
          <w:rFonts w:ascii="IBM Plex Sans" w:cs="IBM Plex Sans" w:eastAsia="IBM Plex Sans" w:hAnsi="IBM Plex Sans"/>
          <w:color w:val="334155"/>
          <w:sz w:val="22"/>
          <w:szCs w:val="22"/>
        </w:rPr>
        <w:t xml:space="preserve">Chikungunya dan Zika — gambaran klinis dapat tumpang tindih dengan dengue; ketiganya termasuk kelompok arbovirus yang ditularkan Aedes dan kini dibahas dalam satu pedoman klinis WHO yang sama (2025).</w:t>
      </w:r>
    </w:p>
    <w:p>
      <w:pPr>
        <w:pStyle w:val="ListParagraph"/>
        <w:numPr>
          <w:ilvl w:val="0"/>
          <w:numId w:val="1"/>
        </w:numPr>
        <w:spacing w:after="60"/>
      </w:pPr>
      <w:r>
        <w:rPr>
          <w:rFonts w:ascii="IBM Plex Sans" w:cs="IBM Plex Sans" w:eastAsia="IBM Plex Sans" w:hAnsi="IBM Plex Sans"/>
          <w:color w:val="334155"/>
          <w:sz w:val="22"/>
          <w:szCs w:val="22"/>
        </w:rPr>
        <w:t xml:space="preserve">Demam tifoid.</w:t>
      </w:r>
    </w:p>
    <w:p>
      <w:pPr>
        <w:pStyle w:val="ListParagraph"/>
        <w:numPr>
          <w:ilvl w:val="0"/>
          <w:numId w:val="1"/>
        </w:numPr>
        <w:spacing w:after="60"/>
      </w:pPr>
      <w:r>
        <w:rPr>
          <w:rFonts w:ascii="IBM Plex Sans" w:cs="IBM Plex Sans" w:eastAsia="IBM Plex Sans" w:hAnsi="IBM Plex Sans"/>
          <w:color w:val="334155"/>
          <w:sz w:val="22"/>
          <w:szCs w:val="22"/>
        </w:rPr>
        <w:t xml:space="preserve">Leptospirosis.</w:t>
      </w:r>
    </w:p>
    <w:p>
      <w:pPr>
        <w:pStyle w:val="ListParagraph"/>
        <w:numPr>
          <w:ilvl w:val="0"/>
          <w:numId w:val="1"/>
        </w:numPr>
        <w:spacing w:after="60"/>
      </w:pPr>
      <w:r>
        <w:rPr>
          <w:rFonts w:ascii="IBM Plex Sans" w:cs="IBM Plex Sans" w:eastAsia="IBM Plex Sans" w:hAnsi="IBM Plex Sans"/>
          <w:color w:val="334155"/>
          <w:sz w:val="22"/>
          <w:szCs w:val="22"/>
        </w:rPr>
        <w:t xml:space="preserve">Infeksi saluran kemih/pielonefritis akut pada kehamilan.</w:t>
      </w:r>
    </w:p>
    <w:p>
      <w:pPr>
        <w:pStyle w:val="ListParagraph"/>
        <w:numPr>
          <w:ilvl w:val="0"/>
          <w:numId w:val="1"/>
        </w:numPr>
        <w:spacing w:after="60"/>
      </w:pPr>
      <w:r>
        <w:rPr>
          <w:rFonts w:ascii="IBM Plex Sans" w:cs="IBM Plex Sans" w:eastAsia="IBM Plex Sans" w:hAnsi="IBM Plex Sans"/>
          <w:color w:val="334155"/>
          <w:sz w:val="22"/>
          <w:szCs w:val="22"/>
        </w:rPr>
        <w:t xml:space="preserve">Korioamnionitis dan sepsis obstetrik lain.</w:t>
      </w:r>
    </w:p>
    <w:p>
      <w:pPr>
        <w:pStyle w:val="ListParagraph"/>
        <w:numPr>
          <w:ilvl w:val="0"/>
          <w:numId w:val="1"/>
        </w:numPr>
        <w:spacing w:after="60"/>
      </w:pPr>
      <w:r>
        <w:rPr>
          <w:rFonts w:ascii="IBM Plex Sans" w:cs="IBM Plex Sans" w:eastAsia="IBM Plex Sans" w:hAnsi="IBM Plex Sans"/>
          <w:color w:val="334155"/>
          <w:sz w:val="22"/>
          <w:szCs w:val="22"/>
        </w:rPr>
        <w:t xml:space="preserve">Preeklamsia dengan sindrom HELLP — pembeda utama pada dengue: tekanan darah umumnya tidak meningkat, proteinuria tidak khas, dan pola enzim hepar/trombositopenia mengikuti perjalanan fase demam-kritis-penyembuhan, bukan progresi hipertensi kehamilan.</w:t>
      </w:r>
    </w:p>
    <w:p>
      <w:pPr>
        <w:pStyle w:val="ListParagraph"/>
        <w:numPr>
          <w:ilvl w:val="0"/>
          <w:numId w:val="1"/>
        </w:numPr>
        <w:spacing w:after="60"/>
      </w:pPr>
      <w:r>
        <w:rPr>
          <w:rFonts w:ascii="IBM Plex Sans" w:cs="IBM Plex Sans" w:eastAsia="IBM Plex Sans" w:hAnsi="IBM Plex Sans"/>
          <w:color w:val="334155"/>
          <w:sz w:val="22"/>
          <w:szCs w:val="22"/>
        </w:rPr>
        <w:t xml:space="preserve">Hepatitis virus akut.</w:t>
      </w:r>
    </w:p>
    <w:p>
      <w:pPr>
        <w:pStyle w:val="Heading1"/>
        <w:spacing w:after="150" w:before="300"/>
      </w:pPr>
      <w:r>
        <w:t xml:space="preserve">6. Pemeriksaan Penunjang</w:t>
      </w:r>
    </w:p>
    <w:p>
      <w:pPr>
        <w:spacing w:after="80" w:before="100"/>
      </w:pPr>
      <w:r>
        <w:rPr>
          <w:rFonts w:ascii="IBM Plex Sans" w:cs="IBM Plex Sans" w:eastAsia="IBM Plex Sans" w:hAnsi="IBM Plex Sans"/>
          <w:color w:val="334155"/>
          <w:sz w:val="22"/>
          <w:szCs w:val="22"/>
        </w:rPr>
        <w:t xml:space="preserve">Laboratorium dan penunjang yang diperlukan:</w:t>
      </w:r>
    </w:p>
    <w:p>
      <w:pPr>
        <w:pStyle w:val="ListParagraph"/>
        <w:numPr>
          <w:ilvl w:val="0"/>
          <w:numId w:val="1"/>
        </w:numPr>
        <w:spacing w:after="60"/>
      </w:pPr>
      <w:r>
        <w:rPr>
          <w:rFonts w:ascii="IBM Plex Sans" w:cs="IBM Plex Sans" w:eastAsia="IBM Plex Sans" w:hAnsi="IBM Plex Sans"/>
          <w:color w:val="334155"/>
          <w:sz w:val="22"/>
          <w:szCs w:val="22"/>
        </w:rPr>
        <w:t xml:space="preserve">Darah perifer lengkap (DPL) serial: hematokrit, trombosit, leukosit — dipantau minimal setiap 24 jam pada fase demam, ditingkatkan menjadi setiap 6–12 jam pada fase kritis (sekitar hari 4–6 sakit) atau lebih sering bila tren memburuk.</w:t>
      </w:r>
    </w:p>
    <w:p>
      <w:pPr>
        <w:pStyle w:val="ListParagraph"/>
        <w:numPr>
          <w:ilvl w:val="0"/>
          <w:numId w:val="1"/>
        </w:numPr>
        <w:spacing w:after="60"/>
      </w:pPr>
      <w:r>
        <w:rPr>
          <w:rFonts w:ascii="IBM Plex Sans" w:cs="IBM Plex Sans" w:eastAsia="IBM Plex Sans" w:hAnsi="IBM Plex Sans"/>
          <w:color w:val="334155"/>
          <w:sz w:val="22"/>
          <w:szCs w:val="22"/>
        </w:rPr>
        <w:t xml:space="preserve">Antigen NS1 dengue (optimal hari ke-1 sampai ke-5 demam) dan serologi IgM/IgG anti-dengue (umumnya reaktif sejak akhir minggu pertama sakit).</w:t>
      </w:r>
    </w:p>
    <w:p>
      <w:pPr>
        <w:pStyle w:val="ListParagraph"/>
        <w:numPr>
          <w:ilvl w:val="0"/>
          <w:numId w:val="1"/>
        </w:numPr>
        <w:spacing w:after="60"/>
      </w:pPr>
      <w:r>
        <w:rPr>
          <w:rFonts w:ascii="IBM Plex Sans" w:cs="IBM Plex Sans" w:eastAsia="IBM Plex Sans" w:hAnsi="IBM Plex Sans"/>
          <w:color w:val="334155"/>
          <w:sz w:val="22"/>
          <w:szCs w:val="22"/>
        </w:rPr>
        <w:t xml:space="preserve">Fungsi hepar (AST/ALT), fungsi ginjal, dan elektrolit untuk deteksi dini keterlibatan organ.</w:t>
      </w:r>
    </w:p>
    <w:p>
      <w:pPr>
        <w:pStyle w:val="ListParagraph"/>
        <w:numPr>
          <w:ilvl w:val="0"/>
          <w:numId w:val="1"/>
        </w:numPr>
        <w:spacing w:after="60"/>
      </w:pPr>
      <w:r>
        <w:rPr>
          <w:rFonts w:ascii="IBM Plex Sans" w:cs="IBM Plex Sans" w:eastAsia="IBM Plex Sans" w:hAnsi="IBM Plex Sans"/>
          <w:color w:val="334155"/>
          <w:sz w:val="22"/>
          <w:szCs w:val="22"/>
        </w:rPr>
        <w:t xml:space="preserve">Profil koagulasi bila dicurigai risiko perdarahan atau menjelang persalinan.</w:t>
      </w:r>
    </w:p>
    <w:p>
      <w:pPr>
        <w:pStyle w:val="ListParagraph"/>
        <w:numPr>
          <w:ilvl w:val="0"/>
          <w:numId w:val="1"/>
        </w:numPr>
        <w:spacing w:after="60"/>
      </w:pPr>
      <w:r>
        <w:rPr>
          <w:rFonts w:ascii="IBM Plex Sans" w:cs="IBM Plex Sans" w:eastAsia="IBM Plex Sans" w:hAnsi="IBM Plex Sans"/>
          <w:color w:val="334155"/>
          <w:sz w:val="22"/>
          <w:szCs w:val="22"/>
        </w:rPr>
        <w:t xml:space="preserve">Golongan darah dan kesiapan crossmatch bila trombosit rendah atau mendekati taksiran persalinan.</w:t>
      </w:r>
    </w:p>
    <w:p>
      <w:pPr>
        <w:pStyle w:val="ListParagraph"/>
        <w:numPr>
          <w:ilvl w:val="0"/>
          <w:numId w:val="1"/>
        </w:numPr>
        <w:spacing w:after="60"/>
      </w:pPr>
      <w:r>
        <w:rPr>
          <w:rFonts w:ascii="IBM Plex Sans" w:cs="IBM Plex Sans" w:eastAsia="IBM Plex Sans" w:hAnsi="IBM Plex Sans"/>
          <w:color w:val="334155"/>
          <w:sz w:val="22"/>
          <w:szCs w:val="22"/>
        </w:rPr>
        <w:t xml:space="preserve">Ultrasonografi obstetrik: taksiran berat janin, indeks cairan ketuban, profil biofisik/Doppler sesuai indikasi usia gestasi, untuk memantau kesejahteraan janin selama fase demam dan kritis.</w:t>
      </w:r>
    </w:p>
    <w:p>
      <w:pPr>
        <w:pStyle w:val="ListParagraph"/>
        <w:numPr>
          <w:ilvl w:val="0"/>
          <w:numId w:val="1"/>
        </w:numPr>
        <w:spacing w:after="60"/>
      </w:pPr>
      <w:r>
        <w:rPr>
          <w:rFonts w:ascii="IBM Plex Sans" w:cs="IBM Plex Sans" w:eastAsia="IBM Plex Sans" w:hAnsi="IBM Plex Sans"/>
          <w:color w:val="334155"/>
          <w:sz w:val="22"/>
          <w:szCs w:val="22"/>
        </w:rPr>
        <w:t xml:space="preserve">Kardiotokografi (KTG) pada usia gestasi viable sesuai indikasi klinis.</w:t>
      </w:r>
    </w:p>
    <w:p>
      <w:pPr>
        <w:pStyle w:val="ListParagraph"/>
        <w:numPr>
          <w:ilvl w:val="0"/>
          <w:numId w:val="1"/>
        </w:numPr>
        <w:spacing w:after="60"/>
      </w:pPr>
      <w:r>
        <w:rPr>
          <w:rFonts w:ascii="IBM Plex Sans" w:cs="IBM Plex Sans" w:eastAsia="IBM Plex Sans" w:hAnsi="IBM Plex Sans"/>
          <w:color w:val="334155"/>
          <w:sz w:val="22"/>
          <w:szCs w:val="22"/>
        </w:rPr>
        <w:t xml:space="preserve">Urinalisis untuk menyingkirkan infeksi saluran kemih sebagai diagnosis banding/penyerta.</w:t>
      </w:r>
    </w:p>
    <w:p>
      <w:pPr>
        <w:pStyle w:val="Heading1"/>
        <w:spacing w:after="150" w:before="300"/>
      </w:pPr>
      <w:r>
        <w:t xml:space="preserve">7. Tata Laksana</w:t>
      </w:r>
    </w:p>
    <w:p>
      <w:pPr>
        <w:pStyle w:val="Heading2"/>
        <w:spacing w:after="150" w:before="300"/>
      </w:pPr>
      <w:r>
        <w:t xml:space="preserve">7.1 Tata Laksana Non-Farmakologis</w:t>
      </w:r>
    </w:p>
    <w:p>
      <w:pPr>
        <w:spacing w:after="150"/>
        <w:jc w:val="both"/>
      </w:pPr>
      <w:r>
        <w:rPr>
          <w:rFonts w:ascii="IBM Plex Sans" w:cs="IBM Plex Sans" w:eastAsia="IBM Plex Sans" w:hAnsi="IBM Plex Sans"/>
          <w:color w:val="334155"/>
          <w:sz w:val="22"/>
          <w:szCs w:val="22"/>
        </w:rPr>
        <w:t xml:space="preserve">Ambang rawat inap pada dengue dalam kehamilan lebih rendah dibandingkan populasi umum. Pedoman klinis arbovirus WHO edisi 2025 secara eksplisit mencantumkan kehamilan sebagai salah satu kondisi yang mendorong keputusan rawat inap meskipun tanda bahaya belum muncul; posisi ini sejalan dengan CDC Yellow Book 2026 dan StatPearls (2026) yang menempatkan kehamilan sebagai kelompok risiko tinggi yang dianjurkan dirawat untuk pemantauan ketat, keseimbangan cairan, dan evaluasi laboratorium serial.</w:t>
      </w:r>
    </w:p>
    <w:p>
      <w:pPr>
        <w:spacing w:after="150"/>
        <w:jc w:val="both"/>
      </w:pPr>
      <w:r>
        <w:rPr>
          <w:rFonts w:ascii="IBM Plex Sans" w:cs="IBM Plex Sans" w:eastAsia="IBM Plex Sans" w:hAnsi="IBM Plex Sans"/>
          <w:color w:val="334155"/>
          <w:sz w:val="22"/>
          <w:szCs w:val="22"/>
        </w:rPr>
        <w:t xml:space="preserve">Sebagai catatan pembanding: protokol nasional Federação Brasileira das Associações de Ginecologia e Obstetrícia (FEBRASGO, 2024) memperbolehkan pemantauan rawat jalan yang diawasi ketat pada dengue tanpa tanda bahaya bila fasilitas pemeriksaan darah dan hidrasi terjamin, dengan syarat kontrol ulang harian terjamin selama fase demam menuju fase kritis. PPK ini mengikuti pendekatan yang lebih konservatif (kecenderungan rawat inap observasi) mengikuti WHO/CDC/StatPearls, mengingat keterbatasan data keluaran janin-ibu dan variasi akses kontrol ulang pada populasi Indonesia; keputusan akhir rawat jalan versus rawat inap tetap berada pada penilaian klinis dokter penanggung jawab pasien (DPJP) berdasarkan akses fasilitas dan kepatuhan pasien.</w:t>
      </w:r>
    </w:p>
    <w:p>
      <w:pPr>
        <w:pStyle w:val="ListParagraph"/>
        <w:numPr>
          <w:ilvl w:val="0"/>
          <w:numId w:val="1"/>
        </w:numPr>
        <w:spacing w:after="60"/>
      </w:pPr>
      <w:r>
        <w:rPr>
          <w:rFonts w:ascii="IBM Plex Sans" w:cs="IBM Plex Sans" w:eastAsia="IBM Plex Sans" w:hAnsi="IBM Plex Sans"/>
          <w:color w:val="334155"/>
          <w:sz w:val="22"/>
          <w:szCs w:val="22"/>
        </w:rPr>
        <w:t xml:space="preserve">Bila rawat inap observasi dipilih: pemantauan tanda vital ibu dan tanda bahaya setiap 4–6 jam pada fase demam, ditingkatkan pada fase kritis (sekitar hari 4–6 sakit/saat suhu mulai turun).</w:t>
      </w:r>
    </w:p>
    <w:p>
      <w:pPr>
        <w:pStyle w:val="ListParagraph"/>
        <w:numPr>
          <w:ilvl w:val="0"/>
          <w:numId w:val="1"/>
        </w:numPr>
        <w:spacing w:after="60"/>
      </w:pPr>
      <w:r>
        <w:rPr>
          <w:rFonts w:ascii="IBM Plex Sans" w:cs="IBM Plex Sans" w:eastAsia="IBM Plex Sans" w:hAnsi="IBM Plex Sans"/>
          <w:color w:val="334155"/>
          <w:sz w:val="22"/>
          <w:szCs w:val="22"/>
        </w:rPr>
        <w:t xml:space="preserve">Tirah baring relatif dan hidrasi oral adekuat sebagai lini pertama selama fase demam, ditargetkan mempertahankan produksi urin dan mencegah dehidrasi.</w:t>
      </w:r>
    </w:p>
    <w:p>
      <w:pPr>
        <w:pStyle w:val="ListParagraph"/>
        <w:numPr>
          <w:ilvl w:val="0"/>
          <w:numId w:val="1"/>
        </w:numPr>
        <w:spacing w:after="60"/>
      </w:pPr>
      <w:r>
        <w:rPr>
          <w:rFonts w:ascii="IBM Plex Sans" w:cs="IBM Plex Sans" w:eastAsia="IBM Plex Sans" w:hAnsi="IBM Plex Sans"/>
          <w:color w:val="334155"/>
          <w:sz w:val="22"/>
          <w:szCs w:val="22"/>
        </w:rPr>
        <w:t xml:space="preserve">Mobilisasi/ambulasi bertahap tetap dianjurkan selama rawat inap (bukan tirah baring total berkepanjangan) untuk mencegah tromboemboli vena, mengingat kehamilan dan gangguan koagulasi akibat dengue sama-sama meningkatkan risiko trombosis.</w:t>
      </w:r>
    </w:p>
    <w:p>
      <w:pPr>
        <w:pStyle w:val="ListParagraph"/>
        <w:numPr>
          <w:ilvl w:val="0"/>
          <w:numId w:val="1"/>
        </w:numPr>
        <w:spacing w:after="60"/>
      </w:pPr>
      <w:r>
        <w:rPr>
          <w:rFonts w:ascii="IBM Plex Sans" w:cs="IBM Plex Sans" w:eastAsia="IBM Plex Sans" w:hAnsi="IBM Plex Sans"/>
          <w:color w:val="334155"/>
          <w:sz w:val="22"/>
          <w:szCs w:val="22"/>
        </w:rPr>
        <w:t xml:space="preserve">Pemantauan kesejahteraan janin berkala (gerak janin, DJJ/KTG sesuai usia gestasi) karena demam tinggi dan gangguan hemodinamik ibu dapat memengaruhi perfusi uteroplasenta.</w:t>
      </w:r>
    </w:p>
    <w:p>
      <w:pPr>
        <w:pStyle w:val="ListParagraph"/>
        <w:numPr>
          <w:ilvl w:val="0"/>
          <w:numId w:val="1"/>
        </w:numPr>
        <w:spacing w:after="60"/>
      </w:pPr>
      <w:r>
        <w:rPr>
          <w:rFonts w:ascii="IBM Plex Sans" w:cs="IBM Plex Sans" w:eastAsia="IBM Plex Sans" w:hAnsi="IBM Plex Sans"/>
          <w:color w:val="334155"/>
          <w:sz w:val="22"/>
          <w:szCs w:val="22"/>
        </w:rPr>
        <w:t xml:space="preserve">Kompres tepid sponging dapat digunakan sebagai tambahan pengendalian demam bersama antipiretik.</w:t>
      </w:r>
    </w:p>
    <w:p>
      <w:pPr>
        <w:pStyle w:val="ListParagraph"/>
        <w:numPr>
          <w:ilvl w:val="0"/>
          <w:numId w:val="1"/>
        </w:numPr>
        <w:spacing w:after="60"/>
      </w:pPr>
      <w:r>
        <w:rPr>
          <w:rFonts w:ascii="IBM Plex Sans" w:cs="IBM Plex Sans" w:eastAsia="IBM Plex Sans" w:hAnsi="IBM Plex Sans"/>
          <w:color w:val="334155"/>
          <w:sz w:val="22"/>
          <w:szCs w:val="22"/>
        </w:rPr>
        <w:t xml:space="preserve">Edukasi tanda bahaya yang harus segera dilaporkan (lihat bagian Edukasi).</w:t>
      </w:r>
    </w:p>
    <w:p>
      <w:pPr>
        <w:pStyle w:val="Heading2"/>
        <w:spacing w:after="150" w:before="300"/>
      </w:pPr>
      <w:r>
        <w:t xml:space="preserve">7.2 Tata Laksana Farmakologis</w:t>
      </w:r>
    </w:p>
    <w:p>
      <w:pPr>
        <w:pStyle w:val="ListParagraph"/>
        <w:numPr>
          <w:ilvl w:val="0"/>
          <w:numId w:val="1"/>
        </w:numPr>
        <w:spacing w:after="60"/>
      </w:pPr>
      <w:r>
        <w:rPr>
          <w:rFonts w:ascii="IBM Plex Sans" w:cs="IBM Plex Sans" w:eastAsia="IBM Plex Sans" w:hAnsi="IBM Plex Sans"/>
          <w:color w:val="334155"/>
          <w:sz w:val="22"/>
          <w:szCs w:val="22"/>
        </w:rPr>
        <w:t xml:space="preserve">Antipiretik: parasetamol (asetaminofen) sebagai pilihan utama sesuai dosis lazim dewasa (500–1000 mg per oral tiap 6–8 jam, maksimum sesuai batas aman harian dan fungsi hepar pasien); HINDARI obat antiinflamasi nonsteroid (OAINS/NSAID) dan aspirin karena sifat antikoagulannya meningkatkan risiko perdarahan, dan pada trimester III OAINS berisiko penutupan dini duktus arteriosus janin.</w:t>
      </w:r>
    </w:p>
    <w:p>
      <w:pPr>
        <w:pStyle w:val="ListParagraph"/>
        <w:numPr>
          <w:ilvl w:val="0"/>
          <w:numId w:val="1"/>
        </w:numPr>
        <w:spacing w:after="60"/>
      </w:pPr>
      <w:r>
        <w:rPr>
          <w:rFonts w:ascii="IBM Plex Sans" w:cs="IBM Plex Sans" w:eastAsia="IBM Plex Sans" w:hAnsi="IBM Plex Sans"/>
          <w:color w:val="334155"/>
          <w:sz w:val="22"/>
          <w:szCs w:val="22"/>
        </w:rPr>
        <w:t xml:space="preserve">Cairan intravena isotonik (mis. kristaloid) diberikan bila asupan oral tidak adekuat atau terdapat tanda dehidrasi ringan-sedang, dengan volume dan kecepatan disesuaikan status hemodinamik serta usia gestasi — hindari kelebihan cairan (fluid overload), yang menjadi salah satu penyebab utama perburukan pada fase kritis maupun pasca-fase kritis.</w:t>
      </w:r>
    </w:p>
    <w:p>
      <w:pPr>
        <w:pStyle w:val="ListParagraph"/>
        <w:numPr>
          <w:ilvl w:val="0"/>
          <w:numId w:val="1"/>
        </w:numPr>
        <w:spacing w:after="60"/>
      </w:pPr>
      <w:r>
        <w:rPr>
          <w:rFonts w:ascii="IBM Plex Sans" w:cs="IBM Plex Sans" w:eastAsia="IBM Plex Sans" w:hAnsi="IBM Plex Sans"/>
          <w:color w:val="334155"/>
          <w:sz w:val="22"/>
          <w:szCs w:val="22"/>
        </w:rPr>
        <w:t xml:space="preserve">Tidak ada terapi antivirus spesifik untuk dengue; tata laksana bersifat suportif sepenuhnya sesuai prinsip yang berlaku umum dan tetap dipertahankan pada pedoman klinis arbovirus WHO edisi 2025.</w:t>
      </w:r>
    </w:p>
    <w:p>
      <w:pPr>
        <w:pStyle w:val="ListParagraph"/>
        <w:numPr>
          <w:ilvl w:val="0"/>
          <w:numId w:val="1"/>
        </w:numPr>
        <w:spacing w:after="60"/>
      </w:pPr>
      <w:r>
        <w:rPr>
          <w:rFonts w:ascii="IBM Plex Sans" w:cs="IBM Plex Sans" w:eastAsia="IBM Plex Sans" w:hAnsi="IBM Plex Sans"/>
          <w:color w:val="334155"/>
          <w:sz w:val="22"/>
          <w:szCs w:val="22"/>
        </w:rPr>
        <w:t xml:space="preserve">Transfusi trombosit profilaktik TIDAK diberikan secara rutin pada trombositopenia asimtomatik tanpa perdarahan aktif — CDC menegaskan transfusi trombosit profilaktik tidak terbukti bermanfaat dan berisiko memicu kelebihan cairan. Pemberian dipertimbangkan hanya pada kondisi klinis khusus (rencana prosedur invasif/persalinan dengan trombosit sangat rendah disertai risiko perdarahan) melalui pertimbangan multidisiplin.</w:t>
      </w:r>
    </w:p>
    <w:p>
      <w:pPr>
        <w:pStyle w:val="ListParagraph"/>
        <w:numPr>
          <w:ilvl w:val="0"/>
          <w:numId w:val="1"/>
        </w:numPr>
        <w:spacing w:after="60"/>
      </w:pPr>
      <w:r>
        <w:rPr>
          <w:rFonts w:ascii="IBM Plex Sans" w:cs="IBM Plex Sans" w:eastAsia="IBM Plex Sans" w:hAnsi="IBM Plex Sans"/>
          <w:color w:val="334155"/>
          <w:sz w:val="22"/>
          <w:szCs w:val="22"/>
        </w:rPr>
        <w:t xml:space="preserve">Pemantauan ketat terhadap tanda transisi menuju dengue dengan tanda bahaya atau dengue berat; bila terjadi, tata laksana beralih ke jalur PPK dengue dengan komplikasi/dengue berat dalam kehamilan.</w:t>
      </w:r>
    </w:p>
    <w:p>
      <w:pPr>
        <w:pStyle w:val="Heading2"/>
        <w:spacing w:after="150" w:before="300"/>
      </w:pPr>
      <w:r>
        <w:t xml:space="preserve">7.3 Tata Laksana Bedah/Prosedural</w:t>
      </w:r>
    </w:p>
    <w:p>
      <w:pPr>
        <w:spacing w:after="150"/>
        <w:jc w:val="both"/>
      </w:pPr>
      <w:r>
        <w:rPr>
          <w:rFonts w:ascii="IBM Plex Sans" w:cs="IBM Plex Sans" w:eastAsia="IBM Plex Sans" w:hAnsi="IBM Plex Sans"/>
          <w:color w:val="334155"/>
          <w:sz w:val="22"/>
          <w:szCs w:val="22"/>
        </w:rPr>
        <w:t xml:space="preserve">Pada dengue tanpa komplikasi, tidak ada indikasi tindakan bedah/prosedural khusus akibat infeksi dengue itu sendiri. Persalinan (pervaginam atau seksio sesarea) dilakukan atas indikasi obstetrik baku, bukan atas indikasi dengue semata.</w:t>
      </w:r>
    </w:p>
    <w:p>
      <w:pPr>
        <w:spacing w:after="150"/>
        <w:jc w:val="both"/>
      </w:pPr>
      <w:r>
        <w:rPr>
          <w:rFonts w:ascii="IBM Plex Sans" w:cs="IBM Plex Sans" w:eastAsia="IBM Plex Sans" w:hAnsi="IBM Plex Sans"/>
          <w:color w:val="334155"/>
          <w:sz w:val="22"/>
          <w:szCs w:val="22"/>
        </w:rPr>
        <w:t xml:space="preserve">Bila persalinan tidak dapat dihindari saat fase kritis (risiko kebocoran plasma/trombositopenia), koordinasi multidisiplin (obstetri, anestesi, hematologi/penyakit dalam, neonatologi) wajib dilakukan. Manajemen aktif kala tiga dengan traksi tali pusat terkendali dan oksitosin intravena profilaksis dianjurkan untuk mengurangi risiko perdarahan pascasalin, mengikuti prinsip yang ditekankan pada protokol obstetrik dengue FEBRASGO (2024); pemantauan involusi uterus dan kontraktilitasnya perlu dilakukan lebih cermat pada masa nifas dini karena risiko perdarahan tetap tinggi pada periode ini.</w:t>
      </w:r>
    </w:p>
    <w:p>
      <w:pPr>
        <w:pStyle w:val="Heading2"/>
        <w:spacing w:after="150" w:before="300"/>
      </w:pPr>
      <w:r>
        <w:t xml:space="preserve">7.4 Kriteria Rujukan ke Subspesialis Fetomaternal</w:t>
      </w:r>
    </w:p>
    <w:p>
      <w:pPr>
        <w:spacing w:after="80" w:before="100"/>
      </w:pPr>
      <w:r>
        <w:rPr>
          <w:rFonts w:ascii="IBM Plex Sans" w:cs="IBM Plex Sans" w:eastAsia="IBM Plex Sans" w:hAnsi="IBM Plex Sans"/>
          <w:color w:val="334155"/>
          <w:sz w:val="22"/>
          <w:szCs w:val="22"/>
        </w:rPr>
        <w:t xml:space="preserve">Rujukan/konsultasi ke Fetomaternal dipertimbangkan bila:</w:t>
      </w:r>
    </w:p>
    <w:p>
      <w:pPr>
        <w:pStyle w:val="ListParagraph"/>
        <w:numPr>
          <w:ilvl w:val="0"/>
          <w:numId w:val="1"/>
        </w:numPr>
        <w:spacing w:after="60"/>
      </w:pPr>
      <w:r>
        <w:rPr>
          <w:rFonts w:ascii="IBM Plex Sans" w:cs="IBM Plex Sans" w:eastAsia="IBM Plex Sans" w:hAnsi="IBM Plex Sans"/>
          <w:color w:val="334155"/>
          <w:sz w:val="22"/>
          <w:szCs w:val="22"/>
        </w:rPr>
        <w:t xml:space="preserve">Terdapat tanda bahaya (warning signs) atau kecurigaan progresi ke dengue berat.</w:t>
      </w:r>
    </w:p>
    <w:p>
      <w:pPr>
        <w:pStyle w:val="ListParagraph"/>
        <w:numPr>
          <w:ilvl w:val="0"/>
          <w:numId w:val="1"/>
        </w:numPr>
        <w:spacing w:after="60"/>
      </w:pPr>
      <w:r>
        <w:rPr>
          <w:rFonts w:ascii="IBM Plex Sans" w:cs="IBM Plex Sans" w:eastAsia="IBM Plex Sans" w:hAnsi="IBM Plex Sans"/>
          <w:color w:val="334155"/>
          <w:sz w:val="22"/>
          <w:szCs w:val="22"/>
        </w:rPr>
        <w:t xml:space="preserve">Ditemukan komplikasi obstetrik penyerta (gawat janin, restriksi pertumbuhan janin, ancaman persalinan preterm, perdarahan antepartum).</w:t>
      </w:r>
    </w:p>
    <w:p>
      <w:pPr>
        <w:pStyle w:val="ListParagraph"/>
        <w:numPr>
          <w:ilvl w:val="0"/>
          <w:numId w:val="1"/>
        </w:numPr>
        <w:spacing w:after="60"/>
      </w:pPr>
      <w:r>
        <w:rPr>
          <w:rFonts w:ascii="IBM Plex Sans" w:cs="IBM Plex Sans" w:eastAsia="IBM Plex Sans" w:hAnsi="IBM Plex Sans"/>
          <w:color w:val="334155"/>
          <w:sz w:val="22"/>
          <w:szCs w:val="22"/>
        </w:rPr>
        <w:t xml:space="preserve">Trombositopenia berat (di bawah ambang institusional) atau kecenderungan perdarahan bermakna, khususnya mendekati taksiran persalinan.</w:t>
      </w:r>
    </w:p>
    <w:p>
      <w:pPr>
        <w:pStyle w:val="ListParagraph"/>
        <w:numPr>
          <w:ilvl w:val="0"/>
          <w:numId w:val="1"/>
        </w:numPr>
        <w:spacing w:after="60"/>
      </w:pPr>
      <w:r>
        <w:rPr>
          <w:rFonts w:ascii="IBM Plex Sans" w:cs="IBM Plex Sans" w:eastAsia="IBM Plex Sans" w:hAnsi="IBM Plex Sans"/>
          <w:color w:val="334155"/>
          <w:sz w:val="22"/>
          <w:szCs w:val="22"/>
        </w:rPr>
        <w:t xml:space="preserve">Kehamilan dengan komorbid berisiko tinggi (preeklamsia, diabetes gestasional tidak terkontrol, penyakit jantung) yang memperberat interpretasi klinis dengue.</w:t>
      </w:r>
    </w:p>
    <w:p>
      <w:pPr>
        <w:pStyle w:val="ListParagraph"/>
        <w:numPr>
          <w:ilvl w:val="0"/>
          <w:numId w:val="1"/>
        </w:numPr>
        <w:spacing w:after="60"/>
      </w:pPr>
      <w:r>
        <w:rPr>
          <w:rFonts w:ascii="IBM Plex Sans" w:cs="IBM Plex Sans" w:eastAsia="IBM Plex Sans" w:hAnsi="IBM Plex Sans"/>
          <w:color w:val="334155"/>
          <w:sz w:val="22"/>
          <w:szCs w:val="22"/>
        </w:rPr>
        <w:t xml:space="preserve">Fasilitas pelayanan primer/sekunder tidak memiliki kapasitas pemantauan hematokrit-trombosit serial dan pemantauan janin yang memadai.</w:t>
      </w:r>
    </w:p>
    <w:p>
      <w:pPr>
        <w:pStyle w:val="Heading1"/>
        <w:spacing w:after="150" w:before="300"/>
      </w:pPr>
      <w:r>
        <w:t xml:space="preserve">8. Edukasi Pasien dan Keluarga</w:t>
      </w:r>
    </w:p>
    <w:p>
      <w:pPr>
        <w:pStyle w:val="ListParagraph"/>
        <w:numPr>
          <w:ilvl w:val="0"/>
          <w:numId w:val="1"/>
        </w:numPr>
        <w:spacing w:after="60"/>
      </w:pPr>
      <w:r>
        <w:rPr>
          <w:rFonts w:ascii="IBM Plex Sans" w:cs="IBM Plex Sans" w:eastAsia="IBM Plex Sans" w:hAnsi="IBM Plex Sans"/>
          <w:color w:val="334155"/>
          <w:sz w:val="22"/>
          <w:szCs w:val="22"/>
        </w:rPr>
        <w:t xml:space="preserve">Jelaskan perjalanan alami dengue: fase demam, fase kritis (sekitar hari ke-4 hingga ke-6, saat suhu mulai turun namun risiko perburukan justru meningkat), dan fase penyembuhan.</w:t>
      </w:r>
    </w:p>
    <w:p>
      <w:pPr>
        <w:pStyle w:val="ListParagraph"/>
        <w:numPr>
          <w:ilvl w:val="0"/>
          <w:numId w:val="1"/>
        </w:numPr>
        <w:spacing w:after="60"/>
      </w:pPr>
      <w:r>
        <w:rPr>
          <w:rFonts w:ascii="IBM Plex Sans" w:cs="IBM Plex Sans" w:eastAsia="IBM Plex Sans" w:hAnsi="IBM Plex Sans"/>
          <w:color w:val="334155"/>
          <w:sz w:val="22"/>
          <w:szCs w:val="22"/>
        </w:rPr>
        <w:t xml:space="preserve">Edukasi tanda bahaya yang wajib segera dilaporkan/dibawa ke fasilitas kesehatan: nyeri perut hebat menetap, muntah terus-menerus, perdarahan (gusi, mimisan, perdarahan pervaginam), lemas/gelisah berlebihan, tangan-kaki dingin, penurunan produksi urin, dan berkurangnya gerak janin.</w:t>
      </w:r>
    </w:p>
    <w:p>
      <w:pPr>
        <w:pStyle w:val="ListParagraph"/>
        <w:numPr>
          <w:ilvl w:val="0"/>
          <w:numId w:val="1"/>
        </w:numPr>
        <w:spacing w:after="60"/>
      </w:pPr>
      <w:r>
        <w:rPr>
          <w:rFonts w:ascii="IBM Plex Sans" w:cs="IBM Plex Sans" w:eastAsia="IBM Plex Sans" w:hAnsi="IBM Plex Sans"/>
          <w:color w:val="334155"/>
          <w:sz w:val="22"/>
          <w:szCs w:val="22"/>
        </w:rPr>
        <w:t xml:space="preserve">Anjurkan hidrasi oral adekuat dan pemantauan mandiri suhu serta gerak janin harian.</w:t>
      </w:r>
    </w:p>
    <w:p>
      <w:pPr>
        <w:pStyle w:val="ListParagraph"/>
        <w:numPr>
          <w:ilvl w:val="0"/>
          <w:numId w:val="1"/>
        </w:numPr>
        <w:spacing w:after="60"/>
      </w:pPr>
      <w:r>
        <w:rPr>
          <w:rFonts w:ascii="IBM Plex Sans" w:cs="IBM Plex Sans" w:eastAsia="IBM Plex Sans" w:hAnsi="IBM Plex Sans"/>
          <w:color w:val="334155"/>
          <w:sz w:val="22"/>
          <w:szCs w:val="22"/>
        </w:rPr>
        <w:t xml:space="preserve">Edukasi pencegahan gigitan nyamuk dan pengendalian vektor di lingkungan rumah (menguras, menutup, mendaur ulang wadah air/3M, kelambu, penggunaan pakaian lengan panjang, repelan yang aman pada kehamilan) untuk mencegah reinfeksi.</w:t>
      </w:r>
    </w:p>
    <w:p>
      <w:pPr>
        <w:pStyle w:val="ListParagraph"/>
        <w:numPr>
          <w:ilvl w:val="0"/>
          <w:numId w:val="1"/>
        </w:numPr>
        <w:spacing w:after="60"/>
      </w:pPr>
      <w:r>
        <w:rPr>
          <w:rFonts w:ascii="IBM Plex Sans" w:cs="IBM Plex Sans" w:eastAsia="IBM Plex Sans" w:hAnsi="IBM Plex Sans"/>
          <w:color w:val="334155"/>
          <w:sz w:val="22"/>
          <w:szCs w:val="22"/>
        </w:rPr>
        <w:t xml:space="preserve">Sampaikan bahwa penularan dengue tidak melalui kontak langsung antarmanusia dalam kehidupan sehari-hari sehingga tidak diperlukan isolasi terhadap anggota keluarga lain, namun kontrol ulang sesuai jadwal tetap wajib.</w:t>
      </w:r>
    </w:p>
    <w:p>
      <w:pPr>
        <w:pStyle w:val="ListParagraph"/>
        <w:numPr>
          <w:ilvl w:val="0"/>
          <w:numId w:val="1"/>
        </w:numPr>
        <w:spacing w:after="60"/>
      </w:pPr>
      <w:r>
        <w:rPr>
          <w:rFonts w:ascii="IBM Plex Sans" w:cs="IBM Plex Sans" w:eastAsia="IBM Plex Sans" w:hAnsi="IBM Plex Sans"/>
          <w:color w:val="334155"/>
          <w:sz w:val="22"/>
          <w:szCs w:val="22"/>
        </w:rPr>
        <w:t xml:space="preserve">Jelaskan bahwa data mengenai luaran kehamilan pada infeksi dengue masih terbatas secara global, namun infeksi trimester pertama dikaitkan dengan peningkatan risiko keguguran, sedangkan infeksi pada kehamilan lanjut dikaitkan dengan risiko berat lahir rendah dan kelahiran preterm — sehingga kepatuhan kontrol ulang penting bukan hanya untuk kesehatan ibu, tetapi juga janin.</w:t>
      </w:r>
    </w:p>
    <w:p>
      <w:pPr>
        <w:pStyle w:val="Heading1"/>
        <w:spacing w:after="150" w:before="300"/>
      </w:pPr>
      <w:r>
        <w:t xml:space="preserve">9. Prognosis</w:t>
      </w:r>
    </w:p>
    <w:p>
      <w:pPr>
        <w:spacing w:after="150"/>
        <w:jc w:val="both"/>
      </w:pPr>
      <w:r>
        <w:rPr>
          <w:rFonts w:ascii="IBM Plex Sans" w:cs="IBM Plex Sans" w:eastAsia="IBM Plex Sans" w:hAnsi="IBM Plex Sans"/>
          <w:color w:val="334155"/>
          <w:sz w:val="22"/>
          <w:szCs w:val="22"/>
        </w:rPr>
        <w:t xml:space="preserve">Pada dengue tanpa tanda bahaya yang dipantau dan ditangani secara adekuat, prognosis ibu dan janin umumnya baik. Namun kehamilan merupakan faktor yang dapat mempercepat transisi ke fase kritis dan meningkatkan risiko komplikasi (perdarahan peripartum, persalinan preterm, gawat janin) dibandingkan populasi tidak hamil, sehingga pemantauan ketat tetap menjadi kunci keberhasilan luaran.</w:t>
      </w:r>
    </w:p>
    <w:p>
      <w:pPr>
        <w:spacing w:after="150"/>
        <w:jc w:val="both"/>
      </w:pPr>
      <w:r>
        <w:rPr>
          <w:rFonts w:ascii="IBM Plex Sans" w:cs="IBM Plex Sans" w:eastAsia="IBM Plex Sans" w:hAnsi="IBM Plex Sans"/>
          <w:color w:val="334155"/>
          <w:sz w:val="22"/>
          <w:szCs w:val="22"/>
        </w:rPr>
        <w:t xml:space="preserve">Sebagai gambaran dari literatur kohort retrospektif (bukan data Indonesia): pada studi di sembilan rumah sakit publik wilayah Teluk Meksiko yang mengevaluasi kehamilan dengan dengue terkonfirmasi laboratorium, sebagian besar kasus terklasifikasi sebagai dengue tanpa tanda bahaya dan memiliki luaran maternal-perinatal yang baik, sedangkan proporsi kecil kasus dengue berat berkaitan dengan gawat janin dan persalinan seksio sesarea emergensi. Angka-angka pada studi tunggal tersebut bersifat spesifik-kohort dan tidak dapat digeneralisasi langsung ke populasi Indonesia. [DATA: rujuk laporan/registri resmi terbaru — mis. Kemenkes, POGI, WHO Regional Office for South-East Asia — untuk angka morbiditas/mortalitas maternal-perinatal spesifik dengue dalam kehamilan di Indonesia].</w:t>
      </w:r>
    </w:p>
    <w:p>
      <w:pPr>
        <w:pStyle w:val="Heading1"/>
        <w:spacing w:after="150" w:before="300"/>
      </w:pPr>
      <w:r>
        <w:t xml:space="preserve">10. Tingkat Evidens dan Rekomendasi</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Pernyataan Rekomendasi</w:t>
            </w:r>
          </w:p>
        </w:tc>
        <w:tc>
          <w:tcPr>
            <w:tcW w:type="dxa" w:w="234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Tingkat Evidens</w:t>
            </w:r>
          </w:p>
        </w:tc>
        <w:tc>
          <w:tcPr>
            <w:tcW w:type="dxa" w:w="234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Kekuatan Rekomendasi</w:t>
            </w:r>
          </w:p>
        </w:tc>
        <w:tc>
          <w:tcPr>
            <w:tcW w:type="dxa" w:w="2340"/>
            <w:shd w:fill="4F46E5" w:val="clear"/>
            <w:tcMar>
              <w:top w:type="dxa" w:w="100"/>
              <w:left w:type="dxa" w:w="100"/>
              <w:bottom w:type="dxa" w:w="100"/>
              <w:right w:type="dxa" w:w="100"/>
            </w:tcMar>
          </w:tcPr>
          <w:p>
            <w:r>
              <w:rPr>
                <w:rFonts w:ascii="IBM Plex Sans" w:cs="IBM Plex Sans" w:eastAsia="IBM Plex Sans" w:hAnsi="IBM Plex Sans"/>
                <w:b/>
                <w:bCs/>
                <w:color w:val="FFFFFF"/>
                <w:sz w:val="18"/>
                <w:szCs w:val="18"/>
              </w:rPr>
              <w:t xml:space="preserve">Sumber</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Klasifikasi keparahan dengue (tanpa tanda bahaya/dengan tanda bahaya/berat) diterapkan pada kehamilan dengan kewaspadaan lebih tinggi.</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II-2</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Kuat</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WHO Guidelines for Clinical Management of Arboviral Diseases (2025); Kepkonsil Tabel 7</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Kehamilan merupakan kondisi yang mendorong pertimbangan rawat inap pada dengue meskipun tanpa tanda bahaya.</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III</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Sedang</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WHO (2025); CDC Yellow Book (2026); StatPearls (2026)</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Parasetamol sebagai antipiretik lini pertama; hindari NSAID/aspirin.</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III</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Kuat</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CDC Clinical Care of Dengue (2025)</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Transfusi trombosit tidak rutin pada trombositopenia asimtomatik tanpa perdarahan aktif.</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II-2</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Kuat</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CDC Clinical Care of Dengue (2025)</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Pemantauan hematokrit-trombosit serial pada fase kritis untuk deteksi dini kebocoran plasma.</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II-2</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Kuat</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WHO Guidelines for Clinical Management of Arboviral Diseases (2025)</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Manajemen aktif kala tiga dengan oksitosin profilaksis IV pada persalinan dengan dengue aktif.</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III</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Sedang</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Protokol FEBRASGO — Duarte dkk., Rev Bras Ginecol Obstet, 2024</w:t>
            </w:r>
          </w:p>
        </w:tc>
      </w:tr>
      <w:tr>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Persalinan dilakukan atas indikasi obstetrik, bukan indikasi dengue semata, dengan kesiapan multidisiplin bila jatuh pada fase kritis.</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III</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Sedang</w:t>
            </w:r>
          </w:p>
        </w:tc>
        <w:tc>
          <w:tcPr>
            <w:tcW w:type="dxa" w:w="2340"/>
            <w:tcMar>
              <w:top w:type="dxa" w:w="100"/>
              <w:left w:type="dxa" w:w="100"/>
              <w:bottom w:type="dxa" w:w="100"/>
              <w:right w:type="dxa" w:w="100"/>
            </w:tcMar>
          </w:tcPr>
          <w:p>
            <w:r>
              <w:rPr>
                <w:rFonts w:ascii="IBM Plex Sans" w:cs="IBM Plex Sans" w:eastAsia="IBM Plex Sans" w:hAnsi="IBM Plex Sans"/>
                <w:color w:val="334155"/>
                <w:sz w:val="18"/>
                <w:szCs w:val="18"/>
              </w:rPr>
              <w:t xml:space="preserve">Konsensus ahli; Protokol FEBRASGO (2024)</w:t>
            </w:r>
          </w:p>
        </w:tc>
      </w:tr>
    </w:tbl>
    <w:p>
      <w:pPr>
        <w:spacing w:after="150"/>
      </w:pPr>
    </w:p>
    <w:p>
      <w:pPr>
        <w:pStyle w:val="Heading1"/>
        <w:spacing w:after="150" w:before="300"/>
      </w:pPr>
      <w:r>
        <w:t xml:space="preserve">11. Indikator Medis</w:t>
      </w:r>
    </w:p>
    <w:p>
      <w:pPr>
        <w:spacing w:after="80" w:before="100"/>
      </w:pPr>
      <w:r>
        <w:rPr>
          <w:rFonts w:ascii="IBM Plex Sans" w:cs="IBM Plex Sans" w:eastAsia="IBM Plex Sans" w:hAnsi="IBM Plex Sans"/>
          <w:color w:val="334155"/>
          <w:sz w:val="22"/>
          <w:szCs w:val="22"/>
        </w:rPr>
        <w:t xml:space="preserve">Indikator keberhasilan tata laksana yang terukur:</w:t>
      </w:r>
    </w:p>
    <w:p>
      <w:pPr>
        <w:pStyle w:val="ListParagraph"/>
        <w:numPr>
          <w:ilvl w:val="0"/>
          <w:numId w:val="1"/>
        </w:numPr>
        <w:spacing w:after="60"/>
      </w:pPr>
      <w:r>
        <w:rPr>
          <w:rFonts w:ascii="IBM Plex Sans" w:cs="IBM Plex Sans" w:eastAsia="IBM Plex Sans" w:hAnsi="IBM Plex Sans"/>
          <w:color w:val="334155"/>
          <w:sz w:val="22"/>
          <w:szCs w:val="22"/>
        </w:rPr>
        <w:t xml:space="preserve">Tidak terjadi progresi ke dengue dengan tanda bahaya/dengue berat selama fase kritis pada pasien yang dipantau sesuai protokol.</w:t>
      </w:r>
    </w:p>
    <w:p>
      <w:pPr>
        <w:pStyle w:val="ListParagraph"/>
        <w:numPr>
          <w:ilvl w:val="0"/>
          <w:numId w:val="1"/>
        </w:numPr>
        <w:spacing w:after="60"/>
      </w:pPr>
      <w:r>
        <w:rPr>
          <w:rFonts w:ascii="IBM Plex Sans" w:cs="IBM Plex Sans" w:eastAsia="IBM Plex Sans" w:hAnsi="IBM Plex Sans"/>
          <w:color w:val="334155"/>
          <w:sz w:val="22"/>
          <w:szCs w:val="22"/>
        </w:rPr>
        <w:t xml:space="preserve">Tidak terjadi keterlambatan deteksi tanda bahaya (waktu antara onset tanda bahaya dan intervensi/rujukan dalam batas yang ditetapkan institusi).</w:t>
      </w:r>
    </w:p>
    <w:p>
      <w:pPr>
        <w:pStyle w:val="ListParagraph"/>
        <w:numPr>
          <w:ilvl w:val="0"/>
          <w:numId w:val="1"/>
        </w:numPr>
        <w:spacing w:after="60"/>
      </w:pPr>
      <w:r>
        <w:rPr>
          <w:rFonts w:ascii="IBM Plex Sans" w:cs="IBM Plex Sans" w:eastAsia="IBM Plex Sans" w:hAnsi="IBM Plex Sans"/>
          <w:color w:val="334155"/>
          <w:sz w:val="22"/>
          <w:szCs w:val="22"/>
        </w:rPr>
        <w:t xml:space="preserve">Kesejahteraan janin terpantau (DJJ/KTG/USG) sesuai jadwal pada seluruh episode rawat.</w:t>
      </w:r>
    </w:p>
    <w:p>
      <w:pPr>
        <w:pStyle w:val="ListParagraph"/>
        <w:numPr>
          <w:ilvl w:val="0"/>
          <w:numId w:val="1"/>
        </w:numPr>
        <w:spacing w:after="60"/>
      </w:pPr>
      <w:r>
        <w:rPr>
          <w:rFonts w:ascii="IBM Plex Sans" w:cs="IBM Plex Sans" w:eastAsia="IBM Plex Sans" w:hAnsi="IBM Plex Sans"/>
          <w:color w:val="334155"/>
          <w:sz w:val="22"/>
          <w:szCs w:val="22"/>
        </w:rPr>
        <w:t xml:space="preserve">Tidak terjadi perdarahan peripartum mayor yang tidak terantisipasi pada pasien dengan trombositopenia yang menjalani persalinan.</w:t>
      </w:r>
    </w:p>
    <w:p>
      <w:pPr>
        <w:pStyle w:val="ListParagraph"/>
        <w:numPr>
          <w:ilvl w:val="0"/>
          <w:numId w:val="1"/>
        </w:numPr>
        <w:spacing w:after="60"/>
      </w:pPr>
      <w:r>
        <w:rPr>
          <w:rFonts w:ascii="IBM Plex Sans" w:cs="IBM Plex Sans" w:eastAsia="IBM Plex Sans" w:hAnsi="IBM Plex Sans"/>
          <w:color w:val="334155"/>
          <w:sz w:val="22"/>
          <w:szCs w:val="22"/>
        </w:rPr>
        <w:t xml:space="preserve">Kepatuhan pencatatan hematokrit-trombosit serial sesuai jadwal fase kritis pada rekam medis.</w:t>
      </w:r>
    </w:p>
    <w:p>
      <w:pPr>
        <w:pStyle w:val="Heading1"/>
        <w:spacing w:after="150" w:before="300"/>
      </w:pPr>
      <w:r>
        <w:t xml:space="preserve">12. Perbandingan dan Pengayaan Standar Internasional</w:t>
      </w:r>
    </w:p>
    <w:p>
      <w:pPr>
        <w:spacing w:after="150"/>
        <w:jc w:val="both"/>
      </w:pPr>
      <w:r>
        <w:rPr>
          <w:rFonts w:ascii="IBM Plex Sans" w:cs="IBM Plex Sans" w:eastAsia="IBM Plex Sans" w:hAnsi="IBM Plex Sans"/>
          <w:color w:val="334155"/>
          <w:sz w:val="22"/>
          <w:szCs w:val="22"/>
        </w:rPr>
        <w:t xml:space="preserve">Standar nasional (Kepkonsil) menetapkan penapisan tanda bahaya dan pemantauan hematokrit-trombosit serial sebagai inti tata laksana dengue tanpa komplikasi pada kehamilan; pendekatan ini sejalan dengan standar internasional berikut.</w:t>
      </w:r>
    </w:p>
    <w:p>
      <w:pPr>
        <w:spacing w:after="150"/>
        <w:jc w:val="both"/>
      </w:pPr>
      <w:r>
        <w:rPr>
          <w:rFonts w:ascii="IBM Plex Sans" w:cs="IBM Plex Sans" w:eastAsia="IBM Plex Sans" w:hAnsi="IBM Plex Sans"/>
          <w:color w:val="334155"/>
          <w:sz w:val="22"/>
          <w:szCs w:val="22"/>
        </w:rPr>
        <w:t xml:space="preserve">WHO Guidelines for Clinical Management of Arboviral Diseases: Dengue, Chikungunya, Zika and Yellow Fever (Geneva: WHO, 2025, edisi elektronik terkini 2026) mempertahankan klasifikasi keparahan dengue tiga tingkat dari pedoman 2009 sebagai definisi kerja, dan secara eksplisit mencantumkan kehamilan sebagai salah satu kondisi yang mendorong pertimbangan rawat inap — pergeseran penekanan dibandingkan pedoman generasi sebelumnya yang lebih menitikberatkan keputusan rawat inap semata pada ada-tidaknya tanda bahaya.</w:t>
      </w:r>
    </w:p>
    <w:p>
      <w:pPr>
        <w:spacing w:after="150"/>
        <w:jc w:val="both"/>
      </w:pPr>
      <w:r>
        <w:rPr>
          <w:rFonts w:ascii="IBM Plex Sans" w:cs="IBM Plex Sans" w:eastAsia="IBM Plex Sans" w:hAnsi="IBM Plex Sans"/>
          <w:color w:val="334155"/>
          <w:sz w:val="22"/>
          <w:szCs w:val="22"/>
        </w:rPr>
        <w:t xml:space="preserve">CDC (Yellow Book 2026, bab Dengue; dan halaman Clinical Care of Dengue) merekomendasikan kompres tepid sponging bersama parasetamol untuk pengendalian demam, menegaskan bahwa transfusi trombosit profilaktik tidak bermanfaat dan berisiko memicu kelebihan cairan, serta menempatkan kehamilan dalam kelompok berisiko tinggi yang memerlukan pertimbangan khusus.</w:t>
      </w:r>
    </w:p>
    <w:p>
      <w:pPr>
        <w:spacing w:after="150"/>
        <w:jc w:val="both"/>
      </w:pPr>
      <w:r>
        <w:rPr>
          <w:rFonts w:ascii="IBM Plex Sans" w:cs="IBM Plex Sans" w:eastAsia="IBM Plex Sans" w:hAnsi="IBM Plex Sans"/>
          <w:color w:val="334155"/>
          <w:sz w:val="22"/>
          <w:szCs w:val="22"/>
        </w:rPr>
        <w:t xml:space="preserve">Protokol nasional Brasil oleh Federação Brasileira das Associações de Ginecologia e Obstetrícia (FEBRASGO) — Duarte dkk., diterbitkan di Revista Brasileira de Ginecologia e Obstetrícia (2024) — memberikan panduan spesifik obstetrik: mobilisasi/ambulasi selama rawat inap untuk mencegah tromboemboli vena, manajemen aktif kala tiga dengan oksitosin profilaksis intravena, dan pemantauan cermat involusi uterus pada masa nifas dini karena risiko perdarahan tetap tinggi pada periode tersebut. Protokol ini juga memperbolehkan rawat jalan terawasi ketat pada kasus tanpa tanda bahaya dengan akses pemantauan terjamin — berbeda dari kecenderungan WHO/CDC/StatPearls yang menempatkan kehamilan sebagai pendorong rawat inap; PPK ini menyatakan secara eksplisit bahwa perbedaan tersebut ada dan mengikuti pendekatan yang lebih konservatif (rawat inap observasi) sebagai standar institusi, dengan keputusan akhir tetap pada penilaian klinis DPJP.</w:t>
      </w:r>
    </w:p>
    <w:p>
      <w:pPr>
        <w:spacing w:after="150"/>
        <w:jc w:val="both"/>
      </w:pPr>
      <w:r>
        <w:rPr>
          <w:rFonts w:ascii="IBM Plex Sans" w:cs="IBM Plex Sans" w:eastAsia="IBM Plex Sans" w:hAnsi="IBM Plex Sans"/>
          <w:color w:val="334155"/>
          <w:sz w:val="22"/>
          <w:szCs w:val="22"/>
        </w:rPr>
        <w:t xml:space="preserve">ACOG dan RCOG belum menerbitkan pedoman praktik berdiri sendiri yang khusus membahas dengue dalam kehamilan; prinsip umum pemantauan pertumbuhan dan kesejahteraan janin pasca-demam tinggi ibu pada kehamilan (melalui Doppler/USG serial), yang lazim diterapkan pada infeksi febris berat dalam kehamilan secara umum, diterapkan secara analogis pada konteks dengue dan telah diintegrasikan ke bagian Pemeriksaan Penunjang PPK ini.</w:t>
      </w:r>
    </w:p>
    <w:p>
      <w:pPr>
        <w:spacing w:after="150"/>
        <w:jc w:val="both"/>
      </w:pPr>
      <w:r>
        <w:rPr>
          <w:rFonts w:ascii="IBM Plex Sans" w:cs="IBM Plex Sans" w:eastAsia="IBM Plex Sans" w:hAnsi="IBM Plex Sans"/>
          <w:color w:val="334155"/>
          <w:sz w:val="22"/>
          <w:szCs w:val="22"/>
        </w:rPr>
        <w:t xml:space="preserve">Kesimpulan pembanding: tidak terdapat perbedaan prinsip mendasar antara standar nasional dan internasional pada tata laksana dengue tanpa komplikasi dalam kehamilan, kecuali pada ambang rawat inap versus rawat jalan terawasi seperti dijelaskan di atas. Nilai tambah literatur internasional terutama pada rincian obstetrik praktis (FEBRASGO) dan penegasan larangan transfusi trombosit rutin (CDC), yang telah diintegrasikan ke bagian Tata Laksana PPK ini.</w:t>
      </w:r>
    </w:p>
    <w:p>
      <w:pPr>
        <w:pStyle w:val="Heading1"/>
        <w:spacing w:after="150" w:before="300"/>
      </w:pPr>
      <w:r>
        <w:t xml:space="preserve">13. Kepustakaan</w:t>
      </w:r>
    </w:p>
    <w:p>
      <w:pPr>
        <w:pStyle w:val="ListParagraph"/>
        <w:numPr>
          <w:ilvl w:val="0"/>
          <w:numId w:val="1"/>
        </w:numPr>
        <w:spacing w:after="60"/>
      </w:pPr>
      <w:r>
        <w:rPr>
          <w:rFonts w:ascii="IBM Plex Sans" w:cs="IBM Plex Sans" w:eastAsia="IBM Plex Sans" w:hAnsi="IBM Plex Sans"/>
          <w:color w:val="334155"/>
          <w:sz w:val="22"/>
          <w:szCs w:val="22"/>
        </w:rPr>
        <w:t xml:space="preserve">Keputusan Ketua Konsil Kesehatan Indonesia No. HK.01.02/KKI/1318/2026 tentang Standar Kompetensi Dokter Spesialis dan Subspesialis Bidang Obstetri dan Ginekologi, Tabel 7. [VERIFIKASI: salinan resmi entri No. 34 belum tersedia pada penyusunan naskah ini].</w:t>
      </w:r>
    </w:p>
    <w:p>
      <w:pPr>
        <w:pStyle w:val="ListParagraph"/>
        <w:numPr>
          <w:ilvl w:val="0"/>
          <w:numId w:val="1"/>
        </w:numPr>
        <w:spacing w:after="60"/>
      </w:pPr>
      <w:r>
        <w:rPr>
          <w:rFonts w:ascii="IBM Plex Sans" w:cs="IBM Plex Sans" w:eastAsia="IBM Plex Sans" w:hAnsi="IBM Plex Sans"/>
          <w:color w:val="334155"/>
          <w:sz w:val="22"/>
          <w:szCs w:val="22"/>
        </w:rPr>
        <w:t xml:space="preserve">World Health Organization. WHO Guidelines for Clinical Management of Arboviral Diseases: Dengue, Chikungunya, Zika and Yellow Fever [Internet]. Geneva: WHO; 2025. Tersedia pada: https://www.ncbi.nlm.nih.gov/books/NBK616300/</w:t>
      </w:r>
    </w:p>
    <w:p>
      <w:pPr>
        <w:pStyle w:val="ListParagraph"/>
        <w:numPr>
          <w:ilvl w:val="0"/>
          <w:numId w:val="1"/>
        </w:numPr>
        <w:spacing w:after="60"/>
      </w:pPr>
      <w:r>
        <w:rPr>
          <w:rFonts w:ascii="IBM Plex Sans" w:cs="IBM Plex Sans" w:eastAsia="IBM Plex Sans" w:hAnsi="IBM Plex Sans"/>
          <w:color w:val="334155"/>
          <w:sz w:val="22"/>
          <w:szCs w:val="22"/>
        </w:rPr>
        <w:t xml:space="preserve">World Health Organization. Dengue and Severe Dengue [Fact sheet]. Tersedia pada: https://www.who.int/news-room/fact-sheets/detail/dengue-and-severe-dengue</w:t>
      </w:r>
    </w:p>
    <w:p>
      <w:pPr>
        <w:pStyle w:val="ListParagraph"/>
        <w:numPr>
          <w:ilvl w:val="0"/>
          <w:numId w:val="1"/>
        </w:numPr>
        <w:spacing w:after="60"/>
      </w:pPr>
      <w:r>
        <w:rPr>
          <w:rFonts w:ascii="IBM Plex Sans" w:cs="IBM Plex Sans" w:eastAsia="IBM Plex Sans" w:hAnsi="IBM Plex Sans"/>
          <w:color w:val="334155"/>
          <w:sz w:val="22"/>
          <w:szCs w:val="22"/>
        </w:rPr>
        <w:t xml:space="preserve">World Health Organization. ICD-11 for Mortality and Morbidity Statistics — Dengue (1D20–1D22). Tersedia pada: https://icd.who.int/browse11</w:t>
      </w:r>
    </w:p>
    <w:p>
      <w:pPr>
        <w:pStyle w:val="ListParagraph"/>
        <w:numPr>
          <w:ilvl w:val="0"/>
          <w:numId w:val="1"/>
        </w:numPr>
        <w:spacing w:after="60"/>
      </w:pPr>
      <w:r>
        <w:rPr>
          <w:rFonts w:ascii="IBM Plex Sans" w:cs="IBM Plex Sans" w:eastAsia="IBM Plex Sans" w:hAnsi="IBM Plex Sans"/>
          <w:color w:val="334155"/>
          <w:sz w:val="22"/>
          <w:szCs w:val="22"/>
        </w:rPr>
        <w:t xml:space="preserve">Centers for Disease Control and Prevention. Dengue — CDC Yellow Book 2026 [Internet]. Tersedia pada: https://www.ncbi.nlm.nih.gov/books/NBK620887/</w:t>
      </w:r>
    </w:p>
    <w:p>
      <w:pPr>
        <w:pStyle w:val="ListParagraph"/>
        <w:numPr>
          <w:ilvl w:val="0"/>
          <w:numId w:val="1"/>
        </w:numPr>
        <w:spacing w:after="60"/>
      </w:pPr>
      <w:r>
        <w:rPr>
          <w:rFonts w:ascii="IBM Plex Sans" w:cs="IBM Plex Sans" w:eastAsia="IBM Plex Sans" w:hAnsi="IBM Plex Sans"/>
          <w:color w:val="334155"/>
          <w:sz w:val="22"/>
          <w:szCs w:val="22"/>
        </w:rPr>
        <w:t xml:space="preserve">Centers for Disease Control and Prevention. Clinical Care of Dengue. Tersedia pada: https://www.cdc.gov/dengue/hcp/clinical-care/</w:t>
      </w:r>
    </w:p>
    <w:p>
      <w:pPr>
        <w:pStyle w:val="ListParagraph"/>
        <w:numPr>
          <w:ilvl w:val="0"/>
          <w:numId w:val="1"/>
        </w:numPr>
        <w:spacing w:after="60"/>
      </w:pPr>
      <w:r>
        <w:rPr>
          <w:rFonts w:ascii="IBM Plex Sans" w:cs="IBM Plex Sans" w:eastAsia="IBM Plex Sans" w:hAnsi="IBM Plex Sans"/>
          <w:color w:val="334155"/>
          <w:sz w:val="22"/>
          <w:szCs w:val="22"/>
        </w:rPr>
        <w:t xml:space="preserve">Centers for Disease Control and Prevention. Dengue During Pregnancy. Tersedia pada: https://www.cdc.gov/dengue/hcp/clinical-signs/pregnancy.html</w:t>
      </w:r>
    </w:p>
    <w:p>
      <w:pPr>
        <w:pStyle w:val="ListParagraph"/>
        <w:numPr>
          <w:ilvl w:val="0"/>
          <w:numId w:val="1"/>
        </w:numPr>
        <w:spacing w:after="60"/>
      </w:pPr>
      <w:r>
        <w:rPr>
          <w:rFonts w:ascii="IBM Plex Sans" w:cs="IBM Plex Sans" w:eastAsia="IBM Plex Sans" w:hAnsi="IBM Plex Sans"/>
          <w:color w:val="334155"/>
          <w:sz w:val="22"/>
          <w:szCs w:val="22"/>
        </w:rPr>
        <w:t xml:space="preserve">Duarte G, Braga ARB, Kreitchmann R, Menezes MLB, Miranda AEB, Travassos AGA, dkk. Prevention, diagnosis, and treatment protocol of dengue during pregnancy and the postpartum period. Rev Bras Ginecol Obstet. 2024. DOI: 10.61622/rbgo/2024rbgo73.</w:t>
      </w:r>
    </w:p>
    <w:p>
      <w:pPr>
        <w:pStyle w:val="ListParagraph"/>
        <w:numPr>
          <w:ilvl w:val="0"/>
          <w:numId w:val="1"/>
        </w:numPr>
        <w:spacing w:after="60"/>
      </w:pPr>
      <w:r>
        <w:rPr>
          <w:rFonts w:ascii="IBM Plex Sans" w:cs="IBM Plex Sans" w:eastAsia="IBM Plex Sans" w:hAnsi="IBM Plex Sans"/>
          <w:color w:val="334155"/>
          <w:sz w:val="22"/>
          <w:szCs w:val="22"/>
        </w:rPr>
        <w:t xml:space="preserve">Reyes-Sandoval MA, dkk. Maternal, Fetal, and Neonatal Outcomes in Pregnant Dengue Patients in Mexico [studi kohort retrospektif]. Tersedia pada PubMed Central (PMC5828467).</w:t>
      </w:r>
    </w:p>
    <w:p>
      <w:pPr>
        <w:pStyle w:val="ListParagraph"/>
        <w:numPr>
          <w:ilvl w:val="0"/>
          <w:numId w:val="1"/>
        </w:numPr>
        <w:spacing w:after="60"/>
      </w:pPr>
      <w:r>
        <w:rPr>
          <w:rFonts w:ascii="IBM Plex Sans" w:cs="IBM Plex Sans" w:eastAsia="IBM Plex Sans" w:hAnsi="IBM Plex Sans"/>
          <w:color w:val="334155"/>
          <w:sz w:val="22"/>
          <w:szCs w:val="22"/>
        </w:rPr>
        <w:t xml:space="preserve">StatPearls. Dengue Fever [Internet]. Treasure Island: StatPearls Publishing; pembaruan 2026. Tersedia pada: https://www.ncbi.nlm.nih.gov/books/NBK430732/</w:t>
      </w:r>
    </w:p>
    <w:p>
      <w:pPr>
        <w:pStyle w:val="ListParagraph"/>
        <w:numPr>
          <w:ilvl w:val="0"/>
          <w:numId w:val="1"/>
        </w:numPr>
        <w:spacing w:after="60"/>
      </w:pPr>
      <w:r>
        <w:rPr>
          <w:rFonts w:ascii="IBM Plex Sans" w:cs="IBM Plex Sans" w:eastAsia="IBM Plex Sans" w:hAnsi="IBM Plex Sans"/>
          <w:color w:val="334155"/>
          <w:sz w:val="22"/>
          <w:szCs w:val="22"/>
        </w:rPr>
        <w:t xml:space="preserve">Kementerian Kesehatan Republik Indonesia. Pedoman tata laksana dengue nasional. [DATA: rujuk edisi/tahun terbit resmi terbaru pada saat PPK ini diberlakukan].</w:t>
      </w:r>
    </w:p>
    <w:p>
      <w:pPr>
        <w:pStyle w:val="Heading1"/>
        <w:spacing w:after="150" w:before="300"/>
      </w:pPr>
      <w:r>
        <w:t xml:space="preserve">Glosarium</w:t>
      </w:r>
    </w:p>
    <w:p>
      <w:pPr>
        <w:pStyle w:val="ListParagraph"/>
        <w:numPr>
          <w:ilvl w:val="0"/>
          <w:numId w:val="1"/>
        </w:numPr>
        <w:spacing w:after="60"/>
      </w:pPr>
      <w:r>
        <w:rPr>
          <w:rFonts w:ascii="IBM Plex Sans" w:cs="IBM Plex Sans" w:eastAsia="IBM Plex Sans" w:hAnsi="IBM Plex Sans"/>
          <w:color w:val="334155"/>
          <w:sz w:val="22"/>
          <w:szCs w:val="22"/>
        </w:rPr>
        <w:t xml:space="preserve">Antibody-dependent enhancement — mekanisme peningkatan replikasi virus dan keparahan penyakit pada infeksi dengue sekunder oleh serotipe berbeda, akibat antibodi non-netralisasi dari infeksi sebelumnya.</w:t>
      </w:r>
    </w:p>
    <w:p>
      <w:pPr>
        <w:pStyle w:val="ListParagraph"/>
        <w:numPr>
          <w:ilvl w:val="0"/>
          <w:numId w:val="1"/>
        </w:numPr>
        <w:spacing w:after="60"/>
      </w:pPr>
      <w:r>
        <w:rPr>
          <w:rFonts w:ascii="IBM Plex Sans" w:cs="IBM Plex Sans" w:eastAsia="IBM Plex Sans" w:hAnsi="IBM Plex Sans"/>
          <w:color w:val="334155"/>
          <w:sz w:val="22"/>
          <w:szCs w:val="22"/>
        </w:rPr>
        <w:t xml:space="preserve">Dengue berat (severe dengue) — kategori keparahan dengue tertinggi, ditandai kebocoran plasma berat (syok/distres napas), perdarahan berat, dan/atau gangguan organ berat.</w:t>
      </w:r>
    </w:p>
    <w:p>
      <w:pPr>
        <w:pStyle w:val="ListParagraph"/>
        <w:numPr>
          <w:ilvl w:val="0"/>
          <w:numId w:val="1"/>
        </w:numPr>
        <w:spacing w:after="60"/>
      </w:pPr>
      <w:r>
        <w:rPr>
          <w:rFonts w:ascii="IBM Plex Sans" w:cs="IBM Plex Sans" w:eastAsia="IBM Plex Sans" w:hAnsi="IBM Plex Sans"/>
          <w:color w:val="334155"/>
          <w:sz w:val="22"/>
          <w:szCs w:val="22"/>
        </w:rPr>
        <w:t xml:space="preserve">Dengue dengan tanda bahaya (dengue with warning signs) — kategori antara, ditandai satu atau lebih tanda bahaya seperti nyeri perut progresif, muntah persisten, akumulasi cairan, perdarahan mukosa, letargi, pembesaran hepar, atau kenaikan hematokrit disertai penurunan cepat trombosit.</w:t>
      </w:r>
    </w:p>
    <w:p>
      <w:pPr>
        <w:pStyle w:val="ListParagraph"/>
        <w:numPr>
          <w:ilvl w:val="0"/>
          <w:numId w:val="1"/>
        </w:numPr>
        <w:spacing w:after="60"/>
      </w:pPr>
      <w:r>
        <w:rPr>
          <w:rFonts w:ascii="IBM Plex Sans" w:cs="IBM Plex Sans" w:eastAsia="IBM Plex Sans" w:hAnsi="IBM Plex Sans"/>
          <w:color w:val="334155"/>
          <w:sz w:val="22"/>
          <w:szCs w:val="22"/>
        </w:rPr>
        <w:t xml:space="preserve">Fase kritis — periode sekitar hari ke-4 hingga ke-6 sakit, bertepatan dengan penurunan suhu, ditandai peningkatan permeabilitas kapiler dan risiko perburukan tertinggi.</w:t>
      </w:r>
    </w:p>
    <w:p>
      <w:pPr>
        <w:pStyle w:val="ListParagraph"/>
        <w:numPr>
          <w:ilvl w:val="0"/>
          <w:numId w:val="1"/>
        </w:numPr>
        <w:spacing w:after="60"/>
      </w:pPr>
      <w:r>
        <w:rPr>
          <w:rFonts w:ascii="IBM Plex Sans" w:cs="IBM Plex Sans" w:eastAsia="IBM Plex Sans" w:hAnsi="IBM Plex Sans"/>
          <w:color w:val="334155"/>
          <w:sz w:val="22"/>
          <w:szCs w:val="22"/>
        </w:rPr>
        <w:t xml:space="preserve">Hematokrit — persentase volume sel darah merah terhadap volume darah total; peningkatan progresif menunjukkan kebocoran plasma (hemokonsentrasi).</w:t>
      </w:r>
    </w:p>
    <w:p>
      <w:pPr>
        <w:pStyle w:val="ListParagraph"/>
        <w:numPr>
          <w:ilvl w:val="0"/>
          <w:numId w:val="1"/>
        </w:numPr>
        <w:spacing w:after="60"/>
      </w:pPr>
      <w:r>
        <w:rPr>
          <w:rFonts w:ascii="IBM Plex Sans" w:cs="IBM Plex Sans" w:eastAsia="IBM Plex Sans" w:hAnsi="IBM Plex Sans"/>
          <w:color w:val="334155"/>
          <w:sz w:val="22"/>
          <w:szCs w:val="22"/>
        </w:rPr>
        <w:t xml:space="preserve">IgM/IgG anti-dengue — antibodi terhadap virus dengue; IgM umumnya terdeteksi mulai akhir minggu pertama sakit (infeksi baru), IgG dapat menetap bertahun-tahun dan meningkat cepat pada infeksi sekunder.</w:t>
      </w:r>
    </w:p>
    <w:p>
      <w:pPr>
        <w:pStyle w:val="ListParagraph"/>
        <w:numPr>
          <w:ilvl w:val="0"/>
          <w:numId w:val="1"/>
        </w:numPr>
        <w:spacing w:after="60"/>
      </w:pPr>
      <w:r>
        <w:rPr>
          <w:rFonts w:ascii="IBM Plex Sans" w:cs="IBM Plex Sans" w:eastAsia="IBM Plex Sans" w:hAnsi="IBM Plex Sans"/>
          <w:color w:val="334155"/>
          <w:sz w:val="22"/>
          <w:szCs w:val="22"/>
        </w:rPr>
        <w:t xml:space="preserve">Kebocoran plasma (plasma leakage) — perpindahan cairan dari ruang intravaskular ke ekstravaskular akibat peningkatan permeabilitas kapiler, ciri patofisiologis utama dengue berat.</w:t>
      </w:r>
    </w:p>
    <w:p>
      <w:pPr>
        <w:pStyle w:val="ListParagraph"/>
        <w:numPr>
          <w:ilvl w:val="0"/>
          <w:numId w:val="1"/>
        </w:numPr>
        <w:spacing w:after="60"/>
      </w:pPr>
      <w:r>
        <w:rPr>
          <w:rFonts w:ascii="IBM Plex Sans" w:cs="IBM Plex Sans" w:eastAsia="IBM Plex Sans" w:hAnsi="IBM Plex Sans"/>
          <w:color w:val="334155"/>
          <w:sz w:val="22"/>
          <w:szCs w:val="22"/>
        </w:rPr>
        <w:t xml:space="preserve">NS1 (Nonstructural protein 1) — antigen virus dengue yang dapat dideteksi dalam darah pada fase awal demam, digunakan sebagai uji diagnostik cepat.</w:t>
      </w:r>
    </w:p>
    <w:p>
      <w:pPr>
        <w:pStyle w:val="ListParagraph"/>
        <w:numPr>
          <w:ilvl w:val="0"/>
          <w:numId w:val="1"/>
        </w:numPr>
        <w:spacing w:after="60"/>
      </w:pPr>
      <w:r>
        <w:rPr>
          <w:rFonts w:ascii="IBM Plex Sans" w:cs="IBM Plex Sans" w:eastAsia="IBM Plex Sans" w:hAnsi="IBM Plex Sans"/>
          <w:color w:val="334155"/>
          <w:sz w:val="22"/>
          <w:szCs w:val="22"/>
        </w:rPr>
        <w:t xml:space="preserve">Postkoordinasi (ICD-11) — mekanisme pengodean ICD-11 yang menggabungkan kode inti dengan satu atau lebih kode ekstensi untuk menambahkan rincian klinis, termasuk konteks kehamilan.</w:t>
      </w:r>
    </w:p>
    <w:p>
      <w:pPr>
        <w:pStyle w:val="ListParagraph"/>
        <w:numPr>
          <w:ilvl w:val="0"/>
          <w:numId w:val="1"/>
        </w:numPr>
        <w:spacing w:after="60"/>
      </w:pPr>
      <w:r>
        <w:rPr>
          <w:rFonts w:ascii="IBM Plex Sans" w:cs="IBM Plex Sans" w:eastAsia="IBM Plex Sans" w:hAnsi="IBM Plex Sans"/>
          <w:color w:val="334155"/>
          <w:sz w:val="22"/>
          <w:szCs w:val="22"/>
        </w:rPr>
        <w:t xml:space="preserve">RT-PCR (Reverse Transcription Polymerase Chain Reaction) — metode deteksi molekuler materi genetik virus dengue, dapat mengidentifikasi serotipe.</w:t>
      </w:r>
    </w:p>
    <w:p>
      <w:pPr>
        <w:pStyle w:val="ListParagraph"/>
        <w:numPr>
          <w:ilvl w:val="0"/>
          <w:numId w:val="1"/>
        </w:numPr>
        <w:spacing w:after="60"/>
      </w:pPr>
      <w:r>
        <w:rPr>
          <w:rFonts w:ascii="IBM Plex Sans" w:cs="IBM Plex Sans" w:eastAsia="IBM Plex Sans" w:hAnsi="IBM Plex Sans"/>
          <w:color w:val="334155"/>
          <w:sz w:val="22"/>
          <w:szCs w:val="22"/>
        </w:rPr>
        <w:t xml:space="preserve">Trombositopenia — penurunan jumlah trombosit di bawah nilai normal; pada dengue terjadi progresif selama fase kritis dan pulih pada fase penyembuhan.</w:t>
      </w:r>
    </w:p>
    <w:p>
      <w:pPr>
        <w:pStyle w:val="ListParagraph"/>
        <w:numPr>
          <w:ilvl w:val="0"/>
          <w:numId w:val="1"/>
        </w:numPr>
        <w:spacing w:after="60"/>
      </w:pPr>
      <w:r>
        <w:rPr>
          <w:rFonts w:ascii="IBM Plex Sans" w:cs="IBM Plex Sans" w:eastAsia="IBM Plex Sans" w:hAnsi="IBM Plex Sans"/>
          <w:color w:val="334155"/>
          <w:sz w:val="22"/>
          <w:szCs w:val="22"/>
        </w:rPr>
        <w:t xml:space="preserve">Uji torniket (Rumpel-Leede) — pemeriksaan fragilitas kapiler dengan mempertahankan tekanan manset di antara tekanan sistolik dan diastolik selama lima menit; hasil positif bila muncul sepuluh atau lebih petekie per luas 2,5×2,5 cm.</w:t>
      </w:r>
    </w:p>
    <w:p>
      <w:pPr>
        <w:pStyle w:val="ListParagraph"/>
        <w:numPr>
          <w:ilvl w:val="0"/>
          <w:numId w:val="1"/>
        </w:numPr>
        <w:spacing w:after="60"/>
      </w:pPr>
      <w:r>
        <w:rPr>
          <w:rFonts w:ascii="IBM Plex Sans" w:cs="IBM Plex Sans" w:eastAsia="IBM Plex Sans" w:hAnsi="IBM Plex Sans"/>
          <w:color w:val="334155"/>
          <w:sz w:val="22"/>
          <w:szCs w:val="22"/>
        </w:rPr>
        <w:t xml:space="preserve">Warning signs (tanda bahaya) — lihat "Dengue dengan tanda bahaya".</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Dokumen 34 dari 73  •  PPK sebelumnya: PPK-033  •  PPK berikutnya: PPK-035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pPr>
    <w:r>
      <w:rPr>
        <w:rFonts w:ascii="IBM Plex Sans" w:cs="IBM Plex Sans" w:eastAsia="IBM Plex Sans" w:hAnsi="IBM Plex Sans"/>
        <w:color w:val="64748B"/>
        <w:sz w:val="16"/>
        <w:szCs w:val="16"/>
      </w:rPr>
      <w:t xml:space="preserve">PPK-034 — Kehamilan dengan Infeksi Dengue tanpa Komplikasi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4F46E5" w:sz="6" w:space="4"/>
      </w:pBdr>
      <w:spacing w:after="150" w:before="30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40"/>
    </w:pPr>
    <w:rPr>
      <w:rFonts w:ascii="Source Serif 4" w:cs="Source Serif 4" w:eastAsia="Source Serif 4" w:hAnsi="Source Serif 4"/>
      <w:b/>
      <w:bCs/>
      <w:color w:val="B4530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2026-08-17T11:52:08.074Z</dcterms:created>
  <dcterms:modified xsi:type="dcterms:W3CDTF">2026-08-17T11:52:08.086Z</dcterms:modified>
</cp:coreProperties>
</file>

<file path=docProps/custom.xml><?xml version="1.0" encoding="utf-8"?>
<Properties xmlns="http://schemas.openxmlformats.org/officeDocument/2006/custom-properties" xmlns:vt="http://schemas.openxmlformats.org/officeDocument/2006/docPropsVTypes"/>
</file>