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jc w:val="center"/>
      </w:pPr>
      <w:r>
        <w:rPr>
          <w:rFonts w:ascii="IBM Plex Sans" w:cs="IBM Plex Sans" w:eastAsia="IBM Plex Sans" w:hAnsi="IBM Plex Sans"/>
          <w:b/>
          <w:bCs/>
          <w:color w:val="B45309"/>
          <w:sz w:val="20"/>
          <w:szCs w:val="20"/>
        </w:rPr>
        <w:t xml:space="preserve">Perpustakaan Digital ABBA</w:t>
      </w:r>
    </w:p>
    <w:p>
      <w:pPr>
        <w:spacing w:after="600"/>
        <w:jc w:val="center"/>
      </w:pPr>
      <w:r>
        <w:rPr>
          <w:rFonts w:ascii="IBM Plex Sans" w:cs="IBM Plex Sans" w:eastAsia="IBM Plex Sans" w:hAnsi="IBM Plex Sans"/>
          <w:color w:val="334155"/>
          <w:sz w:val="18"/>
          <w:szCs w:val="18"/>
        </w:rPr>
        <w:t xml:space="preserve">Ekosistem Literatur Standar Sp.OG — Panduan Praktik Klinis (PPK)</w:t>
      </w:r>
    </w:p>
    <w:p>
      <w:pPr>
        <w:spacing w:after="100" w:before="800"/>
        <w:jc w:val="center"/>
      </w:pPr>
      <w:r>
        <w:rPr>
          <w:rFonts w:ascii="IBM Plex Mono" w:cs="IBM Plex Mono" w:eastAsia="IBM Plex Mono" w:hAnsi="IBM Plex Mono"/>
          <w:color w:val="B45309"/>
          <w:sz w:val="20"/>
          <w:szCs w:val="20"/>
        </w:rPr>
        <w:t xml:space="preserve">PPK No. 38 dari 73</w:t>
      </w:r>
    </w:p>
    <w:p>
      <w:pPr>
        <w:spacing w:after="300"/>
        <w:jc w:val="center"/>
      </w:pPr>
      <w:r>
        <w:rPr>
          <w:rFonts w:ascii="Source Serif 4" w:cs="Source Serif 4" w:eastAsia="Source Serif 4" w:hAnsi="Source Serif 4"/>
          <w:b/>
          <w:bCs/>
          <w:color w:val="4F46E5"/>
          <w:sz w:val="56"/>
          <w:szCs w:val="56"/>
        </w:rPr>
        <w:t xml:space="preserve">Nifas</w:t>
      </w:r>
    </w:p>
    <w:p>
      <w:pPr>
        <w:spacing w:after="700"/>
        <w:jc w:val="center"/>
      </w:pPr>
      <w:r>
        <w:rPr>
          <w:rFonts w:ascii="Source Serif 4" w:cs="Source Serif 4" w:eastAsia="Source Serif 4" w:hAnsi="Source Serif 4"/>
          <w:i/>
          <w:iCs/>
          <w:color w:val="334155"/>
          <w:sz w:val="30"/>
          <w:szCs w:val="30"/>
        </w:rPr>
        <w:t xml:space="preserve">Puerperal Period</w:t>
      </w:r>
    </w:p>
    <w:p>
      <w:pPr>
        <w:spacing w:after="100"/>
        <w:jc w:val="center"/>
      </w:pPr>
      <w:r>
        <w:rPr>
          <w:rFonts w:ascii="IBM Plex Mono" w:cs="IBM Plex Mono" w:eastAsia="IBM Plex Mono" w:hAnsi="IBM Plex Mono"/>
          <w:color w:val="334155"/>
          <w:sz w:val="20"/>
          <w:szCs w:val="20"/>
        </w:rPr>
        <w:t xml:space="preserve">ICD-10: Z39.2   •   ICD-11: QA48</w:t>
      </w:r>
    </w:p>
    <w:p>
      <w:pPr>
        <w:spacing w:after="900"/>
        <w:jc w:val="center"/>
      </w:pPr>
      <w:r>
        <w:rPr>
          <w:rFonts w:ascii="IBM Plex Sans" w:cs="IBM Plex Sans" w:eastAsia="IBM Plex Sans" w:hAnsi="IBM Plex Sans"/>
          <w:color w:val="334155"/>
          <w:sz w:val="18"/>
          <w:szCs w:val="18"/>
        </w:rPr>
        <w:t xml:space="preserve">Divisi Pengampu: Fetomaternal</w:t>
      </w:r>
    </w:p>
    <w:p>
      <w:pPr>
        <w:spacing w:after="40"/>
        <w:jc w:val="center"/>
      </w:pPr>
      <w:r>
        <w:rPr>
          <w:rFonts w:ascii="IBM Plex Sans" w:cs="IBM Plex Sans" w:eastAsia="IBM Plex Sans" w:hAnsi="IBM Plex Sans"/>
          <w:b/>
          <w:bCs/>
          <w:color w:val="334155"/>
          <w:sz w:val="20"/>
          <w:szCs w:val="20"/>
        </w:rPr>
        <w:t xml:space="preserve">Dr.dr. Budi Siswanto, Sp.OG., Subsp.Obginsos., SH., S.Kom.</w:t>
      </w:r>
    </w:p>
    <w:p>
      <w:pPr>
        <w:spacing w:after="40"/>
        <w:jc w:val="center"/>
      </w:pPr>
      <w:r>
        <w:rPr>
          <w:rFonts w:ascii="IBM Plex Sans" w:cs="IBM Plex Sans" w:eastAsia="IBM Plex Sans" w:hAnsi="IBM Plex Sans"/>
          <w:color w:val="334155"/>
          <w:sz w:val="18"/>
          <w:szCs w:val="18"/>
        </w:rPr>
        <w:t xml:space="preserve">Perpustakaan Digital ABBA</w:t>
      </w:r>
    </w:p>
    <w:p>
      <w:pPr>
        <w:spacing w:after="40"/>
        <w:jc w:val="center"/>
      </w:pPr>
      <w:r>
        <w:rPr>
          <w:rFonts w:ascii="IBM Plex Sans" w:cs="IBM Plex Sans" w:eastAsia="IBM Plex Sans" w:hAnsi="IBM Plex Sans"/>
          <w:color w:val="334155"/>
          <w:sz w:val="16"/>
          <w:szCs w:val="16"/>
        </w:rPr>
        <w:t xml:space="preserve">Jl Kerinci Raya No 9 Malang 65138</w:t>
      </w:r>
    </w:p>
    <w:p>
      <w:pPr>
        <w:jc w:val="center"/>
      </w:pPr>
      <w:r>
        <w:rPr>
          <w:rFonts w:ascii="IBM Plex Sans" w:cs="IBM Plex Sans" w:eastAsia="IBM Plex Sans" w:hAnsi="IBM Plex Sans"/>
          <w:color w:val="334155"/>
          <w:sz w:val="16"/>
          <w:szCs w:val="16"/>
        </w:rPr>
        <w:t xml:space="preserve">2026</w:t>
      </w:r>
    </w:p>
    <w:p>
      <w:r>
        <w:br w:type="page"/>
      </w:r>
    </w:p>
    <w:p>
      <w:pPr>
        <w:pStyle w:val="Heading1"/>
        <w:pBdr>
          <w:bottom w:val="single" w:color="B45309" w:sz="8" w:space="6"/>
        </w:pBdr>
        <w:spacing w:after="200" w:before="0"/>
      </w:pPr>
      <w:r>
        <w:rPr>
          <w:rFonts w:ascii="Source Serif 4" w:cs="Source Serif 4" w:eastAsia="Source Serif 4" w:hAnsi="Source Serif 4"/>
          <w:b/>
          <w:bCs/>
          <w:color w:val="4F46E5"/>
          <w:sz w:val="30"/>
          <w:szCs w:val="30"/>
        </w:rPr>
        <w:t xml:space="preserve">1. Pengertian/Definisi</w:t>
      </w:r>
    </w:p>
    <w:p>
      <w:pPr>
        <w:pStyle w:val="Heading2"/>
        <w:spacing w:after="120" w:before="200"/>
      </w:pPr>
      <w:r>
        <w:rPr>
          <w:rFonts w:ascii="Source Serif 4" w:cs="Source Serif 4" w:eastAsia="Source Serif 4" w:hAnsi="Source Serif 4"/>
          <w:b/>
          <w:bCs/>
          <w:color w:val="4F46E5"/>
          <w:sz w:val="24"/>
          <w:szCs w:val="24"/>
        </w:rPr>
        <w:t xml:space="preserve">1.1 Definisi dan Batasan Masa Nifas</w:t>
      </w:r>
    </w:p>
    <w:p>
      <w:pPr>
        <w:spacing w:after="160" w:line="300"/>
      </w:pPr>
      <w:r>
        <w:rPr>
          <w:rFonts w:ascii="IBM Plex Sans" w:cs="IBM Plex Sans" w:eastAsia="IBM Plex Sans" w:hAnsi="IBM Plex Sans"/>
          <w:color w:val="334155"/>
          <w:sz w:val="21"/>
          <w:szCs w:val="21"/>
        </w:rPr>
        <w:t xml:space="preserve">Nifas (puerperium; dalam bahasa Inggris: puerperal period/postpartum period) adalah masa yang dimulai segera setelah kelahiran plasenta hingga pulihnya organ reproduksi ibu ke kondisi sebelum hamil (nongravid), yang secara konvensional berlangsung selama enam minggu (42 hari) pascapersalinan. PPK ini mengatur pemantauan nifas fisiologis pada ibu tanpa komplikasi; kondisi patologis yang timbul pada masa ini — misalnya infeksi puerperium, atonia uteri, atau retensio plasenta — dirujuk pada PPK tersendiri yang relevan (lihat Bagian 5.2).</w:t>
      </w:r>
    </w:p>
    <w:p>
      <w:pPr>
        <w:spacing w:after="160" w:line="300"/>
      </w:pPr>
      <w:r>
        <w:rPr>
          <w:rFonts w:ascii="IBM Plex Sans" w:cs="IBM Plex Sans" w:eastAsia="IBM Plex Sans" w:hAnsi="IBM Plex Sans"/>
          <w:color w:val="334155"/>
          <w:sz w:val="21"/>
          <w:szCs w:val="21"/>
        </w:rPr>
        <w:t xml:space="preserve">PPK ini merupakan turunan operasional dari Bab Fisiologi dan Asuhan Masa Nifas — Buku Tematik B2 — Obstetri Fisiologis dan Asuhan Antenatal, yang menjadi rujukan konseptual mengenai adaptasi fisiologis ibu pascapersalinan.</w:t>
      </w:r>
    </w:p>
    <w:p>
      <w:pPr>
        <w:spacing w:after="160" w:line="300"/>
      </w:pPr>
      <w:r>
        <w:rPr>
          <w:rFonts w:ascii="IBM Plex Sans" w:cs="IBM Plex Sans" w:eastAsia="IBM Plex Sans" w:hAnsi="IBM Plex Sans"/>
          <w:color w:val="334155"/>
          <w:sz w:val="21"/>
          <w:szCs w:val="21"/>
        </w:rPr>
        <w:t xml:space="preserve">Secara fisiologis, masa nifas ditandai oleh tiga proses utama: (a) involusi uterus dan traktus genitalia menuju ukuran serta posisi pranatal, (b) inisiasi dan pemantapan laktasi, serta (c) adaptasi sistemik ibu — kardiovaskular, hematologi, endokrin, dan psikologis — terhadap keadaan tidak hamil. Gangguan pada salah satu proses ini menjadi dasar kewaspadaan klinis pada setiap kontak layanan nifas.</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shd w:fill="FEF3E2" w:val="clear"/>
            <w:tcMar>
              <w:top w:type="dxa" w:w="120"/>
              <w:left w:type="dxa" w:w="160"/>
              <w:bottom w:type="dxa" w:w="120"/>
              <w:right w:type="dxa" w:w="160"/>
            </w:tcMar>
          </w:tcPr>
          <w:p>
            <w:r>
              <w:rPr>
                <w:rFonts w:ascii="IBM Plex Sans" w:cs="IBM Plex Sans" w:eastAsia="IBM Plex Sans" w:hAnsi="IBM Plex Sans"/>
                <w:b/>
                <w:bCs/>
                <w:color w:val="B45309"/>
                <w:sz w:val="18"/>
                <w:szCs w:val="18"/>
              </w:rPr>
              <w:t xml:space="preserve">DASAR REGULASI  </w:t>
            </w:r>
            <w:r>
              <w:rPr>
                <w:rFonts w:ascii="IBM Plex Sans" w:cs="IBM Plex Sans" w:eastAsia="IBM Plex Sans" w:hAnsi="IBM Plex Sans"/>
                <w:color w:val="334155"/>
                <w:sz w:val="18"/>
                <w:szCs w:val="18"/>
              </w:rPr>
              <w:t xml:space="preserve">Dasar Regulasi: Keputusan Ketua Konsil Kesehatan Indonesia No. HK.01.02/KKI/1318/2026, Lampiran, Tabel 7 (Spektrum Penyakit dan Kondisi Klinis yang ditangani Spesialis Obstetri dan Ginekologi), baris No. 38, Halaman 61. Kode klasifikasi ICD-10 Z39.2 dan ICD-11 QA48 dikutip langsung dari kolom ICD-10/ICD-11 pada baris No. 38 tabel dimaksud.</w:t>
            </w:r>
          </w:p>
        </w:tc>
      </w:tr>
    </w:tbl>
    <w:p>
      <w:pPr>
        <w:spacing w:after="160"/>
      </w:pPr>
      <w:r>
        <w:t xml:space="preserve"/>
      </w:r>
    </w:p>
    <w:p>
      <w:pPr>
        <w:pStyle w:val="Heading2"/>
        <w:spacing w:after="120" w:before="200"/>
      </w:pPr>
      <w:r>
        <w:rPr>
          <w:rFonts w:ascii="Source Serif 4" w:cs="Source Serif 4" w:eastAsia="Source Serif 4" w:hAnsi="Source Serif 4"/>
          <w:b/>
          <w:bCs/>
          <w:color w:val="4F46E5"/>
          <w:sz w:val="24"/>
          <w:szCs w:val="24"/>
        </w:rPr>
        <w:t xml:space="preserve">1.2 Fisiologi Involusi, Laktasi, dan Adaptasi Sistemik</w:t>
      </w:r>
    </w:p>
    <w:p>
      <w:pPr>
        <w:spacing w:after="160" w:line="300"/>
      </w:pPr>
      <w:r>
        <w:rPr>
          <w:rFonts w:ascii="IBM Plex Sans" w:cs="IBM Plex Sans" w:eastAsia="IBM Plex Sans" w:hAnsi="IBM Plex Sans"/>
          <w:color w:val="334155"/>
          <w:sz w:val="21"/>
          <w:szCs w:val="21"/>
        </w:rPr>
        <w:t xml:space="preserve">Involusi uterus terjadi melalui autolisis serat miometrium yang diperantarai kontraksi ritmik uterus akibat oksitosin endogen; secara klinis, tinggi fundus uteri turun kurang lebih 1–2 cm per hari dan uterus kembali ke rongga panggul pada sekitar hari ke-10 hingga ke-14 pascapersalinan. Perubahan karakter lokia mengikuti tiga tahap yang berkorelasi dengan proses involusi dan penyembuhan luka plasenta: lokia rubra (merah, hari ke-1 sampai ke-3–4), lokia serosa (kecokelatan/merah muda pucat, hari ke-4 sampai ke-10), dan lokia alba (putih kekuningan, dari hari ke-10 hingga umumnya selesai sebelum minggu ke-6). Pola ini merupakan acuan umum; variasi individual tetap dapat terjadi selama tanda bahaya (Bagian 2.2) tidak dijumpai.</w:t>
      </w:r>
    </w:p>
    <w:p>
      <w:pPr>
        <w:spacing w:after="160" w:line="300"/>
      </w:pPr>
      <w:r>
        <w:rPr>
          <w:rFonts w:ascii="IBM Plex Sans" w:cs="IBM Plex Sans" w:eastAsia="IBM Plex Sans" w:hAnsi="IBM Plex Sans"/>
          <w:color w:val="334155"/>
          <w:sz w:val="21"/>
          <w:szCs w:val="21"/>
        </w:rPr>
        <w:t xml:space="preserve">Laktogenesis berlangsung dalam dua tahap: laktogenesis I dimulai sejak pertengahan kehamilan dengan produksi kolostrum, dan laktogenesis II — peningkatan volume produksi ASI secara nyata ("ASI mulai penuh") — terjadi sekitar 30–72 jam pascapersalinan akibat penurunan tajam progesteron setelah pelepasan plasenta serta kerja prolaktin dan oksitosin. Refleks let-down (milk ejection reflex) diperantarai oksitosin yang dilepaskan sebagai respons isapan bayi.</w:t>
      </w:r>
    </w:p>
    <w:p>
      <w:pPr>
        <w:spacing w:after="160" w:line="300"/>
      </w:pPr>
      <w:r>
        <w:rPr>
          <w:rFonts w:ascii="IBM Plex Sans" w:cs="IBM Plex Sans" w:eastAsia="IBM Plex Sans" w:hAnsi="IBM Plex Sans"/>
          <w:color w:val="334155"/>
          <w:sz w:val="21"/>
          <w:szCs w:val="21"/>
        </w:rPr>
        <w:t xml:space="preserve">Adaptasi kardiovaskular dan hematologi pascapersalinan mencakup peningkatan curah jantung transien pada jam-jam pertama akibat autotransfusi cairan dari kompartemen uteroplasenta ke sirkulasi sistemik, diikuti diuresis fisiologis dalam beberapa hari pertama untuk mengeliminasi kelebihan cairan ekstraseluler kehamilan. Leukositosis ringan hingga sedang dan peningkatan faktor koagulasi dapat menetap hingga beberapa minggu, menjelaskan mengapa puerperium merupakan periode risiko tertinggi tromboemboli vena dibandingkan masa kehamilan maupun masa tidak hamil.</w:t>
      </w:r>
    </w:p>
    <w:p>
      <w:pPr>
        <w:pStyle w:val="Heading2"/>
        <w:spacing w:after="120" w:before="200"/>
      </w:pPr>
      <w:r>
        <w:rPr>
          <w:rFonts w:ascii="Source Serif 4" w:cs="Source Serif 4" w:eastAsia="Source Serif 4" w:hAnsi="Source Serif 4"/>
          <w:b/>
          <w:bCs/>
          <w:color w:val="4F46E5"/>
          <w:sz w:val="24"/>
          <w:szCs w:val="24"/>
        </w:rPr>
        <w:t xml:space="preserve">1.3 Fase Klinis dan Adaptasi Psikologis Masa Nifas</w:t>
      </w:r>
    </w:p>
    <w:p>
      <w:pPr>
        <w:spacing w:after="160" w:line="300"/>
      </w:pPr>
      <w:r>
        <w:rPr>
          <w:rFonts w:ascii="IBM Plex Sans" w:cs="IBM Plex Sans" w:eastAsia="IBM Plex Sans" w:hAnsi="IBM Plex Sans"/>
          <w:color w:val="334155"/>
          <w:sz w:val="21"/>
          <w:szCs w:val="21"/>
        </w:rPr>
        <w:t xml:space="preserve">Secara klinis, masa nifas dibagi menjadi tiga fase operasional yang menjadi dasar penjadwalan kontak layanan:</w:t>
      </w:r>
    </w:p>
    <w:p>
      <w:pPr>
        <w:pStyle w:val="ListParagraph"/>
        <w:numPr>
          <w:ilvl w:val="0"/>
          <w:numId w:val="1"/>
        </w:numPr>
        <w:spacing w:after="100" w:line="300"/>
      </w:pPr>
      <w:r>
        <w:rPr>
          <w:rFonts w:ascii="IBM Plex Sans" w:cs="IBM Plex Sans" w:eastAsia="IBM Plex Sans" w:hAnsi="IBM Plex Sans"/>
          <w:color w:val="334155"/>
          <w:sz w:val="21"/>
          <w:szCs w:val="21"/>
        </w:rPr>
        <w:t xml:space="preserve">Puerperium dini (immediate postpartum): 0–24 jam pascapersalinan — periode risiko tertinggi perdarahan pascapersalinan dan dekompensasi kardiovaskular akut.</w:t>
      </w:r>
    </w:p>
    <w:p>
      <w:pPr>
        <w:pStyle w:val="ListParagraph"/>
        <w:numPr>
          <w:ilvl w:val="0"/>
          <w:numId w:val="1"/>
        </w:numPr>
        <w:spacing w:after="100" w:line="300"/>
      </w:pPr>
      <w:r>
        <w:rPr>
          <w:rFonts w:ascii="IBM Plex Sans" w:cs="IBM Plex Sans" w:eastAsia="IBM Plex Sans" w:hAnsi="IBM Plex Sans"/>
          <w:color w:val="334155"/>
          <w:sz w:val="21"/>
          <w:szCs w:val="21"/>
        </w:rPr>
        <w:t xml:space="preserve">Puerperium intermedial (early postpartum): 24 jam sampai dengan hari ke-7 — periode involusi uterus aktif, inisiasi laktasi, dan risiko infeksi puerperium.</w:t>
      </w:r>
    </w:p>
    <w:p>
      <w:pPr>
        <w:pStyle w:val="ListParagraph"/>
        <w:numPr>
          <w:ilvl w:val="0"/>
          <w:numId w:val="1"/>
        </w:numPr>
        <w:spacing w:after="100" w:line="300"/>
      </w:pPr>
      <w:r>
        <w:rPr>
          <w:rFonts w:ascii="IBM Plex Sans" w:cs="IBM Plex Sans" w:eastAsia="IBM Plex Sans" w:hAnsi="IBM Plex Sans"/>
          <w:color w:val="334155"/>
          <w:sz w:val="21"/>
          <w:szCs w:val="21"/>
        </w:rPr>
        <w:t xml:space="preserve">Puerperium lanjut (late postpartum): hari ke-8 sampai dengan minggu ke-6 (hari ke-42) — periode pemulihan jaringan ikat dan dasar panggul, adaptasi psikologis, serta persiapan kontrasepsi dan kembalinya fungsi reproduksi.</w:t>
      </w:r>
    </w:p>
    <w:p>
      <w:pPr>
        <w:spacing w:after="160" w:line="300"/>
      </w:pPr>
      <w:r>
        <w:rPr>
          <w:rFonts w:ascii="IBM Plex Sans" w:cs="IBM Plex Sans" w:eastAsia="IBM Plex Sans" w:hAnsi="IBM Plex Sans"/>
          <w:color w:val="334155"/>
          <w:sz w:val="21"/>
          <w:szCs w:val="21"/>
        </w:rPr>
        <w:t xml:space="preserve">Adaptasi psikologis ibu nifas secara historis dideskripsikan melalui kerangka "puerperal change" oleh Rubin (1961), yang membagi perilaku ibu baru menjadi fase taking-in (berorientasi pada pemulihan diri, hari pertama) dan taking-hold (mulai mengambil alih perawatan diri dan bayi). Kerangka ini bermanfaat sebagai model konseptual, namun studi observasional selanjutnya menunjukkan bahwa durasi dan urutan fase tersebut bervariasi antarindividu dan tidak selalu mengikuti pentahapan waktu yang kaku sebagaimana dijelaskan pada publikasi aslinya; penerapannya di ruang layanan sebaiknya sebagai kerangka pengamatan, bukan jadwal baku.</w:t>
      </w:r>
    </w:p>
    <w:p>
      <w:pPr>
        <w:spacing w:after="160" w:line="300"/>
      </w:pPr>
      <w:r>
        <w:rPr>
          <w:rFonts w:ascii="IBM Plex Sans" w:cs="IBM Plex Sans" w:eastAsia="IBM Plex Sans" w:hAnsi="IBM Plex Sans"/>
          <w:color w:val="334155"/>
          <w:sz w:val="21"/>
          <w:szCs w:val="21"/>
        </w:rPr>
        <w:t xml:space="preserve">Jadwal kontak layanan nifas nasional (Kunjungan Nifas/KF) mengikuti program Kementerian Kesehatan sebagai standar layanan primer pendamping PPK ini: KF1 (6 jam sampai hari ke-2), KF2 (hari ke-3 sampai ke-7), KF3 (hari ke-8 sampai ke-28), dan KF4 (hari ke-29 sampai ke-42). Capaian cakupan KF1-KF4 bersifat dinamis antarwilayah dan antarwaktu; angka cakupan terkini agar dirujuk langsung pada laporan tahunan Profil Kesehatan Indonesia atau data rutin Kementerian Kesehatan, bukan dikutip dari sumber sekunder.</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2. Anamnesis</w:t>
      </w:r>
    </w:p>
    <w:p>
      <w:pPr>
        <w:pStyle w:val="Heading2"/>
        <w:spacing w:after="120" w:before="200"/>
      </w:pPr>
      <w:r>
        <w:rPr>
          <w:rFonts w:ascii="Source Serif 4" w:cs="Source Serif 4" w:eastAsia="Source Serif 4" w:hAnsi="Source Serif 4"/>
          <w:b/>
          <w:bCs/>
          <w:color w:val="4F46E5"/>
          <w:sz w:val="24"/>
          <w:szCs w:val="24"/>
        </w:rPr>
        <w:t xml:space="preserve">2.1 Anamnesis Umum Pascapersalinan</w:t>
      </w:r>
    </w:p>
    <w:p>
      <w:pPr>
        <w:spacing w:after="160" w:line="300"/>
      </w:pPr>
      <w:r>
        <w:rPr>
          <w:rFonts w:ascii="IBM Plex Sans" w:cs="IBM Plex Sans" w:eastAsia="IBM Plex Sans" w:hAnsi="IBM Plex Sans"/>
          <w:color w:val="334155"/>
          <w:sz w:val="21"/>
          <w:szCs w:val="21"/>
        </w:rPr>
        <w:t xml:space="preserve">Anamnesis pada setiap kontak nifas mencakup riwayat persalinan (cara persalinan, ada tidaknya penyulit, perkiraan kehilangan darah, laserasi/episiotomi), riwayat kehamilan (komplikasi hipertensi, diabetes gestasional, infeksi), serta keluhan aktif ibu saat kontak berlangsung.</w:t>
      </w:r>
    </w:p>
    <w:p>
      <w:pPr>
        <w:pStyle w:val="ListParagraph"/>
        <w:numPr>
          <w:ilvl w:val="0"/>
          <w:numId w:val="1"/>
        </w:numPr>
        <w:spacing w:after="100" w:line="300"/>
      </w:pPr>
      <w:r>
        <w:rPr>
          <w:rFonts w:ascii="IBM Plex Sans" w:cs="IBM Plex Sans" w:eastAsia="IBM Plex Sans" w:hAnsi="IBM Plex Sans"/>
          <w:color w:val="334155"/>
          <w:sz w:val="21"/>
          <w:szCs w:val="21"/>
        </w:rPr>
        <w:t xml:space="preserve">Karakteristik lokia: volume, warna (rubra, serosa, alba), dan bau — perubahan mendadak atau bau menyengat mengarah pada infeksi puerperium.</w:t>
      </w:r>
    </w:p>
    <w:p>
      <w:pPr>
        <w:pStyle w:val="ListParagraph"/>
        <w:numPr>
          <w:ilvl w:val="0"/>
          <w:numId w:val="1"/>
        </w:numPr>
        <w:spacing w:after="100" w:line="300"/>
      </w:pPr>
      <w:r>
        <w:rPr>
          <w:rFonts w:ascii="IBM Plex Sans" w:cs="IBM Plex Sans" w:eastAsia="IBM Plex Sans" w:hAnsi="IBM Plex Sans"/>
          <w:color w:val="334155"/>
          <w:sz w:val="21"/>
          <w:szCs w:val="21"/>
        </w:rPr>
        <w:t xml:space="preserve">Nyeri: lokasi (perut bawah, perineum, payudara, betis), intensitas, dan pola (menetap vs kolik/afterpain akibat kontraksi involusi, yang lazim lebih terasa pada ibu multipara dan saat menyusui akibat pelepasan oksitosin).</w:t>
      </w:r>
    </w:p>
    <w:p>
      <w:pPr>
        <w:pStyle w:val="ListParagraph"/>
        <w:numPr>
          <w:ilvl w:val="0"/>
          <w:numId w:val="1"/>
        </w:numPr>
        <w:spacing w:after="100" w:line="300"/>
      </w:pPr>
      <w:r>
        <w:rPr>
          <w:rFonts w:ascii="IBM Plex Sans" w:cs="IBM Plex Sans" w:eastAsia="IBM Plex Sans" w:hAnsi="IBM Plex Sans"/>
          <w:color w:val="334155"/>
          <w:sz w:val="21"/>
          <w:szCs w:val="21"/>
        </w:rPr>
        <w:t xml:space="preserve">Fungsi berkemih dan defekasi, termasuk gejala inkontinensia urin/alvi pascapersalinan.</w:t>
      </w:r>
    </w:p>
    <w:p>
      <w:pPr>
        <w:pStyle w:val="ListParagraph"/>
        <w:numPr>
          <w:ilvl w:val="0"/>
          <w:numId w:val="1"/>
        </w:numPr>
        <w:spacing w:after="100" w:line="300"/>
      </w:pPr>
      <w:r>
        <w:rPr>
          <w:rFonts w:ascii="IBM Plex Sans" w:cs="IBM Plex Sans" w:eastAsia="IBM Plex Sans" w:hAnsi="IBM Plex Sans"/>
          <w:color w:val="334155"/>
          <w:sz w:val="21"/>
          <w:szCs w:val="21"/>
        </w:rPr>
        <w:t xml:space="preserve">Status menyusui: perlekatan bayi, frekuensi, nyeri puting, tanda bendungan payudara/mastitis.</w:t>
      </w:r>
    </w:p>
    <w:p>
      <w:pPr>
        <w:pStyle w:val="ListParagraph"/>
        <w:numPr>
          <w:ilvl w:val="0"/>
          <w:numId w:val="1"/>
        </w:numPr>
        <w:spacing w:after="100" w:line="300"/>
      </w:pPr>
      <w:r>
        <w:rPr>
          <w:rFonts w:ascii="IBM Plex Sans" w:cs="IBM Plex Sans" w:eastAsia="IBM Plex Sans" w:hAnsi="IBM Plex Sans"/>
          <w:color w:val="334155"/>
          <w:sz w:val="21"/>
          <w:szCs w:val="21"/>
        </w:rPr>
        <w:t xml:space="preserve">Kondisi mood dan psikologis: gejala baby blues, gangguan tidur di luar pola normal bayi, ide melukai diri/bayi.</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penyakit penyerta yang memerlukan penyesuaian tata laksana nifas (hipertensi kronik, diabetes melitus, gangguan tiroid, riwayat tromboemboli).</w:t>
      </w:r>
    </w:p>
    <w:p>
      <w:pPr>
        <w:pStyle w:val="Heading2"/>
        <w:spacing w:after="120" w:before="200"/>
      </w:pPr>
      <w:r>
        <w:rPr>
          <w:rFonts w:ascii="Source Serif 4" w:cs="Source Serif 4" w:eastAsia="Source Serif 4" w:hAnsi="Source Serif 4"/>
          <w:b/>
          <w:bCs/>
          <w:color w:val="4F46E5"/>
          <w:sz w:val="24"/>
          <w:szCs w:val="24"/>
        </w:rPr>
        <w:t xml:space="preserve">2.2 Skrining Tanda Bahaya (Red Flag) dan Kesehatan Mental</w:t>
      </w:r>
    </w:p>
    <w:p>
      <w:pPr>
        <w:spacing w:after="160" w:line="300"/>
      </w:pPr>
      <w:r>
        <w:rPr>
          <w:rFonts w:ascii="IBM Plex Sans" w:cs="IBM Plex Sans" w:eastAsia="IBM Plex Sans" w:hAnsi="IBM Plex Sans"/>
          <w:color w:val="334155"/>
          <w:sz w:val="21"/>
          <w:szCs w:val="21"/>
        </w:rPr>
        <w:t xml:space="preserve">Setiap anamnesis nifas WAJIB menyertakan skrining tanda bahaya yang mengindikasikan kegawatdaruratan dan memerlukan eskalasi segera (lihat kriteria rujukan Bagian 7.4):</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Perdarahan banyak/mendadak (&gt;1 pembalut penuh per jam, atau gumpalan besar) di luar periode puerperium dini.</w:t>
      </w:r>
    </w:p>
    <w:p>
      <w:pPr>
        <w:pStyle w:val="ListParagraph"/>
        <w:numPr>
          <w:ilvl w:val="0"/>
          <w:numId w:val="1"/>
        </w:numPr>
        <w:spacing w:after="100" w:line="300"/>
      </w:pPr>
      <w:r>
        <w:rPr>
          <w:rFonts w:ascii="IBM Plex Sans" w:cs="IBM Plex Sans" w:eastAsia="IBM Plex Sans" w:hAnsi="IBM Plex Sans"/>
          <w:color w:val="334155"/>
          <w:sz w:val="21"/>
          <w:szCs w:val="21"/>
        </w:rPr>
        <w:t xml:space="preserve">Demam ≥38°C, menggigil, atau nyeri perut bawah hebat.</w:t>
      </w:r>
    </w:p>
    <w:p>
      <w:pPr>
        <w:pStyle w:val="ListParagraph"/>
        <w:numPr>
          <w:ilvl w:val="0"/>
          <w:numId w:val="1"/>
        </w:numPr>
        <w:spacing w:after="100" w:line="300"/>
      </w:pPr>
      <w:r>
        <w:rPr>
          <w:rFonts w:ascii="IBM Plex Sans" w:cs="IBM Plex Sans" w:eastAsia="IBM Plex Sans" w:hAnsi="IBM Plex Sans"/>
          <w:color w:val="334155"/>
          <w:sz w:val="21"/>
          <w:szCs w:val="21"/>
        </w:rPr>
        <w:t xml:space="preserve">Nyeri kepala hebat, gangguan penglihatan, atau nyeri epigastrium (kecurigaan preeklamsia/eklamsia postpartum).</w:t>
      </w:r>
    </w:p>
    <w:p>
      <w:pPr>
        <w:pStyle w:val="ListParagraph"/>
        <w:numPr>
          <w:ilvl w:val="0"/>
          <w:numId w:val="1"/>
        </w:numPr>
        <w:spacing w:after="100" w:line="300"/>
      </w:pPr>
      <w:r>
        <w:rPr>
          <w:rFonts w:ascii="IBM Plex Sans" w:cs="IBM Plex Sans" w:eastAsia="IBM Plex Sans" w:hAnsi="IBM Plex Sans"/>
          <w:color w:val="334155"/>
          <w:sz w:val="21"/>
          <w:szCs w:val="21"/>
        </w:rPr>
        <w:t xml:space="preserve">Nyeri dan bengkak tungkai unilateral, atau sesak napas mendadak (kecurigaan tromboemboli vena).</w:t>
      </w:r>
    </w:p>
    <w:p>
      <w:pPr>
        <w:pStyle w:val="ListParagraph"/>
        <w:numPr>
          <w:ilvl w:val="0"/>
          <w:numId w:val="1"/>
        </w:numPr>
        <w:spacing w:after="100" w:line="300"/>
      </w:pPr>
      <w:r>
        <w:rPr>
          <w:rFonts w:ascii="IBM Plex Sans" w:cs="IBM Plex Sans" w:eastAsia="IBM Plex Sans" w:hAnsi="IBM Plex Sans"/>
          <w:color w:val="334155"/>
          <w:sz w:val="21"/>
          <w:szCs w:val="21"/>
        </w:rPr>
        <w:t xml:space="preserve">Luka operasi/laserasi yang terbuka, bernanah, atau berbau.</w:t>
      </w:r>
    </w:p>
    <w:p>
      <w:pPr>
        <w:pStyle w:val="ListParagraph"/>
        <w:numPr>
          <w:ilvl w:val="0"/>
          <w:numId w:val="1"/>
        </w:numPr>
        <w:spacing w:after="100" w:line="300"/>
      </w:pPr>
      <w:r>
        <w:rPr>
          <w:rFonts w:ascii="IBM Plex Sans" w:cs="IBM Plex Sans" w:eastAsia="IBM Plex Sans" w:hAnsi="IBM Plex Sans"/>
          <w:color w:val="334155"/>
          <w:sz w:val="21"/>
          <w:szCs w:val="21"/>
        </w:rPr>
        <w:t xml:space="preserve">Gejala depresi/psikosis postpartum, termasuk ide melukai diri sendiri atau bayi.</w:t>
      </w:r>
    </w:p>
    <w:p>
      <w:pPr>
        <w:spacing w:after="160" w:line="300"/>
      </w:pPr>
      <w:r>
        <w:rPr>
          <w:rFonts w:ascii="IBM Plex Sans" w:cs="IBM Plex Sans" w:eastAsia="IBM Plex Sans" w:hAnsi="IBM Plex Sans"/>
          <w:color w:val="334155"/>
          <w:sz w:val="21"/>
          <w:szCs w:val="21"/>
        </w:rPr>
        <w:t xml:space="preserve">Skrining kesehatan mental menggunakan instrumen tervalidasi seperti Edinburgh Postnatal Depression Scale (EPDS) — kuesioner 10 butir laporan-mandiri yang dikembangkan oleh Cox, Holden, dan Sagovsky (1987) — direkomendasikan pada kontak KF2/KF3 dan KF4, dengan ambang rujukan sesuai instrumen dan versi terjemahan Bahasa Indonesia tervalidasi yang digunakan fasilitas.</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3. Pemeriksaan Fisik</w:t>
      </w:r>
    </w:p>
    <w:p>
      <w:pPr>
        <w:pStyle w:val="Heading2"/>
        <w:spacing w:after="120" w:before="200"/>
      </w:pPr>
      <w:r>
        <w:rPr>
          <w:rFonts w:ascii="Source Serif 4" w:cs="Source Serif 4" w:eastAsia="Source Serif 4" w:hAnsi="Source Serif 4"/>
          <w:b/>
          <w:bCs/>
          <w:color w:val="4F46E5"/>
          <w:sz w:val="24"/>
          <w:szCs w:val="24"/>
        </w:rPr>
        <w:t xml:space="preserve">3.1 Pemeriksaan Tanda Vital dan Status Generalis</w:t>
      </w:r>
    </w:p>
    <w:p>
      <w:pPr>
        <w:spacing w:after="160" w:line="300"/>
      </w:pPr>
      <w:r>
        <w:rPr>
          <w:rFonts w:ascii="IBM Plex Sans" w:cs="IBM Plex Sans" w:eastAsia="IBM Plex Sans" w:hAnsi="IBM Plex Sans"/>
          <w:color w:val="334155"/>
          <w:sz w:val="21"/>
          <w:szCs w:val="21"/>
        </w:rPr>
        <w:t xml:space="preserve">Pemeriksaan tanda vital lengkap (tekanan darah, nadi, suhu, laju napas, saturasi oksigen bila tersedia) dilakukan pada setiap kontak nifas, dengan perhatian khusus pada deteksi hipertensi postpartum baru, takikardia yang tidak sebanding dengan derajat nyeri (kecurigaan sepsis/perdarahan tersembunyi), dan demam.</w:t>
      </w:r>
    </w:p>
    <w:p>
      <w:pPr>
        <w:spacing w:after="160" w:line="300"/>
      </w:pPr>
      <w:r>
        <w:rPr>
          <w:rFonts w:ascii="IBM Plex Sans" w:cs="IBM Plex Sans" w:eastAsia="IBM Plex Sans" w:hAnsi="IBM Plex Sans"/>
          <w:color w:val="334155"/>
          <w:sz w:val="21"/>
          <w:szCs w:val="21"/>
        </w:rPr>
        <w:t xml:space="preserve">Pemeriksaan generalis mencakup konjungtiva (tanda anemia), edema tungkai, tanda nyeri tekan betis unilateral sebagai skrining awal tromboemboli vena — dengan catatan bahwa tanda Homan memiliki sensitivitas dan spesifisitas rendah serta berpotensi memperberat trombus yang sudah ada, sehingga kecurigaan klinis tromboemboli tetap harus ditindaklanjuti dengan pencitraan konfirmasi (Bagian 6.2) dan bukan mengandalkan manuver tersebut — serta status hidrasi dan produksi ASI.</w:t>
      </w:r>
    </w:p>
    <w:p>
      <w:pPr>
        <w:pStyle w:val="Heading2"/>
        <w:spacing w:after="120" w:before="200"/>
      </w:pPr>
      <w:r>
        <w:rPr>
          <w:rFonts w:ascii="Source Serif 4" w:cs="Source Serif 4" w:eastAsia="Source Serif 4" w:hAnsi="Source Serif 4"/>
          <w:b/>
          <w:bCs/>
          <w:color w:val="4F46E5"/>
          <w:sz w:val="24"/>
          <w:szCs w:val="24"/>
        </w:rPr>
        <w:t xml:space="preserve">3.2 Pemeriksaan Obstetri Fokus Nifas</w:t>
      </w:r>
    </w:p>
    <w:p>
      <w:pPr>
        <w:pStyle w:val="ListParagraph"/>
        <w:numPr>
          <w:ilvl w:val="0"/>
          <w:numId w:val="1"/>
        </w:numPr>
        <w:spacing w:after="100" w:line="300"/>
      </w:pPr>
      <w:r>
        <w:rPr>
          <w:rFonts w:ascii="IBM Plex Sans" w:cs="IBM Plex Sans" w:eastAsia="IBM Plex Sans" w:hAnsi="IBM Plex Sans"/>
          <w:color w:val="334155"/>
          <w:sz w:val="21"/>
          <w:szCs w:val="21"/>
        </w:rPr>
        <w:t xml:space="preserve">Payudara: pembengkakan, kemerahan, nyeri tekan, retak puting, tanda mastitis/abses.</w:t>
      </w:r>
    </w:p>
    <w:p>
      <w:pPr>
        <w:pStyle w:val="ListParagraph"/>
        <w:numPr>
          <w:ilvl w:val="0"/>
          <w:numId w:val="1"/>
        </w:numPr>
        <w:spacing w:after="100" w:line="300"/>
      </w:pPr>
      <w:r>
        <w:rPr>
          <w:rFonts w:ascii="IBM Plex Sans" w:cs="IBM Plex Sans" w:eastAsia="IBM Plex Sans" w:hAnsi="IBM Plex Sans"/>
          <w:color w:val="334155"/>
          <w:sz w:val="21"/>
          <w:szCs w:val="21"/>
        </w:rPr>
        <w:t xml:space="preserve">Abdomen: tinggi fundus uteri dan konsistensi (involusi normal turun ±1–2 cm/hari, teraba keras berbatas tegas), nyeri tekan suprapubik, tanda peritonitis.</w:t>
      </w:r>
    </w:p>
    <w:p>
      <w:pPr>
        <w:pStyle w:val="ListParagraph"/>
        <w:numPr>
          <w:ilvl w:val="0"/>
          <w:numId w:val="1"/>
        </w:numPr>
        <w:spacing w:after="100" w:line="300"/>
      </w:pPr>
      <w:r>
        <w:rPr>
          <w:rFonts w:ascii="IBM Plex Sans" w:cs="IBM Plex Sans" w:eastAsia="IBM Plex Sans" w:hAnsi="IBM Plex Sans"/>
          <w:color w:val="334155"/>
          <w:sz w:val="21"/>
          <w:szCs w:val="21"/>
        </w:rPr>
        <w:t xml:space="preserve">Genitalia eksterna dan perineum: kondisi luka episiotomi/laserasi dinilai dengan pendekatan REEDA (redness/kemerahan, edema, ecchymosis/ekimosis, discharge/rembesan, approximation/kerapatan tepi luka), hematoma, tanda infeksi lokal.</w:t>
      </w:r>
    </w:p>
    <w:p>
      <w:pPr>
        <w:pStyle w:val="ListParagraph"/>
        <w:numPr>
          <w:ilvl w:val="0"/>
          <w:numId w:val="1"/>
        </w:numPr>
        <w:spacing w:after="100" w:line="300"/>
      </w:pPr>
      <w:r>
        <w:rPr>
          <w:rFonts w:ascii="IBM Plex Sans" w:cs="IBM Plex Sans" w:eastAsia="IBM Plex Sans" w:hAnsi="IBM Plex Sans"/>
          <w:color w:val="334155"/>
          <w:sz w:val="21"/>
          <w:szCs w:val="21"/>
        </w:rPr>
        <w:t xml:space="preserve">Lokia: volume dan karakteristik saat pemeriksaan, dikorelasikan dengan hari nifas (lihat pentahapan Bagian 1.2).</w:t>
      </w:r>
    </w:p>
    <w:p>
      <w:pPr>
        <w:pStyle w:val="ListParagraph"/>
        <w:numPr>
          <w:ilvl w:val="0"/>
          <w:numId w:val="1"/>
        </w:numPr>
        <w:spacing w:after="100" w:line="300"/>
      </w:pPr>
      <w:r>
        <w:rPr>
          <w:rFonts w:ascii="IBM Plex Sans" w:cs="IBM Plex Sans" w:eastAsia="IBM Plex Sans" w:hAnsi="IBM Plex Sans"/>
          <w:color w:val="334155"/>
          <w:sz w:val="21"/>
          <w:szCs w:val="21"/>
        </w:rPr>
        <w:t xml:space="preserve">Pada pascaseksio sesarea: kondisi luka operasi, tanda infeksi luka operasi (surgical site infection), nyeri tekan lokal.</w:t>
      </w:r>
    </w:p>
    <w:p>
      <w:pPr>
        <w:pStyle w:val="ListParagraph"/>
        <w:numPr>
          <w:ilvl w:val="0"/>
          <w:numId w:val="1"/>
        </w:numPr>
        <w:spacing w:after="100" w:line="300"/>
      </w:pPr>
      <w:r>
        <w:rPr>
          <w:rFonts w:ascii="IBM Plex Sans" w:cs="IBM Plex Sans" w:eastAsia="IBM Plex Sans" w:hAnsi="IBM Plex Sans"/>
          <w:color w:val="334155"/>
          <w:sz w:val="21"/>
          <w:szCs w:val="21"/>
        </w:rPr>
        <w:t xml:space="preserve">Ekstremitas bawah: tanda tromboemboli vena (nyeri, bengkak, kemerahan unilateral).</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shd w:fill="FEF3E2" w:val="clear"/>
            <w:tcMar>
              <w:top w:type="dxa" w:w="120"/>
              <w:left w:type="dxa" w:w="160"/>
              <w:bottom w:type="dxa" w:w="120"/>
              <w:right w:type="dxa" w:w="160"/>
            </w:tcMar>
          </w:tcPr>
          <w:p>
            <w:r>
              <w:rPr>
                <w:rFonts w:ascii="IBM Plex Sans" w:cs="IBM Plex Sans" w:eastAsia="IBM Plex Sans" w:hAnsi="IBM Plex Sans"/>
                <w:b/>
                <w:bCs/>
                <w:color w:val="B45309"/>
                <w:sz w:val="18"/>
                <w:szCs w:val="18"/>
              </w:rPr>
              <w:t xml:space="preserve">DASAR REGULASI  </w:t>
            </w:r>
            <w:r>
              <w:rPr>
                <w:rFonts w:ascii="IBM Plex Sans" w:cs="IBM Plex Sans" w:eastAsia="IBM Plex Sans" w:hAnsi="IBM Plex Sans"/>
                <w:color w:val="334155"/>
                <w:sz w:val="18"/>
                <w:szCs w:val="18"/>
              </w:rPr>
              <w:t xml:space="preserve">Dasar Regulasi: cakupan pemeriksaan fisik nifas fisiologis mengacu pada batasan kompetensi medis Kepkonsil Tabel 7 No. 38 (Keterangan/Populasi: "Masa pascapersalinan; pemantauan ibu"), diperkaya kerangka penilaian klinis standar internasional pada Bagian 12.</w:t>
            </w:r>
          </w:p>
        </w:tc>
      </w:tr>
    </w:tbl>
    <w:p>
      <w:pPr>
        <w:spacing w:after="160"/>
      </w:pPr>
      <w:r>
        <w:t xml:space="preserve"/>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4. Kriteria Diagnosis</w:t>
      </w:r>
    </w:p>
    <w:p>
      <w:pPr>
        <w:pStyle w:val="Heading2"/>
        <w:spacing w:after="120" w:before="200"/>
      </w:pPr>
      <w:r>
        <w:rPr>
          <w:rFonts w:ascii="Source Serif 4" w:cs="Source Serif 4" w:eastAsia="Source Serif 4" w:hAnsi="Source Serif 4"/>
          <w:b/>
          <w:bCs/>
          <w:color w:val="4F46E5"/>
          <w:sz w:val="24"/>
          <w:szCs w:val="24"/>
        </w:rPr>
        <w:t xml:space="preserve">4.1 Kode Klasifikasi (ICD-10/ICD-11)</w:t>
      </w:r>
    </w:p>
    <w:p>
      <w:pPr>
        <w:spacing w:after="160" w:line="300"/>
      </w:pPr>
      <w:r>
        <w:rPr>
          <w:rFonts w:ascii="IBM Plex Sans" w:cs="IBM Plex Sans" w:eastAsia="IBM Plex Sans" w:hAnsi="IBM Plex Sans"/>
          <w:color w:val="334155"/>
          <w:sz w:val="21"/>
          <w:szCs w:val="21"/>
        </w:rPr>
        <w:t xml:space="preserve">Kode klasifikasi untuk kontak/pemantauan nifas fisiologis, hasil verifikasi ulang terhadap Tabel 7 Kepkonsil No. HK.01.02/KKI/1318/2026:</w:t>
      </w:r>
    </w:p>
    <w:p>
      <w:pPr>
        <w:spacing w:after="80" w:before="120"/>
      </w:pPr>
      <w:r>
        <w:rPr>
          <w:rFonts w:ascii="IBM Plex Sans" w:cs="IBM Plex Sans" w:eastAsia="IBM Plex Sans" w:hAnsi="IBM Plex Sans"/>
          <w:b/>
          <w:bCs/>
          <w:i/>
          <w:iCs/>
          <w:color w:val="4F46E5"/>
          <w:sz w:val="19"/>
          <w:szCs w:val="19"/>
        </w:rPr>
        <w:t xml:space="preserve">Tabel 1. Kode Klasifikasi Nifas (Kepkonsil Tabel 7 No. 38)</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Nama Penyakit/Kondisi (Id)</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Disease/Condition (En)</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ICD-10</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ICD-11</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Keterangan/Populasi (resmi)</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Nifas</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Puerperal period</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Z39.2</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QA48</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Masa pascapersalinan; pemantauan ibu</w:t>
            </w:r>
          </w:p>
        </w:tc>
      </w:tr>
    </w:tbl>
    <w:p>
      <w:pPr>
        <w:spacing w:after="160"/>
      </w:pPr>
      <w:r>
        <w:t xml:space="preserve"/>
      </w:r>
    </w:p>
    <w:p>
      <w:pPr>
        <w:spacing w:after="160" w:line="300"/>
      </w:pPr>
      <w:r>
        <w:rPr>
          <w:rFonts w:ascii="IBM Plex Sans" w:cs="IBM Plex Sans" w:eastAsia="IBM Plex Sans" w:hAnsi="IBM Plex Sans"/>
          <w:color w:val="334155"/>
          <w:sz w:val="21"/>
          <w:szCs w:val="21"/>
        </w:rPr>
        <w:t xml:space="preserve">Catatan presisi kode: pada struktur ICD-11 resmi, QA48 merupakan kategori induk "Postpartum care or examination" yang memiliki empat subkategori — QA48.0 (perawatan/pemeriksaan segera setelah persalinan), QA48.1 (perawatan/pemeriksaan ibu menyusui), QA48.2 (kontrol nifas rutin), dan QA48.Y/QA48.Z (spesifik lain/tidak dirinci). Untuk kontak pemantauan nifas rutin sebagaimana cakupan PPK ini, subkategori yang paling presisi adalah QA48.2 ("Routine postpartum follow-up"), yang merupakan padanan langsung ICD-10 Z39.2. Kode QA48 pada Tabel 7 Kepkonsil dipertahankan sebagai rujukan kategori induk sesuai sumber resmi; institusi yang memerlukan pengodean bertingkat subkategori disarankan mencantumkan QA48.2 pada dokumentasi rekam medis elektronik.</w:t>
      </w:r>
    </w:p>
    <w:p>
      <w:pPr>
        <w:pStyle w:val="Heading2"/>
        <w:spacing w:after="120" w:before="200"/>
      </w:pPr>
      <w:r>
        <w:rPr>
          <w:rFonts w:ascii="Source Serif 4" w:cs="Source Serif 4" w:eastAsia="Source Serif 4" w:hAnsi="Source Serif 4"/>
          <w:b/>
          <w:bCs/>
          <w:color w:val="4F46E5"/>
          <w:sz w:val="24"/>
          <w:szCs w:val="24"/>
        </w:rPr>
        <w:t xml:space="preserve">4.2 Kriteria Nifas Fisiologis vs Kondisi yang Memerlukan Kewaspadaan</w:t>
      </w:r>
    </w:p>
    <w:p>
      <w:pPr>
        <w:spacing w:after="160" w:line="300"/>
      </w:pPr>
      <w:r>
        <w:rPr>
          <w:rFonts w:ascii="IBM Plex Sans" w:cs="IBM Plex Sans" w:eastAsia="IBM Plex Sans" w:hAnsi="IBM Plex Sans"/>
          <w:color w:val="334155"/>
          <w:sz w:val="21"/>
          <w:szCs w:val="21"/>
        </w:rPr>
        <w:t xml:space="preserve">Nifas dinyatakan fisiologis (kode Z39.2/QA48.2 sebagai encounter pemantauan rutin, bukan kode penyakit) apabila memenuhi seluruh kriteria berikut pada setiap kontak pemeriksaan:</w:t>
      </w:r>
    </w:p>
    <w:p>
      <w:pPr>
        <w:pStyle w:val="ListParagraph"/>
        <w:numPr>
          <w:ilvl w:val="0"/>
          <w:numId w:val="1"/>
        </w:numPr>
        <w:spacing w:after="100" w:line="300"/>
      </w:pPr>
      <w:r>
        <w:rPr>
          <w:rFonts w:ascii="IBM Plex Sans" w:cs="IBM Plex Sans" w:eastAsia="IBM Plex Sans" w:hAnsi="IBM Plex Sans"/>
          <w:color w:val="334155"/>
          <w:sz w:val="21"/>
          <w:szCs w:val="21"/>
        </w:rPr>
        <w:t xml:space="preserve">Tanda vital dalam batas normal, tanpa demam.</w:t>
      </w:r>
    </w:p>
    <w:p>
      <w:pPr>
        <w:pStyle w:val="ListParagraph"/>
        <w:numPr>
          <w:ilvl w:val="0"/>
          <w:numId w:val="1"/>
        </w:numPr>
        <w:spacing w:after="100" w:line="300"/>
      </w:pPr>
      <w:r>
        <w:rPr>
          <w:rFonts w:ascii="IBM Plex Sans" w:cs="IBM Plex Sans" w:eastAsia="IBM Plex Sans" w:hAnsi="IBM Plex Sans"/>
          <w:color w:val="334155"/>
          <w:sz w:val="21"/>
          <w:szCs w:val="21"/>
        </w:rPr>
        <w:t xml:space="preserve">Involusi uterus sesuai usia nifas, tanpa nyeri tekan abnormal.</w:t>
      </w:r>
    </w:p>
    <w:p>
      <w:pPr>
        <w:pStyle w:val="ListParagraph"/>
        <w:numPr>
          <w:ilvl w:val="0"/>
          <w:numId w:val="1"/>
        </w:numPr>
        <w:spacing w:after="100" w:line="300"/>
      </w:pPr>
      <w:r>
        <w:rPr>
          <w:rFonts w:ascii="IBM Plex Sans" w:cs="IBM Plex Sans" w:eastAsia="IBM Plex Sans" w:hAnsi="IBM Plex Sans"/>
          <w:color w:val="334155"/>
          <w:sz w:val="21"/>
          <w:szCs w:val="21"/>
        </w:rPr>
        <w:t xml:space="preserve">Karakteristik lokia sesuai fase nifas, tanpa perdarahan berlebihan atau bau menyengat.</w:t>
      </w:r>
    </w:p>
    <w:p>
      <w:pPr>
        <w:pStyle w:val="ListParagraph"/>
        <w:numPr>
          <w:ilvl w:val="0"/>
          <w:numId w:val="1"/>
        </w:numPr>
        <w:spacing w:after="100" w:line="300"/>
      </w:pPr>
      <w:r>
        <w:rPr>
          <w:rFonts w:ascii="IBM Plex Sans" w:cs="IBM Plex Sans" w:eastAsia="IBM Plex Sans" w:hAnsi="IBM Plex Sans"/>
          <w:color w:val="334155"/>
          <w:sz w:val="21"/>
          <w:szCs w:val="21"/>
        </w:rPr>
        <w:t xml:space="preserve">Luka perineum/luka operasi dalam proses penyembuhan normal (tanpa tanda REEDA positif signifikan).</w:t>
      </w:r>
    </w:p>
    <w:p>
      <w:pPr>
        <w:pStyle w:val="ListParagraph"/>
        <w:numPr>
          <w:ilvl w:val="0"/>
          <w:numId w:val="1"/>
        </w:numPr>
        <w:spacing w:after="100" w:line="300"/>
      </w:pPr>
      <w:r>
        <w:rPr>
          <w:rFonts w:ascii="IBM Plex Sans" w:cs="IBM Plex Sans" w:eastAsia="IBM Plex Sans" w:hAnsi="IBM Plex Sans"/>
          <w:color w:val="334155"/>
          <w:sz w:val="21"/>
          <w:szCs w:val="21"/>
        </w:rPr>
        <w:t xml:space="preserve">Tidak dijumpai tanda bahaya sebagaimana Bagian 2.2.</w:t>
      </w:r>
    </w:p>
    <w:p>
      <w:pPr>
        <w:spacing w:after="160" w:line="300"/>
      </w:pPr>
      <w:r>
        <w:rPr>
          <w:rFonts w:ascii="IBM Plex Sans" w:cs="IBM Plex Sans" w:eastAsia="IBM Plex Sans" w:hAnsi="IBM Plex Sans"/>
          <w:color w:val="334155"/>
          <w:sz w:val="21"/>
          <w:szCs w:val="21"/>
        </w:rPr>
        <w:t xml:space="preserve">Ditemukannya satu atau lebih penyimpangan dari kriteria di atas mengubah arah diagnosis kerja ke entitas patologis spesifik (Bagian 5.2) yang diatur dalam PPK tersendiri, dan bukan lagi dikelola sebagai PPK-038.</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5. Diagnosis Kerja dan Diagnosis Banding</w:t>
      </w:r>
    </w:p>
    <w:p>
      <w:pPr>
        <w:pStyle w:val="Heading2"/>
        <w:spacing w:after="120" w:before="200"/>
      </w:pPr>
      <w:r>
        <w:rPr>
          <w:rFonts w:ascii="Source Serif 4" w:cs="Source Serif 4" w:eastAsia="Source Serif 4" w:hAnsi="Source Serif 4"/>
          <w:b/>
          <w:bCs/>
          <w:color w:val="4F46E5"/>
          <w:sz w:val="24"/>
          <w:szCs w:val="24"/>
        </w:rPr>
        <w:t xml:space="preserve">5.1 Diagnosis Kerja</w:t>
      </w:r>
    </w:p>
    <w:p>
      <w:pPr>
        <w:spacing w:after="160" w:line="300"/>
      </w:pPr>
      <w:r>
        <w:rPr>
          <w:rFonts w:ascii="IBM Plex Sans" w:cs="IBM Plex Sans" w:eastAsia="IBM Plex Sans" w:hAnsi="IBM Plex Sans"/>
          <w:color w:val="334155"/>
          <w:sz w:val="21"/>
          <w:szCs w:val="21"/>
        </w:rPr>
        <w:t xml:space="preserve">Diagnosis kerja PPK ini adalah "Nifas fisiologis hari ke-[n] pascapersalinan [pervaginam/seksio sesarea]", ditegakkan berdasarkan kesesuaian anamnesis dan pemeriksaan fisik dengan kriteria fisiologis pada Bagian 4.2, tanpa memerlukan pemeriksaan penunjang khusus di luar indikasi klinis.</w:t>
      </w:r>
    </w:p>
    <w:p>
      <w:pPr>
        <w:pStyle w:val="Heading2"/>
        <w:spacing w:after="120" w:before="200"/>
      </w:pPr>
      <w:r>
        <w:rPr>
          <w:rFonts w:ascii="Source Serif 4" w:cs="Source Serif 4" w:eastAsia="Source Serif 4" w:hAnsi="Source Serif 4"/>
          <w:b/>
          <w:bCs/>
          <w:color w:val="4F46E5"/>
          <w:sz w:val="24"/>
          <w:szCs w:val="24"/>
        </w:rPr>
        <w:t xml:space="preserve">5.2 Diagnosis Banding</w:t>
      </w:r>
    </w:p>
    <w:p>
      <w:pPr>
        <w:spacing w:after="160" w:line="300"/>
      </w:pPr>
      <w:r>
        <w:rPr>
          <w:rFonts w:ascii="IBM Plex Sans" w:cs="IBM Plex Sans" w:eastAsia="IBM Plex Sans" w:hAnsi="IBM Plex Sans"/>
          <w:color w:val="334155"/>
          <w:sz w:val="21"/>
          <w:szCs w:val="21"/>
        </w:rPr>
        <w:t xml:space="preserve">Diagnosis banding yang harus disingkirkan pada setiap kontak nifas — masing-masing diatur pada PPK tersendiri dalam ekosistem literatur ini — meliputi:</w:t>
      </w:r>
    </w:p>
    <w:p>
      <w:pPr>
        <w:pStyle w:val="ListParagraph"/>
        <w:numPr>
          <w:ilvl w:val="0"/>
          <w:numId w:val="1"/>
        </w:numPr>
        <w:spacing w:after="100" w:line="300"/>
      </w:pPr>
      <w:r>
        <w:rPr>
          <w:rFonts w:ascii="IBM Plex Sans" w:cs="IBM Plex Sans" w:eastAsia="IBM Plex Sans" w:hAnsi="IBM Plex Sans"/>
          <w:color w:val="334155"/>
          <w:sz w:val="21"/>
          <w:szCs w:val="21"/>
        </w:rPr>
        <w:t xml:space="preserve">Infeksi dan demam saat nifas/puerperal fever (PPK-039; ICD-10 O85/O86.4; ICD-11 JB40).</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Perdarahan pascapersalinan lanjut (late postpartum hemorrhage) akibat retensio sisa plasenta atau subinvolusi uterus.</w:t>
      </w:r>
    </w:p>
    <w:p>
      <w:pPr>
        <w:pStyle w:val="ListParagraph"/>
        <w:numPr>
          <w:ilvl w:val="0"/>
          <w:numId w:val="1"/>
        </w:numPr>
        <w:spacing w:after="100" w:line="300"/>
      </w:pPr>
      <w:r>
        <w:rPr>
          <w:rFonts w:ascii="IBM Plex Sans" w:cs="IBM Plex Sans" w:eastAsia="IBM Plex Sans" w:hAnsi="IBM Plex Sans"/>
          <w:color w:val="334155"/>
          <w:sz w:val="21"/>
          <w:szCs w:val="21"/>
        </w:rPr>
        <w:t xml:space="preserve">Mastitis puerperalis atau abses payudara.</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Tromboemboli vena pascapersalinan (deep vein thrombosis/pulmonary embolism).</w:t>
      </w:r>
    </w:p>
    <w:p>
      <w:pPr>
        <w:pStyle w:val="ListParagraph"/>
        <w:numPr>
          <w:ilvl w:val="0"/>
          <w:numId w:val="1"/>
        </w:numPr>
        <w:spacing w:after="100" w:line="300"/>
      </w:pPr>
      <w:r>
        <w:rPr>
          <w:rFonts w:ascii="IBM Plex Sans" w:cs="IBM Plex Sans" w:eastAsia="IBM Plex Sans" w:hAnsi="IBM Plex Sans"/>
          <w:color w:val="334155"/>
          <w:sz w:val="21"/>
          <w:szCs w:val="21"/>
        </w:rPr>
        <w:t xml:space="preserve">Preeklamsia/eklamsia postpartum (onset baru atau menetap pascapersalinan).</w:t>
      </w:r>
    </w:p>
    <w:p>
      <w:pPr>
        <w:pStyle w:val="ListParagraph"/>
        <w:numPr>
          <w:ilvl w:val="0"/>
          <w:numId w:val="1"/>
        </w:numPr>
        <w:spacing w:after="100" w:line="300"/>
      </w:pPr>
      <w:r>
        <w:rPr>
          <w:rFonts w:ascii="IBM Plex Sans" w:cs="IBM Plex Sans" w:eastAsia="IBM Plex Sans" w:hAnsi="IBM Plex Sans"/>
          <w:color w:val="334155"/>
          <w:sz w:val="21"/>
          <w:szCs w:val="21"/>
        </w:rPr>
        <w:t xml:space="preserve">Gangguan mood pascapersalinan: baby blues (fisiologis, transien) vs depresi postpartum vs psikosis postpartum.</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6. Pemeriksaan Penunjang</w:t>
      </w:r>
    </w:p>
    <w:p>
      <w:pPr>
        <w:pStyle w:val="Heading2"/>
        <w:spacing w:after="120" w:before="200"/>
      </w:pPr>
      <w:r>
        <w:rPr>
          <w:rFonts w:ascii="Source Serif 4" w:cs="Source Serif 4" w:eastAsia="Source Serif 4" w:hAnsi="Source Serif 4"/>
          <w:b/>
          <w:bCs/>
          <w:color w:val="4F46E5"/>
          <w:sz w:val="24"/>
          <w:szCs w:val="24"/>
        </w:rPr>
        <w:t xml:space="preserve">6.1 Pemeriksaan Laboratorium</w:t>
      </w:r>
    </w:p>
    <w:p>
      <w:pPr>
        <w:spacing w:after="160" w:line="300"/>
      </w:pPr>
      <w:r>
        <w:rPr>
          <w:rFonts w:ascii="IBM Plex Sans" w:cs="IBM Plex Sans" w:eastAsia="IBM Plex Sans" w:hAnsi="IBM Plex Sans"/>
          <w:color w:val="334155"/>
          <w:sz w:val="21"/>
          <w:szCs w:val="21"/>
        </w:rPr>
        <w:t xml:space="preserve">Pada nifas fisiologis tanpa faktor risiko, pemeriksaan penunjang laboratorium rutin tidak wajib dilakukan pada setiap kontak. Pemeriksaan berikut dilakukan atas indikasi klinis:</w:t>
      </w:r>
    </w:p>
    <w:p>
      <w:pPr>
        <w:pStyle w:val="ListParagraph"/>
        <w:numPr>
          <w:ilvl w:val="0"/>
          <w:numId w:val="1"/>
        </w:numPr>
        <w:spacing w:after="100" w:line="300"/>
      </w:pPr>
      <w:r>
        <w:rPr>
          <w:rFonts w:ascii="IBM Plex Sans" w:cs="IBM Plex Sans" w:eastAsia="IBM Plex Sans" w:hAnsi="IBM Plex Sans"/>
          <w:color w:val="334155"/>
          <w:sz w:val="21"/>
          <w:szCs w:val="21"/>
        </w:rPr>
        <w:t xml:space="preserve">Darah perifer lengkap (hemoglobin, leukosit, trombosit) — bila dicurigai anemia simtomatik atau infeksi. Leukositosis ringan hingga sedang dapat bersifat fisiologis pascapersalinan (lihat Bagian 1.2) sehingga interpretasinya harus disandingkan dengan gambaran klinis, bukan berdiri sendiri.</w:t>
      </w:r>
    </w:p>
    <w:p>
      <w:pPr>
        <w:pStyle w:val="ListParagraph"/>
        <w:numPr>
          <w:ilvl w:val="0"/>
          <w:numId w:val="1"/>
        </w:numPr>
        <w:spacing w:after="100" w:line="300"/>
      </w:pPr>
      <w:r>
        <w:rPr>
          <w:rFonts w:ascii="IBM Plex Sans" w:cs="IBM Plex Sans" w:eastAsia="IBM Plex Sans" w:hAnsi="IBM Plex Sans"/>
          <w:color w:val="334155"/>
          <w:sz w:val="21"/>
          <w:szCs w:val="21"/>
        </w:rPr>
        <w:t xml:space="preserve">Urinalisis dan kultur urin — bila terdapat gejala infeksi saluran kemih pascapersalinan.</w:t>
      </w:r>
    </w:p>
    <w:p>
      <w:pPr>
        <w:pStyle w:val="ListParagraph"/>
        <w:numPr>
          <w:ilvl w:val="0"/>
          <w:numId w:val="1"/>
        </w:numPr>
        <w:spacing w:after="100" w:line="300"/>
      </w:pPr>
      <w:r>
        <w:rPr>
          <w:rFonts w:ascii="IBM Plex Sans" w:cs="IBM Plex Sans" w:eastAsia="IBM Plex Sans" w:hAnsi="IBM Plex Sans"/>
          <w:color w:val="334155"/>
          <w:sz w:val="21"/>
          <w:szCs w:val="21"/>
        </w:rPr>
        <w:t xml:space="preserve">Profil koagulasi dan D-dimer — bila dicurigai tromboemboli vena (interpretasi D-dimer pada nifas memerlukan kehati-hatian karena nilai fisiologis meningkat pascapersalinan akibat perubahan koagulasi kehamilan yang menetap).</w:t>
      </w:r>
    </w:p>
    <w:p>
      <w:pPr>
        <w:pStyle w:val="ListParagraph"/>
        <w:numPr>
          <w:ilvl w:val="0"/>
          <w:numId w:val="1"/>
        </w:numPr>
        <w:spacing w:after="100" w:line="300"/>
      </w:pPr>
      <w:r>
        <w:rPr>
          <w:rFonts w:ascii="IBM Plex Sans" w:cs="IBM Plex Sans" w:eastAsia="IBM Plex Sans" w:hAnsi="IBM Plex Sans"/>
          <w:color w:val="334155"/>
          <w:sz w:val="21"/>
          <w:szCs w:val="21"/>
        </w:rPr>
        <w:t xml:space="preserve">Kultur lokia/luka dan kultur darah — bila dicurigai infeksi puerperium sistemik.</w:t>
      </w:r>
    </w:p>
    <w:p>
      <w:pPr>
        <w:pStyle w:val="Heading2"/>
        <w:spacing w:after="120" w:before="200"/>
      </w:pPr>
      <w:r>
        <w:rPr>
          <w:rFonts w:ascii="Source Serif 4" w:cs="Source Serif 4" w:eastAsia="Source Serif 4" w:hAnsi="Source Serif 4"/>
          <w:b/>
          <w:bCs/>
          <w:color w:val="4F46E5"/>
          <w:sz w:val="24"/>
          <w:szCs w:val="24"/>
        </w:rPr>
        <w:t xml:space="preserve">6.2 Pemeriksaan Pencitraan (bila indikasi)</w:t>
      </w:r>
    </w:p>
    <w:p>
      <w:pPr>
        <w:spacing w:after="160" w:line="300"/>
      </w:pPr>
      <w:r>
        <w:rPr>
          <w:rFonts w:ascii="IBM Plex Sans" w:cs="IBM Plex Sans" w:eastAsia="IBM Plex Sans" w:hAnsi="IBM Plex Sans"/>
          <w:color w:val="334155"/>
          <w:sz w:val="21"/>
          <w:szCs w:val="21"/>
        </w:rPr>
        <w:t xml:space="preserve">Ultrasonografi transabdominal/transvaginal diindikasikan bila dicurigai retensio sisa hasil konsepsi atau subinvolusi uterus. Ultrasonografi Doppler kompresi vena tungkai merupakan modalitas lini pertama bila dicurigai trombosis vena dalam; angiografi CT paru diindikasikan bila dicurigai emboli paru, berdasarkan temuan klinis Bagian 2.2 dan 3.1. Pencitraan tidak diindikasikan secara rutin pada nifas fisiologis tanpa kecurigaan klinis.</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7. Tata Laksana</w:t>
      </w:r>
    </w:p>
    <w:p>
      <w:pPr>
        <w:pStyle w:val="Heading2"/>
        <w:spacing w:after="120" w:before="20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1"/>
        </w:numPr>
        <w:spacing w:after="100" w:line="300"/>
      </w:pPr>
      <w:r>
        <w:rPr>
          <w:rFonts w:ascii="IBM Plex Sans" w:cs="IBM Plex Sans" w:eastAsia="IBM Plex Sans" w:hAnsi="IBM Plex Sans"/>
          <w:color w:val="334155"/>
          <w:sz w:val="21"/>
          <w:szCs w:val="21"/>
        </w:rPr>
        <w:t xml:space="preserve">Mobilisasi dini bertahap pascapersalinan untuk menurunkan risiko tromboemboli vena dan mempercepat pemulihan fungsional.</w:t>
      </w:r>
    </w:p>
    <w:p>
      <w:pPr>
        <w:pStyle w:val="ListParagraph"/>
        <w:numPr>
          <w:ilvl w:val="0"/>
          <w:numId w:val="1"/>
        </w:numPr>
        <w:spacing w:after="100" w:line="300"/>
      </w:pPr>
      <w:r>
        <w:rPr>
          <w:rFonts w:ascii="IBM Plex Sans" w:cs="IBM Plex Sans" w:eastAsia="IBM Plex Sans" w:hAnsi="IBM Plex Sans"/>
          <w:color w:val="334155"/>
          <w:sz w:val="21"/>
          <w:szCs w:val="21"/>
        </w:rPr>
        <w:t xml:space="preserve">Dukungan inisiasi dan pemantapan menyusui eksklusif melalui kontak terjadwal dan berulang (bukan sesi tunggal), termasuk konseling posisi dan perlekatan (attachment) menyusui.</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Perawatan luka perineum/luka operasi: kebersihan lokal, penggunaan pembalut sesuai kebutuhan, edukasi tanda infeksi.</w:t>
      </w:r>
    </w:p>
    <w:p>
      <w:pPr>
        <w:pStyle w:val="ListParagraph"/>
        <w:numPr>
          <w:ilvl w:val="0"/>
          <w:numId w:val="1"/>
        </w:numPr>
        <w:spacing w:after="100" w:line="300"/>
      </w:pPr>
      <w:r>
        <w:rPr>
          <w:rFonts w:ascii="IBM Plex Sans" w:cs="IBM Plex Sans" w:eastAsia="IBM Plex Sans" w:hAnsi="IBM Plex Sans"/>
          <w:color w:val="334155"/>
          <w:sz w:val="21"/>
          <w:szCs w:val="21"/>
        </w:rPr>
        <w:t xml:space="preserve">Nutrisi seimbang dengan tambahan kebutuhan kalori dan cairan untuk mendukung laktasi, serta istirahat adekuat.</w:t>
      </w:r>
    </w:p>
    <w:p>
      <w:pPr>
        <w:pStyle w:val="ListParagraph"/>
        <w:numPr>
          <w:ilvl w:val="0"/>
          <w:numId w:val="1"/>
        </w:numPr>
        <w:spacing w:after="100" w:line="300"/>
      </w:pPr>
      <w:r>
        <w:rPr>
          <w:rFonts w:ascii="IBM Plex Sans" w:cs="IBM Plex Sans" w:eastAsia="IBM Plex Sans" w:hAnsi="IBM Plex Sans"/>
          <w:color w:val="334155"/>
          <w:sz w:val="21"/>
          <w:szCs w:val="21"/>
        </w:rPr>
        <w:t xml:space="preserve">Konseling kontrasepsi pascapersalinan disesuaikan status menyusui dan preferensi ibu, diberikan sebelum pulang dan diperkuat pada kontak KF lanjutan.</w:t>
      </w:r>
    </w:p>
    <w:p>
      <w:pPr>
        <w:pStyle w:val="ListParagraph"/>
        <w:numPr>
          <w:ilvl w:val="0"/>
          <w:numId w:val="1"/>
        </w:numPr>
        <w:spacing w:after="100" w:line="300"/>
      </w:pPr>
      <w:r>
        <w:rPr>
          <w:rFonts w:ascii="IBM Plex Sans" w:cs="IBM Plex Sans" w:eastAsia="IBM Plex Sans" w:hAnsi="IBM Plex Sans"/>
          <w:color w:val="334155"/>
          <w:sz w:val="21"/>
          <w:szCs w:val="21"/>
        </w:rPr>
        <w:t xml:space="preserve">Skrining dan dukungan kesehatan mental menggunakan instrumen tervalidasi (Bagian 2.2), dengan jalur rujukan ke layanan kesehatan jiwa bila terindikasi.</w:t>
      </w:r>
    </w:p>
    <w:p>
      <w:pPr>
        <w:pStyle w:val="Heading2"/>
        <w:spacing w:after="120" w:before="200"/>
      </w:pPr>
      <w:r>
        <w:rPr>
          <w:rFonts w:ascii="Source Serif 4" w:cs="Source Serif 4" w:eastAsia="Source Serif 4" w:hAnsi="Source Serif 4"/>
          <w:b/>
          <w:bCs/>
          <w:color w:val="4F46E5"/>
          <w:sz w:val="24"/>
          <w:szCs w:val="24"/>
        </w:rPr>
        <w:t xml:space="preserve">7.2 Tata Laksana Farmakologis</w:t>
      </w:r>
    </w:p>
    <w:p>
      <w:pPr>
        <w:pStyle w:val="ListParagraph"/>
        <w:numPr>
          <w:ilvl w:val="0"/>
          <w:numId w:val="1"/>
        </w:numPr>
        <w:spacing w:after="100" w:line="300"/>
      </w:pPr>
      <w:r>
        <w:rPr>
          <w:rFonts w:ascii="IBM Plex Sans" w:cs="IBM Plex Sans" w:eastAsia="IBM Plex Sans" w:hAnsi="IBM Plex Sans"/>
          <w:color w:val="334155"/>
          <w:sz w:val="21"/>
          <w:szCs w:val="21"/>
        </w:rPr>
        <w:t xml:space="preserve">Analgesia sesuai kebutuhan: parasetamol sebagai lini pertama; obat antiinflamasi nonsteroid (ibuprofen) dapat ditambahkan bila tidak terdapat kontraindikasi, dengan pertimbangan kompatibilitas menyusui.</w:t>
      </w:r>
    </w:p>
    <w:p>
      <w:pPr>
        <w:pStyle w:val="ListParagraph"/>
        <w:numPr>
          <w:ilvl w:val="0"/>
          <w:numId w:val="1"/>
        </w:numPr>
        <w:spacing w:after="100" w:line="300"/>
      </w:pPr>
      <w:r>
        <w:rPr>
          <w:rFonts w:ascii="IBM Plex Sans" w:cs="IBM Plex Sans" w:eastAsia="IBM Plex Sans" w:hAnsi="IBM Plex Sans"/>
          <w:color w:val="334155"/>
          <w:sz w:val="21"/>
          <w:szCs w:val="21"/>
        </w:rPr>
        <w:t xml:space="preserve">Suplementasi zat besi dan asam folat dilanjutkan hingga minimal 3 bulan pascapersalinan pada ibu dengan riwayat anemia kehamilan, sesuai program nasional.</w:t>
      </w:r>
    </w:p>
    <w:p>
      <w:pPr>
        <w:pStyle w:val="ListParagraph"/>
        <w:numPr>
          <w:ilvl w:val="0"/>
          <w:numId w:val="1"/>
        </w:numPr>
        <w:spacing w:after="100" w:line="300"/>
      </w:pPr>
      <w:r>
        <w:rPr>
          <w:rFonts w:ascii="IBM Plex Sans" w:cs="IBM Plex Sans" w:eastAsia="IBM Plex Sans" w:hAnsi="IBM Plex Sans"/>
          <w:color w:val="334155"/>
          <w:sz w:val="21"/>
          <w:szCs w:val="21"/>
        </w:rPr>
        <w:t xml:space="preserve">Suplementasi vitamin A pascapersalinan sesuai program Kementerian Kesehatan bagi ibu nifas di wilayah program.</w:t>
      </w:r>
    </w:p>
    <w:p>
      <w:pPr>
        <w:pStyle w:val="ListParagraph"/>
        <w:numPr>
          <w:ilvl w:val="0"/>
          <w:numId w:val="1"/>
        </w:numPr>
        <w:spacing w:after="100" w:line="300"/>
      </w:pPr>
      <w:r>
        <w:rPr>
          <w:rFonts w:ascii="IBM Plex Sans" w:cs="IBM Plex Sans" w:eastAsia="IBM Plex Sans" w:hAnsi="IBM Plex Sans"/>
          <w:color w:val="334155"/>
          <w:sz w:val="21"/>
          <w:szCs w:val="21"/>
        </w:rPr>
        <w:t xml:space="preserve">Profilaksis tromboemboli vena (mekanis dan/atau farmakologis) dipertimbangkan pada ibu dengan faktor risiko tinggi sesuai stratifikasi risiko institusional yang merujuk kerangka penilaian risiko standar internasional (Bagian 12.2), bukan tata laksana rutin seluruh ibu nifas.</w:t>
      </w:r>
    </w:p>
    <w:p>
      <w:pPr>
        <w:pStyle w:val="ListParagraph"/>
        <w:numPr>
          <w:ilvl w:val="0"/>
          <w:numId w:val="1"/>
        </w:numPr>
        <w:spacing w:after="100" w:line="300"/>
      </w:pPr>
      <w:r>
        <w:rPr>
          <w:rFonts w:ascii="IBM Plex Sans" w:cs="IBM Plex Sans" w:eastAsia="IBM Plex Sans" w:hAnsi="IBM Plex Sans"/>
          <w:color w:val="334155"/>
          <w:sz w:val="21"/>
          <w:szCs w:val="21"/>
        </w:rPr>
        <w:t xml:space="preserve">Imunisasi yang tertunda selama kehamilan (mis. rubela pada ibu nonimun) dapat diberikan pada masa nifas sesuai jadwal program imunisasi dewasa/pascapersalinan.</w:t>
      </w:r>
    </w:p>
    <w:p>
      <w:pPr>
        <w:spacing w:after="160" w:line="300"/>
      </w:pPr>
      <w:r>
        <w:rPr>
          <w:rFonts w:ascii="IBM Plex Sans" w:cs="IBM Plex Sans" w:eastAsia="IBM Plex Sans" w:hAnsi="IBM Plex Sans"/>
          <w:color w:val="334155"/>
          <w:sz w:val="21"/>
          <w:szCs w:val="21"/>
        </w:rPr>
        <w:t xml:space="preserve">Seluruh pilihan farmakoterapi pada masa nifas mempertimbangkan kompatibilitas dengan menyusui; pemilihan obat merujuk pada basis data keamanan laktasi yang berlaku di institusi.</w:t>
      </w:r>
    </w:p>
    <w:p>
      <w:pPr>
        <w:pStyle w:val="Heading2"/>
        <w:spacing w:after="120" w:before="200"/>
      </w:pPr>
      <w:r>
        <w:rPr>
          <w:rFonts w:ascii="Source Serif 4" w:cs="Source Serif 4" w:eastAsia="Source Serif 4" w:hAnsi="Source Serif 4"/>
          <w:b/>
          <w:bCs/>
          <w:color w:val="4F46E5"/>
          <w:sz w:val="24"/>
          <w:szCs w:val="24"/>
        </w:rPr>
        <w:t xml:space="preserve">7.3 Tata Laksana Bedah/Prosedural (bila relevan)</w:t>
      </w:r>
    </w:p>
    <w:p>
      <w:pPr>
        <w:spacing w:after="160" w:line="300"/>
      </w:pPr>
      <w:r>
        <w:rPr>
          <w:rFonts w:ascii="IBM Plex Sans" w:cs="IBM Plex Sans" w:eastAsia="IBM Plex Sans" w:hAnsi="IBM Plex Sans"/>
          <w:color w:val="334155"/>
          <w:sz w:val="21"/>
          <w:szCs w:val="21"/>
        </w:rPr>
        <w:t xml:space="preserve">Pada nifas fisiologis, tindakan bedah/prosedural tidak diindikasikan. Tindakan berikut relevan hanya sebagai bagian dari perawatan lanjutan luka operasi/laserasi yang sudah ada, bukan tata laksana nifas fisiologis itu sendiri:</w:t>
      </w:r>
    </w:p>
    <w:p>
      <w:pPr>
        <w:pStyle w:val="ListParagraph"/>
        <w:numPr>
          <w:ilvl w:val="0"/>
          <w:numId w:val="1"/>
        </w:numPr>
        <w:spacing w:after="100" w:line="300"/>
      </w:pPr>
      <w:r>
        <w:rPr>
          <w:rFonts w:ascii="IBM Plex Sans" w:cs="IBM Plex Sans" w:eastAsia="IBM Plex Sans" w:hAnsi="IBM Plex Sans"/>
          <w:color w:val="334155"/>
          <w:sz w:val="21"/>
          <w:szCs w:val="21"/>
        </w:rPr>
        <w:t xml:space="preserve">Pengangkatan jahitan (bila menggunakan benang non-absorbable) sesuai jadwal penyembuhan luka.</w:t>
      </w:r>
    </w:p>
    <w:p>
      <w:pPr>
        <w:pStyle w:val="ListParagraph"/>
        <w:numPr>
          <w:ilvl w:val="0"/>
          <w:numId w:val="1"/>
        </w:numPr>
        <w:spacing w:after="100" w:line="300"/>
      </w:pPr>
      <w:r>
        <w:rPr>
          <w:rFonts w:ascii="IBM Plex Sans" w:cs="IBM Plex Sans" w:eastAsia="IBM Plex Sans" w:hAnsi="IBM Plex Sans"/>
          <w:color w:val="334155"/>
          <w:sz w:val="21"/>
          <w:szCs w:val="21"/>
        </w:rPr>
        <w:t xml:space="preserve">Evaluasi dan drainase hematoma perineum/vulva simtomatik bila ditemukan pada pemeriksaan.</w:t>
      </w:r>
    </w:p>
    <w:p>
      <w:pPr>
        <w:pStyle w:val="ListParagraph"/>
        <w:numPr>
          <w:ilvl w:val="0"/>
          <w:numId w:val="1"/>
        </w:numPr>
        <w:spacing w:after="100" w:line="300"/>
      </w:pPr>
      <w:r>
        <w:rPr>
          <w:rFonts w:ascii="IBM Plex Sans" w:cs="IBM Plex Sans" w:eastAsia="IBM Plex Sans" w:hAnsi="IBM Plex Sans"/>
          <w:color w:val="334155"/>
          <w:sz w:val="21"/>
          <w:szCs w:val="21"/>
        </w:rPr>
        <w:t xml:space="preserve">Debridemen luka operasi dengan tanda infeksi luka operasi (surgical site infection) — dikelola bersama PPK infeksi puerperium terkait.</w:t>
      </w:r>
    </w:p>
    <w:p>
      <w:pPr>
        <w:pStyle w:val="Heading2"/>
        <w:spacing w:after="120" w:before="200"/>
      </w:pPr>
      <w:r>
        <w:rPr>
          <w:rFonts w:ascii="Source Serif 4" w:cs="Source Serif 4" w:eastAsia="Source Serif 4" w:hAnsi="Source Serif 4"/>
          <w:b/>
          <w:bCs/>
          <w:color w:val="4F46E5"/>
          <w:sz w:val="24"/>
          <w:szCs w:val="24"/>
        </w:rPr>
        <w:t xml:space="preserve">7.4 Kriteria Rujukan ke Subspesialis Fetomaternal</w:t>
      </w:r>
    </w:p>
    <w:p>
      <w:pPr>
        <w:spacing w:after="160" w:line="300"/>
      </w:pPr>
      <w:r>
        <w:rPr>
          <w:rFonts w:ascii="IBM Plex Sans" w:cs="IBM Plex Sans" w:eastAsia="IBM Plex Sans" w:hAnsi="IBM Plex Sans"/>
          <w:color w:val="334155"/>
          <w:sz w:val="21"/>
          <w:szCs w:val="21"/>
        </w:rPr>
        <w:t xml:space="preserve">Rujukan/konsultasi ke subspesialis Fetomaternal (Divisi Pengampu PPK ini) dipertimbangkan bila ditemukan satu atau lebih kondisi berikut, yang berada di luar kewenangan tata laksana nifas fisiologis oleh spesialis umum atau memerlukan tata laksana lanjutan multidisipliner:</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Perdarahan pascapersalinan lanjut yang tidak responsif terhadap tata laksana lini pertama.</w:t>
      </w:r>
    </w:p>
    <w:p>
      <w:pPr>
        <w:pStyle w:val="ListParagraph"/>
        <w:numPr>
          <w:ilvl w:val="0"/>
          <w:numId w:val="1"/>
        </w:numPr>
        <w:spacing w:after="100" w:line="300"/>
      </w:pPr>
      <w:r>
        <w:rPr>
          <w:rFonts w:ascii="IBM Plex Sans" w:cs="IBM Plex Sans" w:eastAsia="IBM Plex Sans" w:hAnsi="IBM Plex Sans"/>
          <w:color w:val="334155"/>
          <w:sz w:val="21"/>
          <w:szCs w:val="21"/>
        </w:rPr>
        <w:t xml:space="preserve">Preeklamsia berat/eklamsia postpartum, atau krisis hipertensi postpartum.</w:t>
      </w:r>
    </w:p>
    <w:p>
      <w:pPr>
        <w:pStyle w:val="ListParagraph"/>
        <w:numPr>
          <w:ilvl w:val="0"/>
          <w:numId w:val="1"/>
        </w:numPr>
        <w:spacing w:after="100" w:line="300"/>
      </w:pPr>
      <w:r>
        <w:rPr>
          <w:rFonts w:ascii="IBM Plex Sans" w:cs="IBM Plex Sans" w:eastAsia="IBM Plex Sans" w:hAnsi="IBM Plex Sans"/>
          <w:color w:val="334155"/>
          <w:sz w:val="21"/>
          <w:szCs w:val="21"/>
        </w:rPr>
        <w:t xml:space="preserve">Kecurigaan atau konfirmasi tromboemboli vena pascapersalinan.</w:t>
      </w:r>
    </w:p>
    <w:p>
      <w:pPr>
        <w:pStyle w:val="ListParagraph"/>
        <w:numPr>
          <w:ilvl w:val="0"/>
          <w:numId w:val="1"/>
        </w:numPr>
        <w:spacing w:after="100" w:line="300"/>
      </w:pPr>
      <w:r>
        <w:rPr>
          <w:rFonts w:ascii="IBM Plex Sans" w:cs="IBM Plex Sans" w:eastAsia="IBM Plex Sans" w:hAnsi="IBM Plex Sans"/>
          <w:color w:val="334155"/>
          <w:sz w:val="21"/>
          <w:szCs w:val="21"/>
        </w:rPr>
        <w:t xml:space="preserve">Sepsis puerperium atau infeksi berat yang tidak membaik dengan tata laksana awal.</w:t>
      </w:r>
    </w:p>
    <w:p>
      <w:pPr>
        <w:pStyle w:val="ListParagraph"/>
        <w:numPr>
          <w:ilvl w:val="0"/>
          <w:numId w:val="1"/>
        </w:numPr>
        <w:spacing w:after="100" w:line="300"/>
      </w:pPr>
      <w:r>
        <w:rPr>
          <w:rFonts w:ascii="IBM Plex Sans" w:cs="IBM Plex Sans" w:eastAsia="IBM Plex Sans" w:hAnsi="IBM Plex Sans"/>
          <w:color w:val="334155"/>
          <w:sz w:val="21"/>
          <w:szCs w:val="21"/>
        </w:rPr>
        <w:t xml:space="preserve">Ibu dengan komorbiditas berat (penyakit jantung, gangguan koagulasi, diabetes tidak terkontrol) yang memerlukan penyesuaian tata laksana nifas terintegrasi.</w:t>
      </w:r>
    </w:p>
    <w:p>
      <w:pPr>
        <w:pStyle w:val="ListParagraph"/>
        <w:numPr>
          <w:ilvl w:val="0"/>
          <w:numId w:val="1"/>
        </w:numPr>
        <w:spacing w:after="100" w:line="300"/>
      </w:pPr>
      <w:r>
        <w:rPr>
          <w:rFonts w:ascii="IBM Plex Sans" w:cs="IBM Plex Sans" w:eastAsia="IBM Plex Sans" w:hAnsi="IBM Plex Sans"/>
          <w:color w:val="334155"/>
          <w:sz w:val="21"/>
          <w:szCs w:val="21"/>
        </w:rPr>
        <w:t xml:space="preserve">Kondisi yang memerlukan tindak lanjut janin/neonatus sebelumnya yang berdampak pada tata laksana ibu (mis. pascakomplikasi berat kehamilan).</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8. Edukasi Pasien dan Keluarga</w:t>
      </w:r>
    </w:p>
    <w:p>
      <w:pPr>
        <w:pStyle w:val="Heading2"/>
        <w:spacing w:after="120" w:before="200"/>
      </w:pPr>
      <w:r>
        <w:rPr>
          <w:rFonts w:ascii="Source Serif 4" w:cs="Source Serif 4" w:eastAsia="Source Serif 4" w:hAnsi="Source Serif 4"/>
          <w:b/>
          <w:bCs/>
          <w:color w:val="4F46E5"/>
          <w:sz w:val="24"/>
          <w:szCs w:val="24"/>
        </w:rPr>
        <w:t xml:space="preserve">8.1 Edukasi Perawatan Diri dan Menyusui</w:t>
      </w:r>
    </w:p>
    <w:p>
      <w:pPr>
        <w:pStyle w:val="ListParagraph"/>
        <w:numPr>
          <w:ilvl w:val="0"/>
          <w:numId w:val="1"/>
        </w:numPr>
        <w:spacing w:after="100" w:line="300"/>
      </w:pPr>
      <w:r>
        <w:rPr>
          <w:rFonts w:ascii="IBM Plex Sans" w:cs="IBM Plex Sans" w:eastAsia="IBM Plex Sans" w:hAnsi="IBM Plex Sans"/>
          <w:color w:val="334155"/>
          <w:sz w:val="21"/>
          <w:szCs w:val="21"/>
        </w:rPr>
        <w:t xml:space="preserve">Kebersihan perineum/luka operasi dan cara mengenali tanda infeksi dini.</w:t>
      </w:r>
    </w:p>
    <w:p>
      <w:pPr>
        <w:pStyle w:val="ListParagraph"/>
        <w:numPr>
          <w:ilvl w:val="0"/>
          <w:numId w:val="1"/>
        </w:numPr>
        <w:spacing w:after="100" w:line="300"/>
      </w:pPr>
      <w:r>
        <w:rPr>
          <w:rFonts w:ascii="IBM Plex Sans" w:cs="IBM Plex Sans" w:eastAsia="IBM Plex Sans" w:hAnsi="IBM Plex Sans"/>
          <w:color w:val="334155"/>
          <w:sz w:val="21"/>
          <w:szCs w:val="21"/>
        </w:rPr>
        <w:t xml:space="preserve">Teknik menyusui yang benar, manajemen nyeri puting, dan pencegahan bendungan payudara/mastitis.</w:t>
      </w:r>
    </w:p>
    <w:p>
      <w:pPr>
        <w:pStyle w:val="ListParagraph"/>
        <w:numPr>
          <w:ilvl w:val="0"/>
          <w:numId w:val="1"/>
        </w:numPr>
        <w:spacing w:after="100" w:line="300"/>
      </w:pPr>
      <w:r>
        <w:rPr>
          <w:rFonts w:ascii="IBM Plex Sans" w:cs="IBM Plex Sans" w:eastAsia="IBM Plex Sans" w:hAnsi="IBM Plex Sans"/>
          <w:color w:val="334155"/>
          <w:sz w:val="21"/>
          <w:szCs w:val="21"/>
        </w:rPr>
        <w:t xml:space="preserve">Pola istirahat, nutrisi, dan aktivitas fisik bertahap yang aman selama masa nifas.</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Perubahan emosi normal (baby blues) yang bersifat transien versus gejala yang memerlukan evaluasi lanjut.</w:t>
      </w:r>
    </w:p>
    <w:p>
      <w:pPr>
        <w:pStyle w:val="Heading2"/>
        <w:spacing w:after="120" w:before="200"/>
      </w:pPr>
      <w:r>
        <w:rPr>
          <w:rFonts w:ascii="Source Serif 4" w:cs="Source Serif 4" w:eastAsia="Source Serif 4" w:hAnsi="Source Serif 4"/>
          <w:b/>
          <w:bCs/>
          <w:color w:val="4F46E5"/>
          <w:sz w:val="24"/>
          <w:szCs w:val="24"/>
        </w:rPr>
        <w:t xml:space="preserve">8.2 Edukasi Tanda Bahaya dan Kontrasepsi Pascapersalinan</w:t>
      </w:r>
    </w:p>
    <w:p>
      <w:pPr>
        <w:spacing w:after="160" w:line="300"/>
      </w:pPr>
      <w:r>
        <w:rPr>
          <w:rFonts w:ascii="IBM Plex Sans" w:cs="IBM Plex Sans" w:eastAsia="IBM Plex Sans" w:hAnsi="IBM Plex Sans"/>
          <w:color w:val="334155"/>
          <w:sz w:val="21"/>
          <w:szCs w:val="21"/>
        </w:rPr>
        <w:t xml:space="preserve">Ibu dan keluarga diedukasi secara eksplisit mengenai tanda bahaya (Bagian 2.2) dan jalur akses layanan darurat terdekat apabila tanda tersebut muncul di luar jadwal kontak terjadwal.</w:t>
      </w:r>
    </w:p>
    <w:p>
      <w:pPr>
        <w:spacing w:after="160" w:line="300"/>
      </w:pPr>
      <w:r>
        <w:rPr>
          <w:rFonts w:ascii="IBM Plex Sans" w:cs="IBM Plex Sans" w:eastAsia="IBM Plex Sans" w:hAnsi="IBM Plex Sans"/>
          <w:color w:val="334155"/>
          <w:sz w:val="21"/>
          <w:szCs w:val="21"/>
        </w:rPr>
        <w:t xml:space="preserve">Konseling kontrasepsi pascapersalinan diberikan mencakup metode yang kompatibel dengan menyusui (metode amenore laktasi, kontrasepsi progestin-only, alat kontrasepsi dalam rahim pascaplasenta/interval), waktu mulai efektif, serta hak ibu untuk memilih metode sesuai preferensi dan kondisi kesehatannya.</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9. Prognosis</w:t>
      </w:r>
    </w:p>
    <w:p>
      <w:pPr>
        <w:pStyle w:val="Heading2"/>
        <w:spacing w:after="120" w:before="200"/>
      </w:pPr>
      <w:r>
        <w:rPr>
          <w:rFonts w:ascii="Source Serif 4" w:cs="Source Serif 4" w:eastAsia="Source Serif 4" w:hAnsi="Source Serif 4"/>
          <w:b/>
          <w:bCs/>
          <w:color w:val="4F46E5"/>
          <w:sz w:val="24"/>
          <w:szCs w:val="24"/>
        </w:rPr>
        <w:t xml:space="preserve">9.1 Prognosis Ibu</w:t>
      </w:r>
    </w:p>
    <w:p>
      <w:pPr>
        <w:spacing w:after="160" w:line="300"/>
      </w:pPr>
      <w:r>
        <w:rPr>
          <w:rFonts w:ascii="IBM Plex Sans" w:cs="IBM Plex Sans" w:eastAsia="IBM Plex Sans" w:hAnsi="IBM Plex Sans"/>
          <w:color w:val="334155"/>
          <w:sz w:val="21"/>
          <w:szCs w:val="21"/>
        </w:rPr>
        <w:t xml:space="preserve">Prognosis nifas fisiologis tanpa komplikasi adalah baik (bonam) pada mayoritas ibu, dengan involusi uterus dan pemulihan sistemik lengkap dalam 6 minggu pascapersalinan. Prognosis bergantung pada deteksi dini komplikasi melalui kepatuhan jadwal kontak KF1-KF4 dan pengenalan tanda bahaya oleh ibu/keluarga.</w:t>
      </w:r>
    </w:p>
    <w:p>
      <w:pPr>
        <w:pStyle w:val="Heading2"/>
        <w:spacing w:after="120" w:before="200"/>
      </w:pPr>
      <w:r>
        <w:rPr>
          <w:rFonts w:ascii="Source Serif 4" w:cs="Source Serif 4" w:eastAsia="Source Serif 4" w:hAnsi="Source Serif 4"/>
          <w:b/>
          <w:bCs/>
          <w:color w:val="4F46E5"/>
          <w:sz w:val="24"/>
          <w:szCs w:val="24"/>
        </w:rPr>
        <w:t xml:space="preserve">9.2 Prognosis terhadap Fungsi Reproduksi dan Menyusui</w:t>
      </w:r>
    </w:p>
    <w:p>
      <w:pPr>
        <w:spacing w:after="160" w:line="300"/>
      </w:pPr>
      <w:r>
        <w:rPr>
          <w:rFonts w:ascii="IBM Plex Sans" w:cs="IBM Plex Sans" w:eastAsia="IBM Plex Sans" w:hAnsi="IBM Plex Sans"/>
          <w:color w:val="334155"/>
          <w:sz w:val="21"/>
          <w:szCs w:val="21"/>
        </w:rPr>
        <w:t xml:space="preserve">Fungsi reproduksi (siklus menstruasi, fertilitas) umumnya pulih dalam beberapa bulan pascapersalinan, dengan waktu bervariasi tergantung status menyusui eksklusif. Keberhasilan menyusui eksklusif pada 6 bulan pertama dipengaruhi secara bermakna oleh kualitas dukungan laktasi yang diberikan selama masa nifas.</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10. Tingkat Evidens dan Rekomendasi</w:t>
      </w:r>
    </w:p>
    <w:p>
      <w:pPr>
        <w:pStyle w:val="Heading2"/>
        <w:spacing w:after="120" w:before="200"/>
      </w:pPr>
      <w:r>
        <w:rPr>
          <w:rFonts w:ascii="Source Serif 4" w:cs="Source Serif 4" w:eastAsia="Source Serif 4" w:hAnsi="Source Serif 4"/>
          <w:b/>
          <w:bCs/>
          <w:color w:val="4F46E5"/>
          <w:sz w:val="24"/>
          <w:szCs w:val="24"/>
        </w:rPr>
        <w:t xml:space="preserve">10.1 Ringkasan Tingkat Evidens</w:t>
      </w:r>
    </w:p>
    <w:p>
      <w:pPr>
        <w:spacing w:after="160" w:line="300"/>
      </w:pPr>
      <w:r>
        <w:rPr>
          <w:rFonts w:ascii="IBM Plex Sans" w:cs="IBM Plex Sans" w:eastAsia="IBM Plex Sans" w:hAnsi="IBM Plex Sans"/>
          <w:color w:val="334155"/>
          <w:sz w:val="21"/>
          <w:szCs w:val="21"/>
        </w:rPr>
        <w:t xml:space="preserve">Tingkat evidens berikut merujuk pada skala GRADE (tinggi/sedang/rendah/sangat rendah) sebagaimana digunakan pada pedoman WHO dan Cochrane, serta skala level of evidence/grade of recommendation ACOG yang dikutip pada Bagian 12. Kekuatan rekomendasi (kuat/bersyarat) mengikuti terminologi WHO Guidelines Review Committee.</w:t>
      </w:r>
    </w:p>
    <w:p>
      <w:pPr>
        <w:spacing w:after="80" w:before="120"/>
      </w:pPr>
      <w:r>
        <w:rPr>
          <w:rFonts w:ascii="IBM Plex Sans" w:cs="IBM Plex Sans" w:eastAsia="IBM Plex Sans" w:hAnsi="IBM Plex Sans"/>
          <w:b/>
          <w:bCs/>
          <w:i/>
          <w:iCs/>
          <w:color w:val="4F46E5"/>
          <w:sz w:val="19"/>
          <w:szCs w:val="19"/>
        </w:rPr>
        <w:t xml:space="preserve">Tabel 2. Tingkat Evidens dan Rekomendasi Tata Laksana Nifas Fisiologis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Rekomendasi</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Kekuatan &amp; Tingkat Evidens</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Sumber</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Minimal empat kontak layanan nifas terjadwal dalam 6 minggu pascapersalinan</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Rekomendasi kuat, evidens sedang (GRADE)</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WHO Postnatal Care Guideline 2022</w:t>
            </w:r>
          </w:p>
        </w:tc>
      </w:tr>
      <w:tr>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Dukungan menyusui terstruktur dan berulang meningkatkan durasi ASI eksklusif</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Evidens tinggi (Cochrane, meta-analisis RCT)</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McFadden dkk., Cochrane 2017</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Skrining sistematis mood dan kesejahteraan emosional pada setiap kontak nifas</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Rekomendasi berbasis konsensus ahli</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ACOG Committee Opinion No. 736 (2018)</w:t>
            </w:r>
          </w:p>
        </w:tc>
      </w:tr>
      <w:tr>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Penilaian risiko tromboemboli vena berulang antepartum-intrapartum-pascapersalinan, dengan profilaksis pada kelompok risiko tinggi</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Rekomendasi berbasis evidens observasional dan konsensus</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RCOG Green-top Guideline No. 37a (2015)</w:t>
            </w:r>
          </w:p>
        </w:tc>
      </w:tr>
    </w:tbl>
    <w:p>
      <w:pPr>
        <w:spacing w:after="160"/>
      </w:pPr>
      <w:r>
        <w:t xml:space="preserve"/>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11. Indikator Medis</w:t>
      </w:r>
    </w:p>
    <w:p>
      <w:pPr>
        <w:pStyle w:val="Heading2"/>
        <w:spacing w:after="120" w:before="200"/>
      </w:pPr>
      <w:r>
        <w:rPr>
          <w:rFonts w:ascii="Source Serif 4" w:cs="Source Serif 4" w:eastAsia="Source Serif 4" w:hAnsi="Source Serif 4"/>
          <w:b/>
          <w:bCs/>
          <w:color w:val="4F46E5"/>
          <w:sz w:val="24"/>
          <w:szCs w:val="24"/>
        </w:rPr>
        <w:t xml:space="preserve">11.1 Indikator Keberhasilan Tata Laksana</w:t>
      </w:r>
    </w:p>
    <w:p>
      <w:pPr>
        <w:spacing w:after="160" w:line="300"/>
      </w:pPr>
      <w:r>
        <w:rPr>
          <w:rFonts w:ascii="IBM Plex Sans" w:cs="IBM Plex Sans" w:eastAsia="IBM Plex Sans" w:hAnsi="IBM Plex Sans"/>
          <w:color w:val="334155"/>
          <w:sz w:val="21"/>
          <w:szCs w:val="21"/>
        </w:rPr>
        <w:t xml:space="preserve">Indikator terukur berikut digunakan untuk memantau mutu tata laksana nifas fisiologis pada tingkat individu maupun fasilitas. Nilai capaian/target numerik agar ditetapkan oleh masing-masing fasilitas mengacu pada data rutin dan laporan tahunan Kementerian Kesehatan yang berlaku pada periode pelaporan berjalan, bukan angka tetap dalam PPK ini:</w:t>
      </w:r>
    </w:p>
    <w:p>
      <w:pPr>
        <w:spacing w:after="80" w:before="120"/>
      </w:pPr>
      <w:r>
        <w:rPr>
          <w:rFonts w:ascii="IBM Plex Sans" w:cs="IBM Plex Sans" w:eastAsia="IBM Plex Sans" w:hAnsi="IBM Plex Sans"/>
          <w:b/>
          <w:bCs/>
          <w:i/>
          <w:iCs/>
          <w:color w:val="4F46E5"/>
          <w:sz w:val="19"/>
          <w:szCs w:val="19"/>
        </w:rPr>
        <w:t xml:space="preserve">Tabel 3. Indikator Medis PPK Nifas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Indikator</w:t>
            </w:r>
          </w:p>
        </w:tc>
        <w:tc>
          <w:tcPr>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Definisi Operasional</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Cakupan kontak KF1-KF4 lengkap</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Proporsi ibu nifas yang menerima seluruh 4 kontak sesuai jadwal, dihitung dari register kohort ibu fasilitas/wilayah kerja pada periode pelaporan</w:t>
            </w:r>
          </w:p>
        </w:tc>
      </w:tr>
      <w:tr>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Deteksi dini komplikasi nifas</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Proporsi kasus tanda bahaya yang teridentifikasi dan dirujuk sesuai Bagian 7.4 sebelum terjadi perburukan klinis</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Inisiasi menyusui eksklusif dipertahankan pada kontak KF3</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Status menyusui eksklusif terdokumentasi pada rekam medis kontak hari ke-8 s.d. ke-28</w:t>
            </w:r>
          </w:p>
        </w:tc>
      </w:tr>
      <w:tr>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Skrining kesehatan mental terdokumentasi</w:t>
            </w:r>
          </w:p>
        </w:tc>
        <w:tc>
          <w:tcPr>
            <w:shd w:fill="EEF2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EPDS atau instrumen setara terisi pada minimal satu kontak KF2-KF4</w:t>
            </w:r>
          </w:p>
        </w:tc>
      </w:tr>
      <w:tr>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Tidak terjadi keterlambatan rujukan pada kasus dengan tanda bahaya</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Waktu dari identifikasi tanda bahaya hingga rujukan sesuai standar pelayanan gawat darurat institusi</w:t>
            </w:r>
          </w:p>
        </w:tc>
      </w:tr>
    </w:tbl>
    <w:p>
      <w:pPr>
        <w:spacing w:after="160"/>
      </w:pPr>
      <w:r>
        <w:t xml:space="preserve"/>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12. Perbandingan dan Pengayaan Standar Internasional</w:t>
      </w:r>
    </w:p>
    <w:p>
      <w:pPr>
        <w:pStyle w:val="Heading2"/>
        <w:spacing w:after="120" w:before="200"/>
      </w:pPr>
      <w:r>
        <w:rPr>
          <w:rFonts w:ascii="Source Serif 4" w:cs="Source Serif 4" w:eastAsia="Source Serif 4" w:hAnsi="Source Serif 4"/>
          <w:b/>
          <w:bCs/>
          <w:color w:val="4F46E5"/>
          <w:sz w:val="24"/>
          <w:szCs w:val="24"/>
        </w:rPr>
        <w:t xml:space="preserve">12.1 WHO dan FIGO</w:t>
      </w:r>
    </w:p>
    <w:p>
      <w:pPr>
        <w:spacing w:after="160" w:line="300"/>
      </w:pPr>
      <w:r>
        <w:rPr>
          <w:rFonts w:ascii="IBM Plex Sans" w:cs="IBM Plex Sans" w:eastAsia="IBM Plex Sans" w:hAnsi="IBM Plex Sans"/>
          <w:color w:val="334155"/>
          <w:sz w:val="21"/>
          <w:szCs w:val="21"/>
        </w:rPr>
        <w:t xml:space="preserve">WHO Recommendations on Maternal and Newborn Care for a Positive Postnatal Experience (World Health Organization, Geneva, 2022) merekomendasikan minimal empat kontak layanan pascapersalinan terstruktur — segera pascapersalinan, hari ke-3, antara hari ke-7 dan ke-14, serta minggu ke-6 — dengan penekanan pada layanan berpusat pada perempuan (woman-centred care) dan integrasi dukungan psikososial pada setiap kontak.</w:t>
      </w:r>
    </w:p>
    <w:p>
      <w:pPr>
        <w:spacing w:after="160" w:line="300"/>
      </w:pPr>
      <w:r>
        <w:rPr>
          <w:rFonts w:ascii="IBM Plex Sans" w:cs="IBM Plex Sans" w:eastAsia="IBM Plex Sans" w:hAnsi="IBM Plex Sans"/>
          <w:color w:val="334155"/>
          <w:sz w:val="21"/>
          <w:szCs w:val="21"/>
        </w:rPr>
        <w:t xml:space="preserve">Standar nasional (Kepkonsil, melalui jadwal program KF1-KF4 Kemenkes) menetapkan empat kontak dalam rentang 6 jam sampai hari ke-2, hari ke-3 s.d. ke-7, hari ke-8 s.d. ke-28, dan hari ke-29 s.d. ke-42; standar internasional WHO 2022 merekomendasikan penjadwalan kontak yang secara substansi serupa namun dengan titik kontak eksplisit pada hari ke-3 dan jendela hari ke-7–14; praktik di Indonesia mengikuti standar nasional KF1-KF4 sebagai kerangka operasional utama.</w:t>
      </w:r>
    </w:p>
    <w:p>
      <w:pPr>
        <w:pStyle w:val="Heading2"/>
        <w:spacing w:after="120" w:before="200"/>
      </w:pPr>
      <w:r>
        <w:rPr>
          <w:rFonts w:ascii="Source Serif 4" w:cs="Source Serif 4" w:eastAsia="Source Serif 4" w:hAnsi="Source Serif 4"/>
          <w:b/>
          <w:bCs/>
          <w:color w:val="4F46E5"/>
          <w:sz w:val="24"/>
          <w:szCs w:val="24"/>
        </w:rPr>
        <w:t xml:space="preserve">12.2 ACOG, RCOG, dan Cochrane</w:t>
      </w:r>
    </w:p>
    <w:p>
      <w:pPr>
        <w:spacing w:after="160" w:line="300"/>
      </w:pPr>
      <w:r>
        <w:rPr>
          <w:rFonts w:ascii="IBM Plex Sans" w:cs="IBM Plex Sans" w:eastAsia="IBM Plex Sans" w:hAnsi="IBM Plex Sans"/>
          <w:color w:val="334155"/>
          <w:sz w:val="21"/>
          <w:szCs w:val="21"/>
        </w:rPr>
        <w:t xml:space="preserve">ACOG Committee Opinion No. 736, "Optimizing Postpartum Care" (Obstetrics &amp; Gynecology, 2018) memperkenalkan konsep "kontinum trimester keempat" (fourth trimester), merekomendasikan kontak awal dalam 3 minggu pertama pascapersalinan dan kunjungan komprehensif tidak lebih dari 12 minggu pascapersalinan, dengan penilaian sistematis mood dan kesejahteraan emosional, adaptasi ibu terhadap perawatan bayi, dan kontrasepsi.</w:t>
      </w:r>
    </w:p>
    <w:p>
      <w:pPr>
        <w:spacing w:after="160" w:line="300"/>
      </w:pPr>
      <w:r>
        <w:rPr>
          <w:rFonts w:ascii="IBM Plex Sans" w:cs="IBM Plex Sans" w:eastAsia="IBM Plex Sans" w:hAnsi="IBM Plex Sans"/>
          <w:color w:val="334155"/>
          <w:sz w:val="21"/>
          <w:szCs w:val="21"/>
        </w:rPr>
        <w:t xml:space="preserve">Standar nasional menetapkan jendela kontak terakhir pada hari ke-42 (KF4); standar internasional ACOG memperluas kontinum layanan hingga 12 minggu pascapersalinan untuk aspek kesehatan ibu jangka menengah (mis. penyesuaian terapi penyakit kronik, kontrasepsi jangka panjang); praktik di Indonesia mengikuti standar nasional KF1-KF4, dengan rujukan lanjutan ke layanan primer/spesialis terkait untuk isu kesehatan ibu di luar jendela 42 hari.</w:t>
      </w:r>
    </w:p>
    <w:p>
      <w:pPr>
        <w:spacing w:after="160" w:line="300"/>
      </w:pPr>
      <w:r>
        <w:rPr>
          <w:rFonts w:ascii="IBM Plex Sans" w:cs="IBM Plex Sans" w:eastAsia="IBM Plex Sans" w:hAnsi="IBM Plex Sans"/>
          <w:color w:val="334155"/>
          <w:sz w:val="21"/>
          <w:szCs w:val="21"/>
        </w:rPr>
        <w:t xml:space="preserve">RCOG Green-top Guideline No. 37a, "Reducing the Risk of Venous Thromboembolism during Pregnancy and the Puerperium" (Royal College of Obstetricians and Gynaecologists, edisi ketiga, 2015), menetapkan penilaian risiko tromboemboli vena berjenjang berdasarkan jumlah faktor risiko dan merekomendasikan profilaksis heparin berat molekul rendah pada kelompok risiko tinggi selama periode antepartum maupun pascapersalinan. Standar nasional pada PPK ini menempatkan profilaksis tromboemboli sebagai tata laksana selektif berbasis stratifikasi risiko institusional (Bagian 7.2), sejalan dengan prinsip penilaian berjenjang RCOG; instrumen skoring baku institusional agar mengikuti kebijakan komite mutu masing-masing rumah sakit pendidikan.</w:t>
      </w:r>
    </w:p>
    <w:p>
      <w:pPr>
        <w:spacing w:after="160" w:line="300"/>
      </w:pPr>
      <w:r>
        <w:rPr>
          <w:rFonts w:ascii="IBM Plex Sans" w:cs="IBM Plex Sans" w:eastAsia="IBM Plex Sans" w:hAnsi="IBM Plex Sans"/>
          <w:color w:val="334155"/>
          <w:sz w:val="21"/>
          <w:szCs w:val="21"/>
        </w:rPr>
        <w:t xml:space="preserve">Tinjauan sistematis Cochrane oleh McFadden dkk. (2017), "Support for healthy breastfeeding mothers with healthy term babies," menunjukkan bahwa dukungan menyusui terjadwal dan berulang (tatap muka, oleh tenaga profesional maupun awam terlatih) secara bermakna menurunkan penghentian dini menyusui eksklusif dibandingkan perawatan standar tanpa dukungan terstruktur, mendukung rekomendasi Bagian 7.1 mengenai dukungan laktasi terstruktur pada setiap kontak nifas.</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13. Kepustakaan</w:t>
      </w:r>
    </w:p>
    <w:p>
      <w:pPr>
        <w:pStyle w:val="Heading2"/>
        <w:spacing w:after="120" w:before="200"/>
      </w:pPr>
      <w:r>
        <w:rPr>
          <w:rFonts w:ascii="Source Serif 4" w:cs="Source Serif 4" w:eastAsia="Source Serif 4" w:hAnsi="Source Serif 4"/>
          <w:b/>
          <w:bCs/>
          <w:color w:val="4F46E5"/>
          <w:sz w:val="24"/>
          <w:szCs w:val="24"/>
        </w:rPr>
        <w:t xml:space="preserve">13.1 Sumber Regulasi dan Rujukan Nasional</w:t>
      </w:r>
    </w:p>
    <w:p>
      <w:pPr>
        <w:pStyle w:val="ListParagraph"/>
        <w:numPr>
          <w:ilvl w:val="0"/>
          <w:numId w:val="1"/>
        </w:numPr>
        <w:spacing w:after="100" w:line="30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Lampiran Tabel 7.</w:t>
      </w:r>
    </w:p>
    <w:p>
      <w:pPr>
        <w:pStyle w:val="ListParagraph"/>
        <w:numPr>
          <w:ilvl w:val="0"/>
          <w:numId w:val="1"/>
        </w:numPr>
        <w:spacing w:after="100" w:line="300"/>
      </w:pPr>
      <w:r>
        <w:rPr>
          <w:rFonts w:ascii="IBM Plex Sans" w:cs="IBM Plex Sans" w:eastAsia="IBM Plex Sans" w:hAnsi="IBM Plex Sans"/>
          <w:color w:val="334155"/>
          <w:sz w:val="21"/>
          <w:szCs w:val="21"/>
        </w:rPr>
        <w:t xml:space="preserve">Kementerian Kesehatan Republik Indonesia. Pedoman/kebijakan teknis pelayanan kesehatan ibu nifas (Kunjungan Nifas KF1-KF4) yang berlaku pada periode terkini — dokumen dan angka cakupan agar dirujuk langsung pada edisi terbaru yang diterbitkan Kementerian Kesehatan, mengingat kebijakan teknis ini dapat diperbarui secara berkala.</w:t>
      </w:r>
    </w:p>
    <w:p>
      <w:pPr>
        <w:pStyle w:val="Heading2"/>
        <w:spacing w:after="120" w:before="200"/>
      </w:pPr>
      <w:r>
        <w:rPr>
          <w:rFonts w:ascii="Source Serif 4" w:cs="Source Serif 4" w:eastAsia="Source Serif 4" w:hAnsi="Source Serif 4"/>
          <w:b/>
          <w:bCs/>
          <w:color w:val="4F46E5"/>
          <w:sz w:val="24"/>
          <w:szCs w:val="24"/>
        </w:rPr>
        <w:t xml:space="preserve">13.2 Sumber Internasional</w:t>
      </w:r>
    </w:p>
    <w:p>
      <w:pPr>
        <w:pStyle w:val="ListParagraph"/>
        <w:numPr>
          <w:ilvl w:val="0"/>
          <w:numId w:val="1"/>
        </w:numPr>
        <w:spacing w:after="100" w:line="300"/>
      </w:pPr>
      <w:r>
        <w:rPr>
          <w:rFonts w:ascii="IBM Plex Sans" w:cs="IBM Plex Sans" w:eastAsia="IBM Plex Sans" w:hAnsi="IBM Plex Sans"/>
          <w:color w:val="334155"/>
          <w:sz w:val="21"/>
          <w:szCs w:val="21"/>
        </w:rPr>
        <w:t xml:space="preserve">World Health Organization. WHO Recommendations on Maternal and Newborn Care for a Positive Postnatal Experience. Geneva: World Health Organization; 2022. Tersedia pada: https://www.who.int/publications/i/item/9789240045989</w:t>
      </w:r>
    </w:p>
    <w:p>
      <w:pPr>
        <w:pStyle w:val="ListParagraph"/>
        <w:numPr>
          <w:ilvl w:val="0"/>
          <w:numId w:val="1"/>
        </w:numPr>
        <w:spacing w:after="100" w:line="300"/>
      </w:pPr>
      <w:r>
        <w:rPr>
          <w:rFonts w:ascii="IBM Plex Sans" w:cs="IBM Plex Sans" w:eastAsia="IBM Plex Sans" w:hAnsi="IBM Plex Sans"/>
          <w:color w:val="334155"/>
          <w:sz w:val="21"/>
          <w:szCs w:val="21"/>
        </w:rPr>
        <w:t xml:space="preserve">American College of Obstetricians and Gynecologists. ACOG Committee Opinion No. 736: Optimizing Postpartum Care. Obstetrics &amp; Gynecology. 2018;131(5):e140–e150.</w:t>
      </w:r>
    </w:p>
    <w:p>
      <w:pPr>
        <w:pStyle w:val="ListParagraph"/>
        <w:numPr>
          <w:ilvl w:val="0"/>
          <w:numId w:val="1"/>
        </w:numPr>
        <w:spacing w:after="100" w:line="300"/>
      </w:pPr>
      <w:r>
        <w:rPr>
          <w:rFonts w:ascii="IBM Plex Sans" w:cs="IBM Plex Sans" w:eastAsia="IBM Plex Sans" w:hAnsi="IBM Plex Sans"/>
          <w:color w:val="334155"/>
          <w:sz w:val="21"/>
          <w:szCs w:val="21"/>
        </w:rPr>
        <w:t xml:space="preserve">Royal College of Obstetricians and Gynaecologists. Reducing the Risk of Venous Thromboembolism during Pregnancy and the Puerperium. Green-top Guideline No. 37a, edisi ke-3. London: RCOG; 2015. Tersedia pada: https://www.rcog.org.uk/guidance/browse-all-guidance/green-top-guidelines/reducing-the-risk-of-thrombosis-and-embolism-during-pregnancy-and-the-puerperium-green-top-guideline-no-37a/</w:t>
      </w:r>
    </w:p>
    <w:p>
      <w:pPr>
        <w:pStyle w:val="ListParagraph"/>
        <w:numPr>
          <w:ilvl w:val="0"/>
          <w:numId w:val="1"/>
        </w:numPr>
        <w:spacing w:after="100" w:line="300"/>
      </w:pPr>
      <w:r>
        <w:rPr>
          <w:rFonts w:ascii="IBM Plex Sans" w:cs="IBM Plex Sans" w:eastAsia="IBM Plex Sans" w:hAnsi="IBM Plex Sans"/>
          <w:color w:val="334155"/>
          <w:sz w:val="21"/>
          <w:szCs w:val="21"/>
        </w:rPr>
        <w:t xml:space="preserve">McFadden A, Gavine A, Renfrew MJ, dkk. Support for healthy breastfeeding mothers with healthy term babies. Cochrane Database of Systematic Reviews. 2017;2:CD001141.</w:t>
      </w:r>
    </w:p>
    <w:p>
      <w:pPr>
        <w:pStyle w:val="ListParagraph"/>
        <w:numPr>
          <w:ilvl w:val="0"/>
          <w:numId w:val="1"/>
        </w:numPr>
        <w:spacing w:after="100" w:line="300"/>
      </w:pPr>
      <w:r>
        <w:rPr>
          <w:rFonts w:ascii="IBM Plex Sans" w:cs="IBM Plex Sans" w:eastAsia="IBM Plex Sans" w:hAnsi="IBM Plex Sans"/>
          <w:color w:val="334155"/>
          <w:sz w:val="21"/>
          <w:szCs w:val="21"/>
        </w:rPr>
        <w:t xml:space="preserve">Cox JL, Holden JM, Sagovsky R. Detection of postnatal depression: development of the 10-item Edinburgh Postnatal Depression Scale. British Journal of Psychiatry. 1987;150:782–786.</w:t>
      </w:r>
    </w:p>
    <w:p>
      <w:pPr>
        <w:pStyle w:val="ListParagraph"/>
        <w:numPr>
          <w:ilvl w:val="0"/>
          <w:numId w:val="1"/>
        </w:numPr>
        <w:spacing w:after="100" w:line="300"/>
      </w:pPr>
      <w:r>
        <w:rPr>
          <w:rFonts w:ascii="IBM Plex Sans" w:cs="IBM Plex Sans" w:eastAsia="IBM Plex Sans" w:hAnsi="IBM Plex Sans"/>
          <w:color w:val="334155"/>
          <w:sz w:val="21"/>
          <w:szCs w:val="21"/>
        </w:rPr>
        <w:t xml:space="preserve">Rubin R. Puerperal change. Nursing Outlook. 1961;9(12):753–755.</w:t>
      </w:r>
    </w:p>
    <w:p>
      <w:pPr>
        <w:pStyle w:val="ListParagraph"/>
        <w:numPr>
          <w:ilvl w:val="0"/>
          <w:numId w:val="1"/>
        </w:numPr>
        <w:spacing w:after="100" w:line="300"/>
      </w:pPr>
      <w:r>
        <w:rPr>
          <w:rFonts w:ascii="IBM Plex Sans" w:cs="IBM Plex Sans" w:eastAsia="IBM Plex Sans" w:hAnsi="IBM Plex Sans"/>
          <w:color w:val="334155"/>
          <w:sz w:val="21"/>
          <w:szCs w:val="21"/>
        </w:rPr>
        <w:t xml:space="preserve">Cunningham FG, Leveno KJ, Dashe JS, Hoffman BL, Spong CY, Casey BM. Williams Obstetrics. Edisi ke-26. New York: McGraw Hill; 2022.</w:t>
      </w:r>
    </w:p>
    <w:p>
      <w:pPr>
        <w:pStyle w:val="ListParagraph"/>
        <w:numPr>
          <w:ilvl w:val="0"/>
          <w:numId w:val="1"/>
        </w:numPr>
        <w:spacing w:after="100" w:line="300"/>
      </w:pPr>
      <w:r>
        <w:rPr>
          <w:rFonts w:ascii="IBM Plex Sans" w:cs="IBM Plex Sans" w:eastAsia="IBM Plex Sans" w:hAnsi="IBM Plex Sans"/>
          <w:color w:val="334155"/>
          <w:sz w:val="21"/>
          <w:szCs w:val="21"/>
        </w:rPr>
        <w:t xml:space="preserve">World Health Organization. ICD-11 for Mortality and Morbidity Statistics — akses resmi. Tersedia pada: https://www.who.int/news-room/fact-sheets/detail/icd-11</w:t>
      </w:r>
    </w:p>
    <w:p>
      <w:pPr>
        <w:pStyle w:val="Heading1"/>
        <w:pBdr>
          <w:bottom w:val="single" w:color="B45309" w:sz="8" w:space="6"/>
        </w:pBdr>
        <w:spacing w:after="200" w:before="360"/>
      </w:pPr>
      <w:r>
        <w:rPr>
          <w:rFonts w:ascii="Source Serif 4" w:cs="Source Serif 4" w:eastAsia="Source Serif 4" w:hAnsi="Source Serif 4"/>
          <w:b/>
          <w:bCs/>
          <w:color w:val="4F46E5"/>
          <w:sz w:val="30"/>
          <w:szCs w:val="30"/>
        </w:rPr>
        <w:t xml:space="preserve">Glosarium</w:t>
      </w:r>
    </w:p>
    <w:p>
      <w:pPr>
        <w:spacing w:after="120" w:line="300"/>
      </w:pPr>
      <w:r>
        <w:rPr>
          <w:rFonts w:ascii="IBM Plex Sans" w:cs="IBM Plex Sans" w:eastAsia="IBM Plex Sans" w:hAnsi="IBM Plex Sans"/>
          <w:b/>
          <w:bCs/>
          <w:color w:val="334155"/>
          <w:sz w:val="21"/>
          <w:szCs w:val="21"/>
        </w:rPr>
        <w:t xml:space="preserve">Puerperium (nifas) — </w:t>
      </w:r>
      <w:r>
        <w:rPr>
          <w:rFonts w:ascii="IBM Plex Sans" w:cs="IBM Plex Sans" w:eastAsia="IBM Plex Sans" w:hAnsi="IBM Plex Sans"/>
          <w:color w:val="334155"/>
          <w:sz w:val="21"/>
          <w:szCs w:val="21"/>
        </w:rPr>
        <w:t xml:space="preserve">Masa sejak plasenta lahir hingga organ reproduksi ibu kembali ke kondisi sebelum hamil, konvensional 6 minggu (42 hari).</w:t>
      </w:r>
    </w:p>
    <w:p>
      <w:pPr>
        <w:spacing w:after="120" w:line="300"/>
      </w:pPr>
      <w:r>
        <w:rPr>
          <w:rFonts w:ascii="IBM Plex Sans" w:cs="IBM Plex Sans" w:eastAsia="IBM Plex Sans" w:hAnsi="IBM Plex Sans"/>
          <w:b/>
          <w:bCs/>
          <w:color w:val="334155"/>
          <w:sz w:val="21"/>
          <w:szCs w:val="21"/>
        </w:rPr>
        <w:t xml:space="preserve">Involusi uterus — </w:t>
      </w:r>
      <w:r>
        <w:rPr>
          <w:rFonts w:ascii="IBM Plex Sans" w:cs="IBM Plex Sans" w:eastAsia="IBM Plex Sans" w:hAnsi="IBM Plex Sans"/>
          <w:color w:val="334155"/>
          <w:sz w:val="21"/>
          <w:szCs w:val="21"/>
        </w:rPr>
        <w:t xml:space="preserve">Proses mengecilnya ukuran dan kembalinya posisi uterus menuju kondisi pranatal melalui autolisis serat miometrium.</w:t>
      </w:r>
    </w:p>
    <w:p>
      <w:pPr>
        <w:spacing w:after="120" w:line="300"/>
      </w:pPr>
      <w:r>
        <w:rPr>
          <w:rFonts w:ascii="IBM Plex Sans" w:cs="IBM Plex Sans" w:eastAsia="IBM Plex Sans" w:hAnsi="IBM Plex Sans"/>
          <w:b/>
          <w:bCs/>
          <w:color w:val="334155"/>
          <w:sz w:val="21"/>
          <w:szCs w:val="21"/>
        </w:rPr>
        <w:t xml:space="preserve">Lokia — </w:t>
      </w:r>
      <w:r>
        <w:rPr>
          <w:rFonts w:ascii="IBM Plex Sans" w:cs="IBM Plex Sans" w:eastAsia="IBM Plex Sans" w:hAnsi="IBM Plex Sans"/>
          <w:color w:val="334155"/>
          <w:sz w:val="21"/>
          <w:szCs w:val="21"/>
        </w:rPr>
        <w:t xml:space="preserve">Sekret vagina pascapersalinan yang berasal dari luka bekas pelekatan plasenta, berubah karakter dari rubra, serosa, hingga alba.</w:t>
      </w:r>
    </w:p>
    <w:p>
      <w:pPr>
        <w:spacing w:after="120" w:line="300"/>
      </w:pPr>
      <w:r>
        <w:rPr>
          <w:rFonts w:ascii="IBM Plex Sans" w:cs="IBM Plex Sans" w:eastAsia="IBM Plex Sans" w:hAnsi="IBM Plex Sans"/>
          <w:b/>
          <w:bCs/>
          <w:color w:val="334155"/>
          <w:sz w:val="21"/>
          <w:szCs w:val="21"/>
        </w:rPr>
        <w:t xml:space="preserve">Laktogenesis — </w:t>
      </w:r>
      <w:r>
        <w:rPr>
          <w:rFonts w:ascii="IBM Plex Sans" w:cs="IBM Plex Sans" w:eastAsia="IBM Plex Sans" w:hAnsi="IBM Plex Sans"/>
          <w:color w:val="334155"/>
          <w:sz w:val="21"/>
          <w:szCs w:val="21"/>
        </w:rPr>
        <w:t xml:space="preserve">Proses fisiologis pembentukan air susu ibu; laktogenesis I dimulai pada kehamilan, laktogenesis II terjadi 30–72 jam pascapersalinan.</w:t>
      </w:r>
    </w:p>
    <w:p>
      <w:pPr>
        <w:spacing w:after="120" w:line="300"/>
      </w:pPr>
      <w:r>
        <w:rPr>
          <w:rFonts w:ascii="IBM Plex Sans" w:cs="IBM Plex Sans" w:eastAsia="IBM Plex Sans" w:hAnsi="IBM Plex Sans"/>
          <w:b/>
          <w:bCs/>
          <w:color w:val="334155"/>
          <w:sz w:val="21"/>
          <w:szCs w:val="21"/>
        </w:rPr>
        <w:t xml:space="preserve">Subinvolusi — </w:t>
      </w:r>
      <w:r>
        <w:rPr>
          <w:rFonts w:ascii="IBM Plex Sans" w:cs="IBM Plex Sans" w:eastAsia="IBM Plex Sans" w:hAnsi="IBM Plex Sans"/>
          <w:color w:val="334155"/>
          <w:sz w:val="21"/>
          <w:szCs w:val="21"/>
        </w:rPr>
        <w:t xml:space="preserve">Keterlambatan atau kegagalan uterus mengecil sesuai jadwal fisiologis, sering menjadi tanda retensi jaringan atau infeksi.</w:t>
      </w:r>
    </w:p>
    <w:p>
      <w:pPr>
        <w:spacing w:after="120" w:line="300"/>
      </w:pPr>
      <w:r>
        <w:rPr>
          <w:rFonts w:ascii="IBM Plex Sans" w:cs="IBM Plex Sans" w:eastAsia="IBM Plex Sans" w:hAnsi="IBM Plex Sans"/>
          <w:b/>
          <w:bCs/>
          <w:color w:val="334155"/>
          <w:sz w:val="21"/>
          <w:szCs w:val="21"/>
        </w:rPr>
        <w:t xml:space="preserve">REEDA — </w:t>
      </w:r>
      <w:r>
        <w:rPr>
          <w:rFonts w:ascii="IBM Plex Sans" w:cs="IBM Plex Sans" w:eastAsia="IBM Plex Sans" w:hAnsi="IBM Plex Sans"/>
          <w:color w:val="334155"/>
          <w:sz w:val="21"/>
          <w:szCs w:val="21"/>
        </w:rPr>
        <w:t xml:space="preserve">Kerangka penilaian penyembuhan luka perineum/episiotomi: redness (kemerahan), edema, ecchymosis (ekimosis), discharge (rembesan), approximation (kerapatan tepi luka).</w:t>
      </w:r>
    </w:p>
    <w:p>
      <w:pPr>
        <w:spacing w:after="120" w:line="300"/>
      </w:pPr>
      <w:r>
        <w:rPr>
          <w:rFonts w:ascii="IBM Plex Sans" w:cs="IBM Plex Sans" w:eastAsia="IBM Plex Sans" w:hAnsi="IBM Plex Sans"/>
          <w:b/>
          <w:bCs/>
          <w:color w:val="334155"/>
          <w:sz w:val="21"/>
          <w:szCs w:val="21"/>
        </w:rPr>
        <w:t xml:space="preserve">Baby blues — </w:t>
      </w:r>
      <w:r>
        <w:rPr>
          <w:rFonts w:ascii="IBM Plex Sans" w:cs="IBM Plex Sans" w:eastAsia="IBM Plex Sans" w:hAnsi="IBM Plex Sans"/>
          <w:color w:val="334155"/>
          <w:sz w:val="21"/>
          <w:szCs w:val="21"/>
        </w:rPr>
        <w:t xml:space="preserve">Perubahan mood ringan dan transien pascapersalinan yang bersifat fisiologis, umumnya membaik dalam dua minggu tanpa tata laksana khusus.</w:t>
      </w:r>
    </w:p>
    <w:p>
      <w:pPr>
        <w:spacing w:after="120" w:line="300"/>
      </w:pPr>
      <w:r>
        <w:rPr>
          <w:rFonts w:ascii="IBM Plex Sans" w:cs="IBM Plex Sans" w:eastAsia="IBM Plex Sans" w:hAnsi="IBM Plex Sans"/>
          <w:b/>
          <w:bCs/>
          <w:color w:val="334155"/>
          <w:sz w:val="21"/>
          <w:szCs w:val="21"/>
        </w:rPr>
        <w:t xml:space="preserve">EPDS (Edinburgh Postnatal Depression Scale) — </w:t>
      </w:r>
      <w:r>
        <w:rPr>
          <w:rFonts w:ascii="IBM Plex Sans" w:cs="IBM Plex Sans" w:eastAsia="IBM Plex Sans" w:hAnsi="IBM Plex Sans"/>
          <w:color w:val="334155"/>
          <w:sz w:val="21"/>
          <w:szCs w:val="21"/>
        </w:rPr>
        <w:t xml:space="preserve">Instrumen skrining tervalidasi 10 butir untuk mendeteksi gejala depresi pascapersalinan.</w:t>
      </w:r>
    </w:p>
    <w:p>
      <w:pPr>
        <w:spacing w:after="120" w:line="300"/>
      </w:pPr>
      <w:r>
        <w:rPr>
          <w:rFonts w:ascii="IBM Plex Sans" w:cs="IBM Plex Sans" w:eastAsia="IBM Plex Sans" w:hAnsi="IBM Plex Sans"/>
          <w:b/>
          <w:bCs/>
          <w:color w:val="334155"/>
          <w:sz w:val="21"/>
          <w:szCs w:val="21"/>
        </w:rPr>
        <w:t xml:space="preserve">Kunjungan Nifas (KF1–KF4) — </w:t>
      </w:r>
      <w:r>
        <w:rPr>
          <w:rFonts w:ascii="IBM Plex Sans" w:cs="IBM Plex Sans" w:eastAsia="IBM Plex Sans" w:hAnsi="IBM Plex Sans"/>
          <w:color w:val="334155"/>
          <w:sz w:val="21"/>
          <w:szCs w:val="21"/>
        </w:rPr>
        <w:t xml:space="preserve">Jadwal kontak layanan nifas terstruktur program Kementerian Kesehatan pada rentang 6 jam hingga 42 hari pascapersalinan.</w:t>
      </w:r>
    </w:p>
    <w:p>
      <w:pPr>
        <w:spacing w:after="120" w:line="300"/>
      </w:pPr>
      <w:r>
        <w:rPr>
          <w:rFonts w:ascii="IBM Plex Sans" w:cs="IBM Plex Sans" w:eastAsia="IBM Plex Sans" w:hAnsi="IBM Plex Sans"/>
          <w:b/>
          <w:bCs/>
          <w:color w:val="334155"/>
          <w:sz w:val="21"/>
          <w:szCs w:val="21"/>
        </w:rPr>
        <w:t xml:space="preserve">Fourth trimester (trimester keempat) — </w:t>
      </w:r>
      <w:r>
        <w:rPr>
          <w:rFonts w:ascii="IBM Plex Sans" w:cs="IBM Plex Sans" w:eastAsia="IBM Plex Sans" w:hAnsi="IBM Plex Sans"/>
          <w:color w:val="334155"/>
          <w:sz w:val="21"/>
          <w:szCs w:val="21"/>
        </w:rPr>
        <w:t xml:space="preserve">Istilah konseptual untuk periode 12 minggu pertama pascapersalinan sebagai kontinum layanan, sebagaimana diperkenalkan ACOG Committee Opinion No. 736.</w:t>
      </w:r>
    </w:p>
    <w:p>
      <w:pPr>
        <w:spacing w:after="120" w:line="300"/>
      </w:pPr>
      <w:r>
        <w:rPr>
          <w:rFonts w:ascii="IBM Plex Sans" w:cs="IBM Plex Sans" w:eastAsia="IBM Plex Sans" w:hAnsi="IBM Plex Sans"/>
          <w:b/>
          <w:bCs/>
          <w:color w:val="334155"/>
          <w:sz w:val="21"/>
          <w:szCs w:val="21"/>
        </w:rPr>
        <w:t xml:space="preserve">Tromboemboli vena (VTE) — </w:t>
      </w:r>
      <w:r>
        <w:rPr>
          <w:rFonts w:ascii="IBM Plex Sans" w:cs="IBM Plex Sans" w:eastAsia="IBM Plex Sans" w:hAnsi="IBM Plex Sans"/>
          <w:color w:val="334155"/>
          <w:sz w:val="21"/>
          <w:szCs w:val="21"/>
        </w:rPr>
        <w:t xml:space="preserve">Pembentukan bekuan darah dalam vena, mencakup trombosis vena dalam dan emboli paru; risiko meningkat signifikan pada masa nifas.</w:t>
      </w:r>
    </w:p>
    <w:p>
      <w:pPr>
        <w:spacing w:after="120" w:line="300"/>
      </w:pPr>
      <w:r>
        <w:rPr>
          <w:rFonts w:ascii="IBM Plex Sans" w:cs="IBM Plex Sans" w:eastAsia="IBM Plex Sans" w:hAnsi="IBM Plex Sans"/>
          <w:b/>
          <w:bCs/>
          <w:color w:val="334155"/>
          <w:sz w:val="21"/>
          <w:szCs w:val="21"/>
        </w:rPr>
        <w:t xml:space="preserve">Metode Amenore Laktasi (MAL) — </w:t>
      </w:r>
      <w:r>
        <w:rPr>
          <w:rFonts w:ascii="IBM Plex Sans" w:cs="IBM Plex Sans" w:eastAsia="IBM Plex Sans" w:hAnsi="IBM Plex Sans"/>
          <w:color w:val="334155"/>
          <w:sz w:val="21"/>
          <w:szCs w:val="21"/>
        </w:rPr>
        <w:t xml:space="preserve">Metode kontrasepsi alami berbasis menyusui eksklusif, amenore, dan usia bayi di bawah 6 bulan.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4"/>
        <w:szCs w:val="14"/>
      </w:rPr>
      <w:t xml:space="preserve">Perpustakaan Digital ABBA  •  </w:t>
    </w:r>
    <w:r>
      <w:rPr>
        <w:rFonts w:ascii="IBM Plex Sans" w:cs="IBM Plex Sans" w:eastAsia="IBM Plex Sans" w:hAnsi="IBM Plex Sans"/>
        <w:color w:val="334155"/>
        <w:sz w:val="14"/>
        <w:szCs w:val="14"/>
      </w:rPr>
      <w:t xml:space="preserve">Halaman </w:t>
    </w:r>
    <w:r>
      <w:rPr>
        <w:rFonts w:ascii="IBM Plex Sans" w:cs="IBM Plex Sans" w:eastAsia="IBM Plex Sans" w:hAnsi="IBM Plex Sans"/>
        <w:color w:val="334155"/>
        <w:sz w:val="14"/>
        <w:szCs w:val="14"/>
      </w:rPr>
      <w:fldChar w:fldCharType="begin"/>
      <w:instrText xml:space="preserve">PAGE</w:instrText>
      <w:fldChar w:fldCharType="separate"/>
      <w:fldChar w:fldCharType="end"/>
    </w:r>
    <w:r>
      <w:rPr>
        <w:rFonts w:ascii="IBM Plex Sans" w:cs="IBM Plex Sans" w:eastAsia="IBM Plex Sans" w:hAnsi="IBM Plex Sans"/>
        <w:color w:val="334155"/>
        <w:sz w:val="14"/>
        <w:szCs w:val="14"/>
      </w:rPr>
      <w:t xml:space="preserve"> dari </w:t>
    </w:r>
    <w:r>
      <w:rPr>
        <w:rFonts w:ascii="IBM Plex Sans" w:cs="IBM Plex Sans" w:eastAsia="IBM Plex Sans" w:hAnsi="IBM Plex Sans"/>
        <w:color w:val="3341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B45309"/>
        <w:sz w:val="15"/>
        <w:szCs w:val="15"/>
      </w:rPr>
      <w:t xml:space="preserve">Nifas — PPK No. 38 dari 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2026-08-17T21:14:59.270Z</dcterms:created>
  <dcterms:modified xsi:type="dcterms:W3CDTF">2026-08-17T21:14:59.286Z</dcterms:modified>
</cp:coreProperties>
</file>

<file path=docProps/custom.xml><?xml version="1.0" encoding="utf-8"?>
<Properties xmlns="http://schemas.openxmlformats.org/officeDocument/2006/custom-properties" xmlns:vt="http://schemas.openxmlformats.org/officeDocument/2006/docPropsVTypes"/>
</file>