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Override ContentType="application/vnd.openxmlformats-officedocument.wordprocessingml.header+xml" PartName="/word/header1.xml"/>
  <Override ContentType="application/vnd.openxmlformats-officedocument.wordprocessingml.footer+xml" PartName="/word/footer1.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before="1200"/>
      </w:pPr>
    </w:p>
    <w:p>
      <w:pPr>
        <w:jc w:val="center"/>
      </w:pPr>
      <w:r>
        <w:rPr>
          <w:rFonts w:ascii="IBM Plex Sans" w:cs="IBM Plex Sans" w:eastAsia="IBM Plex Sans" w:hAnsi="IBM Plex Sans"/>
          <w:b/>
          <w:bCs/>
          <w:color w:val="B45309"/>
          <w:sz w:val="24"/>
          <w:szCs w:val="24"/>
        </w:rPr>
        <w:t xml:space="preserve">PANDUAN PRAKTIK KLINIS</w:t>
      </w:r>
    </w:p>
    <w:p>
      <w:pPr>
        <w:spacing w:after="200" w:before="200"/>
        <w:jc w:val="center"/>
      </w:pPr>
      <w:r>
        <w:rPr>
          <w:rFonts w:ascii="Source Serif 4" w:cs="Source Serif 4" w:eastAsia="Source Serif 4" w:hAnsi="Source Serif 4"/>
          <w:b/>
          <w:bCs/>
          <w:color w:val="4F46E5"/>
          <w:sz w:val="56"/>
          <w:szCs w:val="56"/>
        </w:rPr>
        <w:t xml:space="preserve">Vaginitis</w:t>
      </w:r>
    </w:p>
    <w:p>
      <w:pPr>
        <w:spacing w:after="400"/>
        <w:jc w:val="center"/>
      </w:pPr>
      <w:r>
        <w:rPr>
          <w:rFonts w:ascii="Source Serif 4" w:cs="Source Serif 4" w:eastAsia="Source Serif 4" w:hAnsi="Source Serif 4"/>
          <w:i/>
          <w:iCs/>
          <w:color w:val="64748B"/>
          <w:sz w:val="30"/>
          <w:szCs w:val="30"/>
        </w:rPr>
        <w:t xml:space="preserve">(Vaginitis)</w:t>
      </w:r>
    </w:p>
    <w:p>
      <w:pPr>
        <w:spacing w:after="100"/>
        <w:jc w:val="center"/>
      </w:pPr>
      <w:r>
        <w:rPr>
          <w:rFonts w:ascii="IBM Plex Mono" w:cs="IBM Plex Mono" w:eastAsia="IBM Plex Mono" w:hAnsi="IBM Plex Mono"/>
          <w:color w:val="334155"/>
          <w:sz w:val="22"/>
          <w:szCs w:val="22"/>
        </w:rPr>
        <w:t xml:space="preserve">PPK-042 • PPK No. 42 dari 73</w:t>
      </w:r>
    </w:p>
    <w:p>
      <w:pPr>
        <w:spacing w:after="100"/>
        <w:jc w:val="center"/>
      </w:pPr>
      <w:r>
        <w:rPr>
          <w:rFonts w:ascii="IBM Plex Mono" w:cs="IBM Plex Mono" w:eastAsia="IBM Plex Mono" w:hAnsi="IBM Plex Mono"/>
          <w:color w:val="334155"/>
          <w:sz w:val="20"/>
          <w:szCs w:val="20"/>
        </w:rPr>
        <w:t xml:space="preserve">ICD-10 N76.0  ·  ICD-11 GA02</w:t>
      </w:r>
    </w:p>
    <w:p>
      <w:pPr>
        <w:spacing w:after="600"/>
        <w:jc w:val="center"/>
      </w:pPr>
      <w:r>
        <w:rPr>
          <w:rFonts w:ascii="IBM Plex Sans" w:cs="IBM Plex Sans" w:eastAsia="IBM Plex Sans" w:hAnsi="IBM Plex Sans"/>
          <w:i/>
          <w:iCs/>
          <w:color w:val="64748B"/>
          <w:sz w:val="20"/>
          <w:szCs w:val="20"/>
        </w:rPr>
        <w:t xml:space="preserve">Buku Tematik Induk: B6 — Ginekologi Umum dan Infeksi Saluran Reproduksi</w:t>
      </w:r>
    </w:p>
    <w:tbl>
      <w:tblPr>
        <w:tblW w:type="pct" w:w="100%"/>
        <w:tblBorders>
          <w:top w:val="single" w:color="CBD5E1" w:sz="2"/>
          <w:left w:val="single" w:color="CBD5E1" w:sz="2"/>
          <w:bottom w:val="single" w:color="CBD5E1" w:sz="2"/>
          <w:right w:val="single" w:color="CBD5E1" w:sz="2"/>
          <w:insideH w:val="single" w:color="E2E8F0" w:sz="2"/>
          <w:insideV w:val="single" w:color="E2E8F0" w:sz="2"/>
        </w:tblBorders>
      </w:tblPr>
      <w:tblGrid>
        <w:gridCol w:w="3200"/>
        <w:gridCol w:w="6300"/>
      </w:tblGrid>
      <w:tr>
        <w:tc>
          <w:tcPr>
            <w:tcW w:type="dxa" w:w="3200"/>
            <w:shd w:fill="F8FAFC" w:val="clear"/>
            <w:tcMar>
              <w:top w:type="dxa" w:w="100"/>
              <w:left w:type="dxa" w:w="150"/>
              <w:bottom w:type="dxa" w:w="100"/>
              <w:right w:type="dxa" w:w="150"/>
            </w:tcMar>
            <w:vAlign w:val="center"/>
          </w:tcPr>
          <w:p>
            <w:r>
              <w:rPr>
                <w:rFonts w:ascii="IBM Plex Sans" w:cs="IBM Plex Sans" w:eastAsia="IBM Plex Sans" w:hAnsi="IBM Plex Sans"/>
                <w:b/>
                <w:bCs/>
                <w:color w:val="334155"/>
                <w:sz w:val="19"/>
                <w:szCs w:val="19"/>
              </w:rPr>
              <w:t xml:space="preserve">Kode Unit</w:t>
            </w:r>
          </w:p>
        </w:tc>
        <w:tc>
          <w:tcPr>
            <w:tcW w:type="dxa" w:w="6300"/>
            <w:tcMar>
              <w:top w:type="dxa" w:w="100"/>
              <w:left w:type="dxa" w:w="150"/>
              <w:bottom w:type="dxa" w:w="100"/>
              <w:right w:type="dxa" w:w="150"/>
            </w:tcMar>
            <w:vAlign w:val="center"/>
          </w:tcPr>
          <w:p>
            <w:r>
              <w:rPr>
                <w:rFonts w:ascii="IBM Plex Mono" w:cs="IBM Plex Mono" w:eastAsia="IBM Plex Mono" w:hAnsi="IBM Plex Mono"/>
                <w:color w:val="334155"/>
                <w:sz w:val="19"/>
                <w:szCs w:val="19"/>
              </w:rPr>
              <w:t xml:space="preserve">PPK-042</w:t>
            </w:r>
          </w:p>
        </w:tc>
      </w:tr>
      <w:tr>
        <w:tc>
          <w:tcPr>
            <w:tcW w:type="dxa" w:w="3200"/>
            <w:shd w:fill="F8FAFC" w:val="clear"/>
            <w:tcMar>
              <w:top w:type="dxa" w:w="100"/>
              <w:left w:type="dxa" w:w="150"/>
              <w:bottom w:type="dxa" w:w="100"/>
              <w:right w:type="dxa" w:w="150"/>
            </w:tcMar>
            <w:vAlign w:val="center"/>
          </w:tcPr>
          <w:p>
            <w:r>
              <w:rPr>
                <w:rFonts w:ascii="IBM Plex Sans" w:cs="IBM Plex Sans" w:eastAsia="IBM Plex Sans" w:hAnsi="IBM Plex Sans"/>
                <w:b/>
                <w:bCs/>
                <w:color w:val="334155"/>
                <w:sz w:val="19"/>
                <w:szCs w:val="19"/>
              </w:rPr>
              <w:t xml:space="preserve">Kategori</w:t>
            </w:r>
          </w:p>
        </w:tc>
        <w:tc>
          <w:tcPr>
            <w:tcW w:type="dxa" w:w="6300"/>
            <w:tcMar>
              <w:top w:type="dxa" w:w="100"/>
              <w:left w:type="dxa" w:w="150"/>
              <w:bottom w:type="dxa" w:w="100"/>
              <w:right w:type="dxa" w:w="150"/>
            </w:tcMar>
            <w:vAlign w:val="center"/>
          </w:tcPr>
          <w:p>
            <w:r>
              <w:rPr>
                <w:rFonts w:ascii="IBM Plex Mono" w:cs="IBM Plex Mono" w:eastAsia="IBM Plex Mono" w:hAnsi="IBM Plex Mono"/>
                <w:color w:val="334155"/>
                <w:sz w:val="19"/>
                <w:szCs w:val="19"/>
              </w:rPr>
              <w:t xml:space="preserve">PPK No. 42 dari 73</w:t>
            </w:r>
          </w:p>
        </w:tc>
      </w:tr>
      <w:tr>
        <w:tc>
          <w:tcPr>
            <w:tcW w:type="dxa" w:w="3200"/>
            <w:shd w:fill="F8FAFC" w:val="clear"/>
            <w:tcMar>
              <w:top w:type="dxa" w:w="100"/>
              <w:left w:type="dxa" w:w="150"/>
              <w:bottom w:type="dxa" w:w="100"/>
              <w:right w:type="dxa" w:w="150"/>
            </w:tcMar>
            <w:vAlign w:val="center"/>
          </w:tcPr>
          <w:p>
            <w:r>
              <w:rPr>
                <w:rFonts w:ascii="IBM Plex Sans" w:cs="IBM Plex Sans" w:eastAsia="IBM Plex Sans" w:hAnsi="IBM Plex Sans"/>
                <w:b/>
                <w:bCs/>
                <w:color w:val="334155"/>
                <w:sz w:val="19"/>
                <w:szCs w:val="19"/>
              </w:rPr>
              <w:t xml:space="preserve">Nama Penyakit (Id)</w:t>
            </w:r>
          </w:p>
        </w:tc>
        <w:tc>
          <w:tcPr>
            <w:tcW w:type="dxa" w:w="6300"/>
            <w:tcMar>
              <w:top w:type="dxa" w:w="100"/>
              <w:left w:type="dxa" w:w="150"/>
              <w:bottom w:type="dxa" w:w="100"/>
              <w:right w:type="dxa" w:w="150"/>
            </w:tcMar>
            <w:vAlign w:val="center"/>
          </w:tcPr>
          <w:p>
            <w:r>
              <w:rPr>
                <w:rFonts w:ascii="IBM Plex Mono" w:cs="IBM Plex Mono" w:eastAsia="IBM Plex Mono" w:hAnsi="IBM Plex Mono"/>
                <w:color w:val="334155"/>
                <w:sz w:val="19"/>
                <w:szCs w:val="19"/>
              </w:rPr>
              <w:t xml:space="preserve">Vaginitis</w:t>
            </w:r>
          </w:p>
        </w:tc>
      </w:tr>
      <w:tr>
        <w:tc>
          <w:tcPr>
            <w:tcW w:type="dxa" w:w="3200"/>
            <w:shd w:fill="F8FAFC" w:val="clear"/>
            <w:tcMar>
              <w:top w:type="dxa" w:w="100"/>
              <w:left w:type="dxa" w:w="150"/>
              <w:bottom w:type="dxa" w:w="100"/>
              <w:right w:type="dxa" w:w="150"/>
            </w:tcMar>
            <w:vAlign w:val="center"/>
          </w:tcPr>
          <w:p>
            <w:r>
              <w:rPr>
                <w:rFonts w:ascii="IBM Plex Sans" w:cs="IBM Plex Sans" w:eastAsia="IBM Plex Sans" w:hAnsi="IBM Plex Sans"/>
                <w:b/>
                <w:bCs/>
                <w:color w:val="334155"/>
                <w:sz w:val="19"/>
                <w:szCs w:val="19"/>
              </w:rPr>
              <w:t xml:space="preserve">Disease (En)</w:t>
            </w:r>
          </w:p>
        </w:tc>
        <w:tc>
          <w:tcPr>
            <w:tcW w:type="dxa" w:w="6300"/>
            <w:tcMar>
              <w:top w:type="dxa" w:w="100"/>
              <w:left w:type="dxa" w:w="150"/>
              <w:bottom w:type="dxa" w:w="100"/>
              <w:right w:type="dxa" w:w="150"/>
            </w:tcMar>
            <w:vAlign w:val="center"/>
          </w:tcPr>
          <w:p>
            <w:r>
              <w:rPr>
                <w:rFonts w:ascii="IBM Plex Mono" w:cs="IBM Plex Mono" w:eastAsia="IBM Plex Mono" w:hAnsi="IBM Plex Mono"/>
                <w:color w:val="334155"/>
                <w:sz w:val="19"/>
                <w:szCs w:val="19"/>
              </w:rPr>
              <w:t xml:space="preserve">Vaginitis</w:t>
            </w:r>
          </w:p>
        </w:tc>
      </w:tr>
      <w:tr>
        <w:tc>
          <w:tcPr>
            <w:tcW w:type="dxa" w:w="3200"/>
            <w:shd w:fill="F8FAFC" w:val="clear"/>
            <w:tcMar>
              <w:top w:type="dxa" w:w="100"/>
              <w:left w:type="dxa" w:w="150"/>
              <w:bottom w:type="dxa" w:w="100"/>
              <w:right w:type="dxa" w:w="150"/>
            </w:tcMar>
            <w:vAlign w:val="center"/>
          </w:tcPr>
          <w:p>
            <w:r>
              <w:rPr>
                <w:rFonts w:ascii="IBM Plex Sans" w:cs="IBM Plex Sans" w:eastAsia="IBM Plex Sans" w:hAnsi="IBM Plex Sans"/>
                <w:b/>
                <w:bCs/>
                <w:color w:val="334155"/>
                <w:sz w:val="19"/>
                <w:szCs w:val="19"/>
              </w:rPr>
              <w:t xml:space="preserve">ICD-10</w:t>
            </w:r>
          </w:p>
        </w:tc>
        <w:tc>
          <w:tcPr>
            <w:tcW w:type="dxa" w:w="6300"/>
            <w:tcMar>
              <w:top w:type="dxa" w:w="100"/>
              <w:left w:type="dxa" w:w="150"/>
              <w:bottom w:type="dxa" w:w="100"/>
              <w:right w:type="dxa" w:w="150"/>
            </w:tcMar>
            <w:vAlign w:val="center"/>
          </w:tcPr>
          <w:p>
            <w:r>
              <w:rPr>
                <w:rFonts w:ascii="IBM Plex Mono" w:cs="IBM Plex Mono" w:eastAsia="IBM Plex Mono" w:hAnsi="IBM Plex Mono"/>
                <w:color w:val="334155"/>
                <w:sz w:val="19"/>
                <w:szCs w:val="19"/>
              </w:rPr>
              <w:t xml:space="preserve">N76.0</w:t>
            </w:r>
          </w:p>
        </w:tc>
      </w:tr>
      <w:tr>
        <w:tc>
          <w:tcPr>
            <w:tcW w:type="dxa" w:w="3200"/>
            <w:shd w:fill="F8FAFC" w:val="clear"/>
            <w:tcMar>
              <w:top w:type="dxa" w:w="100"/>
              <w:left w:type="dxa" w:w="150"/>
              <w:bottom w:type="dxa" w:w="100"/>
              <w:right w:type="dxa" w:w="150"/>
            </w:tcMar>
            <w:vAlign w:val="center"/>
          </w:tcPr>
          <w:p>
            <w:r>
              <w:rPr>
                <w:rFonts w:ascii="IBM Plex Sans" w:cs="IBM Plex Sans" w:eastAsia="IBM Plex Sans" w:hAnsi="IBM Plex Sans"/>
                <w:b/>
                <w:bCs/>
                <w:color w:val="334155"/>
                <w:sz w:val="19"/>
                <w:szCs w:val="19"/>
              </w:rPr>
              <w:t xml:space="preserve">ICD-11</w:t>
            </w:r>
          </w:p>
        </w:tc>
        <w:tc>
          <w:tcPr>
            <w:tcW w:type="dxa" w:w="6300"/>
            <w:tcMar>
              <w:top w:type="dxa" w:w="100"/>
              <w:left w:type="dxa" w:w="150"/>
              <w:bottom w:type="dxa" w:w="100"/>
              <w:right w:type="dxa" w:w="150"/>
            </w:tcMar>
            <w:vAlign w:val="center"/>
          </w:tcPr>
          <w:p>
            <w:r>
              <w:rPr>
                <w:rFonts w:ascii="IBM Plex Mono" w:cs="IBM Plex Mono" w:eastAsia="IBM Plex Mono" w:hAnsi="IBM Plex Mono"/>
                <w:color w:val="334155"/>
                <w:sz w:val="19"/>
                <w:szCs w:val="19"/>
              </w:rPr>
              <w:t xml:space="preserve">GA02</w:t>
            </w:r>
          </w:p>
        </w:tc>
      </w:tr>
      <w:tr>
        <w:tc>
          <w:tcPr>
            <w:tcW w:type="dxa" w:w="3200"/>
            <w:shd w:fill="F8FAFC" w:val="clear"/>
            <w:tcMar>
              <w:top w:type="dxa" w:w="100"/>
              <w:left w:type="dxa" w:w="150"/>
              <w:bottom w:type="dxa" w:w="100"/>
              <w:right w:type="dxa" w:w="150"/>
            </w:tcMar>
            <w:vAlign w:val="center"/>
          </w:tcPr>
          <w:p>
            <w:r>
              <w:rPr>
                <w:rFonts w:ascii="IBM Plex Sans" w:cs="IBM Plex Sans" w:eastAsia="IBM Plex Sans" w:hAnsi="IBM Plex Sans"/>
                <w:b/>
                <w:bCs/>
                <w:color w:val="334155"/>
                <w:sz w:val="19"/>
                <w:szCs w:val="19"/>
              </w:rPr>
              <w:t xml:space="preserve">Keterangan/Populasi</w:t>
            </w:r>
          </w:p>
        </w:tc>
        <w:tc>
          <w:tcPr>
            <w:tcW w:type="dxa" w:w="6300"/>
            <w:tcMar>
              <w:top w:type="dxa" w:w="100"/>
              <w:left w:type="dxa" w:w="150"/>
              <w:bottom w:type="dxa" w:w="100"/>
              <w:right w:type="dxa" w:w="150"/>
            </w:tcMar>
            <w:vAlign w:val="center"/>
          </w:tcPr>
          <w:p>
            <w:r>
              <w:rPr>
                <w:rFonts w:ascii="IBM Plex Mono" w:cs="IBM Plex Mono" w:eastAsia="IBM Plex Mono" w:hAnsi="IBM Plex Mono"/>
                <w:color w:val="334155"/>
                <w:sz w:val="19"/>
                <w:szCs w:val="19"/>
              </w:rPr>
              <w:t xml:space="preserve">Inflamasi vagina</w:t>
            </w:r>
          </w:p>
        </w:tc>
      </w:tr>
      <w:tr>
        <w:tc>
          <w:tcPr>
            <w:tcW w:type="dxa" w:w="3200"/>
            <w:shd w:fill="F8FAFC" w:val="clear"/>
            <w:tcMar>
              <w:top w:type="dxa" w:w="100"/>
              <w:left w:type="dxa" w:w="150"/>
              <w:bottom w:type="dxa" w:w="100"/>
              <w:right w:type="dxa" w:w="150"/>
            </w:tcMar>
            <w:vAlign w:val="center"/>
          </w:tcPr>
          <w:p>
            <w:r>
              <w:rPr>
                <w:rFonts w:ascii="IBM Plex Sans" w:cs="IBM Plex Sans" w:eastAsia="IBM Plex Sans" w:hAnsi="IBM Plex Sans"/>
                <w:b/>
                <w:bCs/>
                <w:color w:val="334155"/>
                <w:sz w:val="19"/>
                <w:szCs w:val="19"/>
              </w:rPr>
              <w:t xml:space="preserve">Buku Tematik Induk</w:t>
            </w:r>
          </w:p>
        </w:tc>
        <w:tc>
          <w:tcPr>
            <w:tcW w:type="dxa" w:w="6300"/>
            <w:tcMar>
              <w:top w:type="dxa" w:w="100"/>
              <w:left w:type="dxa" w:w="150"/>
              <w:bottom w:type="dxa" w:w="100"/>
              <w:right w:type="dxa" w:w="150"/>
            </w:tcMar>
            <w:vAlign w:val="center"/>
          </w:tcPr>
          <w:p>
            <w:r>
              <w:rPr>
                <w:rFonts w:ascii="IBM Plex Mono" w:cs="IBM Plex Mono" w:eastAsia="IBM Plex Mono" w:hAnsi="IBM Plex Mono"/>
                <w:color w:val="334155"/>
                <w:sz w:val="19"/>
                <w:szCs w:val="19"/>
              </w:rPr>
              <w:t xml:space="preserve">B6 — Ginekologi Umum dan Infeksi Saluran Reproduksi</w:t>
            </w:r>
          </w:p>
        </w:tc>
      </w:tr>
      <w:tr>
        <w:tc>
          <w:tcPr>
            <w:tcW w:type="dxa" w:w="3200"/>
            <w:shd w:fill="F8FAFC" w:val="clear"/>
            <w:tcMar>
              <w:top w:type="dxa" w:w="100"/>
              <w:left w:type="dxa" w:w="150"/>
              <w:bottom w:type="dxa" w:w="100"/>
              <w:right w:type="dxa" w:w="150"/>
            </w:tcMar>
            <w:vAlign w:val="center"/>
          </w:tcPr>
          <w:p>
            <w:r>
              <w:rPr>
                <w:rFonts w:ascii="IBM Plex Sans" w:cs="IBM Plex Sans" w:eastAsia="IBM Plex Sans" w:hAnsi="IBM Plex Sans"/>
                <w:b/>
                <w:bCs/>
                <w:color w:val="334155"/>
                <w:sz w:val="19"/>
                <w:szCs w:val="19"/>
              </w:rPr>
              <w:t xml:space="preserve">Divisi Pengampu</w:t>
            </w:r>
          </w:p>
        </w:tc>
        <w:tc>
          <w:tcPr>
            <w:tcW w:type="dxa" w:w="6300"/>
            <w:tcMar>
              <w:top w:type="dxa" w:w="100"/>
              <w:left w:type="dxa" w:w="150"/>
              <w:bottom w:type="dxa" w:w="100"/>
              <w:right w:type="dxa" w:w="150"/>
            </w:tcMar>
            <w:vAlign w:val="center"/>
          </w:tcPr>
          <w:p>
            <w:r>
              <w:rPr>
                <w:rFonts w:ascii="IBM Plex Mono" w:cs="IBM Plex Mono" w:eastAsia="IBM Plex Mono" w:hAnsi="IBM Plex Mono"/>
                <w:color w:val="334155"/>
                <w:sz w:val="19"/>
                <w:szCs w:val="19"/>
              </w:rPr>
              <w:t xml:space="preserve">Obstetri Ginekologi Sosial</w:t>
            </w:r>
          </w:p>
        </w:tc>
      </w:tr>
    </w:tbl>
    <w:p>
      <w:pPr>
        <w:spacing w:before="400"/>
      </w:pPr>
    </w:p>
    <w:p>
      <w:pPr>
        <w:pBdr>
          <w:top w:val="single" w:color="CBD5E1" w:sz="4" w:space="8"/>
        </w:pBdr>
        <w:spacing w:after="80" w:before="200"/>
      </w:pPr>
      <w:r>
        <w:rPr>
          <w:rFonts w:ascii="IBM Plex Sans" w:cs="IBM Plex Sans" w:eastAsia="IBM Plex Sans" w:hAnsi="IBM Plex Sans"/>
          <w:b/>
          <w:bCs/>
          <w:color w:val="334155"/>
          <w:sz w:val="19"/>
          <w:szCs w:val="19"/>
        </w:rPr>
        <w:t xml:space="preserve">Dr.dr. Budi Siswanto, Sp.OG., Subsp.Obginsos., SH., S.Kom.</w:t>
      </w:r>
    </w:p>
    <w:p>
      <w:pPr>
        <w:spacing w:after="40"/>
      </w:pPr>
      <w:r>
        <w:rPr>
          <w:rFonts w:ascii="IBM Plex Sans" w:cs="IBM Plex Sans" w:eastAsia="IBM Plex Sans" w:hAnsi="IBM Plex Sans"/>
          <w:color w:val="64748B"/>
          <w:sz w:val="18"/>
          <w:szCs w:val="18"/>
        </w:rPr>
        <w:t xml:space="preserve">Penerbit: Perpustakaan Digital ABBA</w:t>
      </w:r>
    </w:p>
    <w:p>
      <w:pPr>
        <w:spacing w:after="40"/>
      </w:pPr>
      <w:r>
        <w:rPr>
          <w:rFonts w:ascii="IBM Plex Sans" w:cs="IBM Plex Sans" w:eastAsia="IBM Plex Sans" w:hAnsi="IBM Plex Sans"/>
          <w:color w:val="64748B"/>
          <w:sz w:val="18"/>
          <w:szCs w:val="18"/>
        </w:rPr>
        <w:t xml:space="preserve">Alamat: Jl. Kerinci Raya No. 9, Malang 65138</w:t>
      </w:r>
    </w:p>
    <w:p>
      <w:r>
        <w:rPr>
          <w:rFonts w:ascii="IBM Plex Sans" w:cs="IBM Plex Sans" w:eastAsia="IBM Plex Sans" w:hAnsi="IBM Plex Sans"/>
          <w:color w:val="64748B"/>
          <w:sz w:val="18"/>
          <w:szCs w:val="18"/>
        </w:rPr>
        <w:t xml:space="preserve">Edisi Agustus 2026</w:t>
      </w:r>
    </w:p>
    <w:p>
      <w:r>
        <w:br w:type="page"/>
      </w:r>
    </w:p>
    <w:p>
      <w:pPr>
        <w:pStyle w:val="Heading1"/>
        <w:pBdr>
          <w:bottom w:val="single" w:color="B45309" w:sz="6" w:space="4"/>
        </w:pBdr>
        <w:spacing w:after="140" w:before="360"/>
      </w:pPr>
      <w:r>
        <w:rPr>
          <w:rFonts w:ascii="Source Serif 4" w:cs="Source Serif 4" w:eastAsia="Source Serif 4" w:hAnsi="Source Serif 4"/>
          <w:b/>
          <w:bCs/>
          <w:color w:val="4F46E5"/>
          <w:sz w:val="27"/>
          <w:szCs w:val="27"/>
        </w:rPr>
        <w:t xml:space="preserve">Daftar Isi</w:t>
      </w:r>
    </w:p>
    <w:sdt>
      <w:sdtPr>
        <w:alias w:val="Daftar Isi"/>
      </w:sdtPr>
      <w:sdtContent>
        <w:p>
          <w:r>
            <w:fldChar w:fldCharType="begin" w:dirty="true"/>
            <w:instrText xml:space="preserve">TOC \h \o "1-3"</w:instrText>
            <w:fldChar w:fldCharType="separate"/>
          </w:r>
        </w:p>
        <w:p>
          <w:r>
            <w:fldChar w:fldCharType="end"/>
          </w:r>
        </w:p>
      </w:sdtContent>
    </w:sdt>
    <w:p>
      <w:r>
        <w:br w:type="page"/>
      </w:r>
    </w:p>
    <w:p>
      <w:pPr>
        <w:pStyle w:val="Heading1"/>
        <w:pBdr>
          <w:bottom w:val="single" w:color="B45309" w:sz="6" w:space="4"/>
        </w:pBdr>
        <w:spacing w:after="140" w:before="360"/>
      </w:pPr>
      <w:r>
        <w:rPr>
          <w:rFonts w:ascii="Source Serif 4" w:cs="Source Serif 4" w:eastAsia="Source Serif 4" w:hAnsi="Source Serif 4"/>
          <w:b/>
          <w:bCs/>
          <w:color w:val="4F46E5"/>
          <w:sz w:val="27"/>
          <w:szCs w:val="27"/>
        </w:rPr>
        <w:t xml:space="preserve">1. Pengertian/Definisi</w:t>
      </w:r>
    </w:p>
    <w:tbl>
      <w:tblPr>
        <w:tblW w:type="pct" w:w="100%"/>
        <w:tblBorders>
          <w:top w:val="single" w:color="4F46E5" w:sz="4"/>
          <w:left w:val="single" w:color="4F46E5" w:sz="24"/>
          <w:bottom w:val="single" w:color="4F46E5" w:sz="4"/>
          <w:right w:val="single" w:color="4F46E5" w:sz="4"/>
          <w:insideH w:val="single" w:color="auto" w:sz="4"/>
          <w:insideV w:val="single" w:color="auto" w:sz="4"/>
        </w:tblBorders>
      </w:tblPr>
      <w:tblGrid>
        <w:gridCol w:w="100"/>
      </w:tblGrid>
      <w:tr>
        <w:tc>
          <w:tcPr>
            <w:shd w:fill="EEF2FF" w:val="clear"/>
            <w:tcMar>
              <w:top w:type="dxa" w:w="160"/>
              <w:left w:type="dxa" w:w="220"/>
              <w:bottom w:type="dxa" w:w="160"/>
              <w:right w:type="dxa" w:w="220"/>
            </w:tcMar>
          </w:tcPr>
          <w:p>
            <w:pPr>
              <w:spacing w:after="60"/>
            </w:pPr>
            <w:r>
              <w:rPr>
                <w:rFonts w:ascii="IBM Plex Sans" w:cs="IBM Plex Sans" w:eastAsia="IBM Plex Sans" w:hAnsi="IBM Plex Sans"/>
                <w:b/>
                <w:bCs/>
                <w:color w:val="4F46E5"/>
                <w:sz w:val="20"/>
                <w:szCs w:val="20"/>
              </w:rPr>
              <w:t xml:space="preserve">Dasar Regulasi</w:t>
            </w:r>
          </w:p>
          <w:p>
            <w:pPr>
              <w:spacing w:after="0" w:line="280"/>
              <w:jc w:val="both"/>
            </w:pPr>
            <w:r>
              <w:rPr>
                <w:rFonts w:ascii="IBM Plex Sans" w:cs="IBM Plex Sans" w:eastAsia="IBM Plex Sans" w:hAnsi="IBM Plex Sans"/>
                <w:color w:val="334155"/>
                <w:sz w:val="20"/>
                <w:szCs w:val="20"/>
              </w:rPr>
              <w:t xml:space="preserve">Kepkonsil No. HK.01.02/KKI/1318/2026, Tabel 7 (Daftar Penyakit Area Kompetensi), baris No. 42: Nama Penyakit (Id) “Vaginitis”, Disease (En) “Vaginitis”, ICD-10 N76.0, ICD-11 GA02, Keterangan/Populasi “Inflamasi vagina”. Definisi operasional istilah pada lampiran Kepkonsil (hlm. 516): peradangan vagina ditandai keputihan, gatal, nyeri, atau dispareunia, dengan penyebab umum vaginosis bakterialis, kandidiasis, dan trikomoniasis.</w:t>
            </w:r>
          </w:p>
        </w:tc>
      </w:tr>
    </w:tbl>
    <w:p>
      <w:pPr>
        <w:spacing w:after="120"/>
      </w:pPr>
    </w:p>
    <w:p>
      <w:pPr>
        <w:spacing w:after="160" w:line="300"/>
        <w:jc w:val="both"/>
      </w:pPr>
      <w:r>
        <w:rPr>
          <w:rFonts w:ascii="IBM Plex Sans" w:cs="IBM Plex Sans" w:eastAsia="IBM Plex Sans" w:hAnsi="IBM Plex Sans"/>
          <w:color w:val="334155"/>
          <w:sz w:val="21"/>
          <w:szCs w:val="21"/>
        </w:rPr>
        <w:t xml:space="preserve">PPK ini merupakan turunan operasional dari bab infeksi saluran reproduksi bawah dan duh vagina pada Buku Tematik B6 — Ginekologi Umum dan Infeksi Saluran Reproduksi.</w:t>
      </w:r>
    </w:p>
    <w:p>
      <w:pPr>
        <w:spacing w:after="160" w:line="300"/>
        <w:jc w:val="both"/>
      </w:pPr>
      <w:r>
        <w:rPr>
          <w:rFonts w:ascii="IBM Plex Sans" w:cs="IBM Plex Sans" w:eastAsia="IBM Plex Sans" w:hAnsi="IBM Plex Sans"/>
          <w:color w:val="334155"/>
          <w:sz w:val="21"/>
          <w:szCs w:val="21"/>
        </w:rPr>
        <w:t xml:space="preserve">Vaginitis (vaginitis) adalah peradangan pada mukosa vagina yang secara klinis ditandai oleh keputihan (vaginal discharge) yang berubah dari kondisi fisiologis, rasa gatal atau iritasi (pruritus), nyeri, dan/atau nyeri saat berhubungan seksual (dispareunia). Sesuai Kepkonsil Tabel 7 No. 42, entri ini tercatat dengan kode ICD-10 N76.0 dan ICD-11 GA02.</w:t>
      </w:r>
    </w:p>
    <w:p>
      <w:pPr>
        <w:pStyle w:val="Heading2"/>
        <w:spacing w:after="140" w:before="240"/>
      </w:pPr>
      <w:r>
        <w:rPr>
          <w:rFonts w:ascii="Source Serif 4" w:cs="Source Serif 4" w:eastAsia="Source Serif 4" w:hAnsi="Source Serif 4"/>
          <w:b/>
          <w:bCs/>
          <w:color w:val="1E1B4B"/>
          <w:sz w:val="24"/>
          <w:szCs w:val="24"/>
        </w:rPr>
        <w:t xml:space="preserve">1.1 Klasifikasi dan Etiologi</w:t>
      </w:r>
    </w:p>
    <w:p>
      <w:pPr>
        <w:spacing w:after="160" w:line="300"/>
        <w:jc w:val="both"/>
      </w:pPr>
      <w:r>
        <w:rPr>
          <w:rFonts w:ascii="IBM Plex Sans" w:cs="IBM Plex Sans" w:eastAsia="IBM Plex Sans" w:hAnsi="IBM Plex Sans"/>
          <w:color w:val="334155"/>
          <w:sz w:val="21"/>
          <w:szCs w:val="21"/>
        </w:rPr>
        <w:t xml:space="preserve">Tiga penyebab tersering vaginitis adalah vaginosis bakterialis (bacterial vaginosis), yaitu disbiosis mikrobiota vagina berupa penurunan populasi Lactobacillus dan peningkatan bakteri anaerob; kandidiasis vulvovaginal (vulvovaginal candidiasis), yaitu pertumbuhan berlebih jamur Candida spp., terutama Candida albicans; dan trikomoniasis (trichomoniasis), yaitu infeksi protozoa Trichomonas vaginalis yang tergolong infeksi menular seksual (IMS). Vaginosis bakterialis dan kandidiasis vulvovaginal secara konvensional tidak digolongkan sebagai IMS, meskipun keduanya dapat berkaitan dengan aktivitas seksual.</w:t>
      </w:r>
    </w:p>
    <w:p>
      <w:pPr>
        <w:spacing w:after="160" w:line="300"/>
        <w:jc w:val="both"/>
      </w:pPr>
      <w:r>
        <w:rPr>
          <w:rFonts w:ascii="IBM Plex Sans" w:cs="IBM Plex Sans" w:eastAsia="IBM Plex Sans" w:hAnsi="IBM Plex Sans"/>
          <w:color w:val="334155"/>
          <w:sz w:val="21"/>
          <w:szCs w:val="21"/>
        </w:rPr>
        <w:t xml:space="preserve">Pada populasi dengan hipoestrogenisme — pascamenopause, pascasalin dengan laktasi eksklusif, atau pascaooforektomi — dapat pula dijumpai vaginitis atrofik (atrophic vaginitis) yang bersifat non-infeksius akibat penipisan dan kekeringan mukosa vagina. Penyebab lain yang lebih jarang meliputi vaginitis inflamatorik deskuamativa dan vaginitis iritan/alergi akibat bahan kimia lokal.</w:t>
      </w:r>
    </w:p>
    <w:p>
      <w:pPr>
        <w:pStyle w:val="Heading2"/>
        <w:spacing w:after="140" w:before="240"/>
      </w:pPr>
      <w:r>
        <w:rPr>
          <w:rFonts w:ascii="Source Serif 4" w:cs="Source Serif 4" w:eastAsia="Source Serif 4" w:hAnsi="Source Serif 4"/>
          <w:b/>
          <w:bCs/>
          <w:color w:val="1E1B4B"/>
          <w:sz w:val="24"/>
          <w:szCs w:val="24"/>
        </w:rPr>
        <w:t xml:space="preserve">1.2 Epidemiologi dan Beban Penyakit</w:t>
      </w:r>
    </w:p>
    <w:p>
      <w:pPr>
        <w:spacing w:after="160" w:line="300"/>
        <w:jc w:val="both"/>
      </w:pPr>
      <w:r>
        <w:rPr>
          <w:rFonts w:ascii="IBM Plex Sans" w:cs="IBM Plex Sans" w:eastAsia="IBM Plex Sans" w:hAnsi="IBM Plex Sans"/>
          <w:color w:val="334155"/>
          <w:sz w:val="21"/>
          <w:szCs w:val="21"/>
        </w:rPr>
        <w:t xml:space="preserve">Vaginosis bakterialis merupakan penyebab keputihan tersering pada perempuan usia reproduksi di tingkat global. Menurut tinjauan sistematis dan meta-analisis terbaru yang dirujuk WHO, prevalensi vaginosis bakterialis pada perempuan usia reproduksi berkisar 23–29% dan bervariasi antarwilayah serta kelompok populasi. Untuk trikomoniasis, WHO memperkirakan sekitar 156,3 juta kasus baru Trichomonas vaginalis terjadi secara global pada kelompok usia 15–49 tahun sepanjang tahun 2020. Kandidiasis vulvovaginal diperkirakan dialami oleh sebagian besar perempuan setidaknya sekali seumur hidup, dengan sebagian kecil mengalami bentuk rekuren (≥4 episode per tahun). Data epidemiologi spesifik Indonesia belum tercantum eksplisit pada Kepkonsil [DATA: rujuk laporan/registri resmi terbaru — Kemenkes, BKKBN, POGI, atau WHO].</w:t>
      </w:r>
    </w:p>
    <w:p>
      <w:pPr>
        <w:pStyle w:val="Heading1"/>
        <w:pBdr>
          <w:bottom w:val="single" w:color="B45309" w:sz="6" w:space="4"/>
        </w:pBdr>
        <w:spacing w:after="140" w:before="360"/>
      </w:pPr>
      <w:r>
        <w:rPr>
          <w:rFonts w:ascii="Source Serif 4" w:cs="Source Serif 4" w:eastAsia="Source Serif 4" w:hAnsi="Source Serif 4"/>
          <w:b/>
          <w:bCs/>
          <w:color w:val="4F46E5"/>
          <w:sz w:val="27"/>
          <w:szCs w:val="27"/>
        </w:rPr>
        <w:t xml:space="preserve">2. Anamnesis</w:t>
      </w:r>
    </w:p>
    <w:p>
      <w:pPr>
        <w:spacing w:after="160" w:line="300"/>
        <w:jc w:val="both"/>
      </w:pPr>
      <w:r>
        <w:rPr>
          <w:rFonts w:ascii="IBM Plex Sans" w:cs="IBM Plex Sans" w:eastAsia="IBM Plex Sans" w:hAnsi="IBM Plex Sans"/>
          <w:color w:val="334155"/>
          <w:sz w:val="21"/>
          <w:szCs w:val="21"/>
        </w:rPr>
        <w:t xml:space="preserve">Anamnesis terarah bertujuan membedakan etiologi vaginitis serta menyingkirkan diagnosis banding yang memerlukan tata laksana berbeda.</w:t>
      </w:r>
    </w:p>
    <w:p>
      <w:pPr>
        <w:pStyle w:val="ListParagraph"/>
        <w:numPr>
          <w:ilvl w:val="0"/>
          <w:numId w:val="2"/>
        </w:numPr>
        <w:spacing w:after="90" w:line="290"/>
      </w:pPr>
      <w:r>
        <w:rPr>
          <w:rFonts w:ascii="IBM Plex Sans" w:cs="IBM Plex Sans" w:eastAsia="IBM Plex Sans" w:hAnsi="IBM Plex Sans"/>
          <w:color w:val="334155"/>
          <w:sz w:val="21"/>
          <w:szCs w:val="21"/>
        </w:rPr>
        <w:t xml:space="preserve">Karakteristik duh vagina: jumlah, warna, konsistensi (homogen, kental seperti keju/cottage-cheese, atau berbusa), dan ada tidaknya bau amis (fishy odor).</w:t>
      </w:r>
    </w:p>
    <w:p>
      <w:pPr>
        <w:pStyle w:val="ListParagraph"/>
        <w:numPr>
          <w:ilvl w:val="0"/>
          <w:numId w:val="2"/>
        </w:numPr>
        <w:spacing w:after="90" w:line="290"/>
      </w:pPr>
      <w:r>
        <w:rPr>
          <w:rFonts w:ascii="IBM Plex Sans" w:cs="IBM Plex Sans" w:eastAsia="IBM Plex Sans" w:hAnsi="IBM Plex Sans"/>
          <w:color w:val="334155"/>
          <w:sz w:val="21"/>
          <w:szCs w:val="21"/>
        </w:rPr>
        <w:t xml:space="preserve">Rasa gatal, panas, atau iritasi pada vulva dan vagina.</w:t>
      </w:r>
    </w:p>
    <w:p>
      <w:pPr>
        <w:pStyle w:val="ListParagraph"/>
        <w:numPr>
          <w:ilvl w:val="0"/>
          <w:numId w:val="2"/>
        </w:numPr>
        <w:spacing w:after="90" w:line="290"/>
      </w:pPr>
      <w:r>
        <w:rPr>
          <w:rFonts w:ascii="IBM Plex Sans" w:cs="IBM Plex Sans" w:eastAsia="IBM Plex Sans" w:hAnsi="IBM Plex Sans"/>
          <w:color w:val="334155"/>
          <w:sz w:val="21"/>
          <w:szCs w:val="21"/>
        </w:rPr>
        <w:t xml:space="preserve">Nyeri saat berkemih (disuria eksterna bila urin mengenai mukosa yang teriritasi) dan dispareunia.</w:t>
      </w:r>
    </w:p>
    <w:p>
      <w:pPr>
        <w:pStyle w:val="ListParagraph"/>
        <w:numPr>
          <w:ilvl w:val="0"/>
          <w:numId w:val="2"/>
        </w:numPr>
        <w:spacing w:after="90" w:line="290"/>
      </w:pPr>
      <w:r>
        <w:rPr>
          <w:rFonts w:ascii="IBM Plex Sans" w:cs="IBM Plex Sans" w:eastAsia="IBM Plex Sans" w:hAnsi="IBM Plex Sans"/>
          <w:color w:val="334155"/>
          <w:sz w:val="21"/>
          <w:szCs w:val="21"/>
        </w:rPr>
        <w:t xml:space="preserve">Onset, durasi, sifat berulang (recurrent), serta hubungan dengan siklus haid.</w:t>
      </w:r>
    </w:p>
    <w:p>
      <w:pPr>
        <w:pStyle w:val="ListParagraph"/>
        <w:numPr>
          <w:ilvl w:val="0"/>
          <w:numId w:val="2"/>
        </w:numPr>
        <w:spacing w:after="90" w:line="290"/>
      </w:pPr>
      <w:r>
        <w:rPr>
          <w:rFonts w:ascii="IBM Plex Sans" w:cs="IBM Plex Sans" w:eastAsia="IBM Plex Sans" w:hAnsi="IBM Plex Sans"/>
          <w:color w:val="334155"/>
          <w:sz w:val="21"/>
          <w:szCs w:val="21"/>
        </w:rPr>
        <w:t xml:space="preserve">Riwayat aktivitas seksual, jumlah/penggantian pasangan, dan penggunaan kondom.</w:t>
      </w:r>
    </w:p>
    <w:p>
      <w:pPr>
        <w:pStyle w:val="ListParagraph"/>
        <w:numPr>
          <w:ilvl w:val="0"/>
          <w:numId w:val="2"/>
        </w:numPr>
        <w:spacing w:after="90" w:line="290"/>
      </w:pPr>
      <w:r>
        <w:rPr>
          <w:rFonts w:ascii="IBM Plex Sans" w:cs="IBM Plex Sans" w:eastAsia="IBM Plex Sans" w:hAnsi="IBM Plex Sans"/>
          <w:color w:val="334155"/>
          <w:sz w:val="21"/>
          <w:szCs w:val="21"/>
        </w:rPr>
        <w:t xml:space="preserve">Riwayat douching, penggunaan sabun/pewangi vagina, deterjen, atau produk higiene intim lain.</w:t>
      </w:r>
    </w:p>
    <w:p>
      <w:pPr>
        <w:pStyle w:val="ListParagraph"/>
        <w:numPr>
          <w:ilvl w:val="0"/>
          <w:numId w:val="2"/>
        </w:numPr>
        <w:spacing w:after="90" w:line="290"/>
      </w:pPr>
      <w:r>
        <w:rPr>
          <w:rFonts w:ascii="IBM Plex Sans" w:cs="IBM Plex Sans" w:eastAsia="IBM Plex Sans" w:hAnsi="IBM Plex Sans"/>
          <w:color w:val="334155"/>
          <w:sz w:val="21"/>
          <w:szCs w:val="21"/>
        </w:rPr>
        <w:t xml:space="preserve">Riwayat pemakaian antibiotik spektrum luas terbaru, kontrasepsi hormonal, dan status kehamilan.</w:t>
      </w:r>
    </w:p>
    <w:p>
      <w:pPr>
        <w:pStyle w:val="ListParagraph"/>
        <w:numPr>
          <w:ilvl w:val="0"/>
          <w:numId w:val="2"/>
        </w:numPr>
        <w:spacing w:after="90" w:line="290"/>
      </w:pPr>
      <w:r>
        <w:rPr>
          <w:rFonts w:ascii="IBM Plex Sans" w:cs="IBM Plex Sans" w:eastAsia="IBM Plex Sans" w:hAnsi="IBM Plex Sans"/>
          <w:color w:val="334155"/>
          <w:sz w:val="21"/>
          <w:szCs w:val="21"/>
        </w:rPr>
        <w:t xml:space="preserve">Riwayat diabetes melitus, kondisi imunosupresi, atau terapi kortikosteroid jangka panjang.</w:t>
      </w:r>
    </w:p>
    <w:p>
      <w:pPr>
        <w:pStyle w:val="ListParagraph"/>
        <w:numPr>
          <w:ilvl w:val="0"/>
          <w:numId w:val="2"/>
        </w:numPr>
        <w:spacing w:after="90" w:line="290"/>
      </w:pPr>
      <w:r>
        <w:rPr>
          <w:rFonts w:ascii="IBM Plex Sans" w:cs="IBM Plex Sans" w:eastAsia="IBM Plex Sans" w:hAnsi="IBM Plex Sans"/>
          <w:color w:val="334155"/>
          <w:sz w:val="21"/>
          <w:szCs w:val="21"/>
        </w:rPr>
        <w:t xml:space="preserve">Status menopause dan riwayat terapi hormon.</w:t>
      </w:r>
    </w:p>
    <w:p>
      <w:pPr>
        <w:pStyle w:val="ListParagraph"/>
        <w:numPr>
          <w:ilvl w:val="0"/>
          <w:numId w:val="2"/>
        </w:numPr>
        <w:spacing w:after="90" w:line="290"/>
      </w:pPr>
      <w:r>
        <w:rPr>
          <w:rFonts w:ascii="IBM Plex Sans" w:cs="IBM Plex Sans" w:eastAsia="IBM Plex Sans" w:hAnsi="IBM Plex Sans"/>
          <w:color w:val="334155"/>
          <w:sz w:val="21"/>
          <w:szCs w:val="21"/>
        </w:rPr>
        <w:t xml:space="preserve">Riwayat infeksi menular seksual sebelumnya, pada diri sendiri maupun pasangan.</w:t>
      </w:r>
    </w:p>
    <w:p>
      <w:pPr>
        <w:pStyle w:val="Heading1"/>
        <w:pBdr>
          <w:bottom w:val="single" w:color="B45309" w:sz="6" w:space="4"/>
        </w:pBdr>
        <w:spacing w:after="140" w:before="360"/>
      </w:pPr>
      <w:r>
        <w:rPr>
          <w:rFonts w:ascii="Source Serif 4" w:cs="Source Serif 4" w:eastAsia="Source Serif 4" w:hAnsi="Source Serif 4"/>
          <w:b/>
          <w:bCs/>
          <w:color w:val="4F46E5"/>
          <w:sz w:val="27"/>
          <w:szCs w:val="27"/>
        </w:rPr>
        <w:t xml:space="preserve">3. Pemeriksaan Fisik</w:t>
      </w:r>
    </w:p>
    <w:p>
      <w:pPr>
        <w:spacing w:after="160" w:line="300"/>
        <w:jc w:val="both"/>
      </w:pPr>
      <w:r>
        <w:rPr>
          <w:rFonts w:ascii="IBM Plex Sans" w:cs="IBM Plex Sans" w:eastAsia="IBM Plex Sans" w:hAnsi="IBM Plex Sans"/>
          <w:color w:val="334155"/>
          <w:sz w:val="21"/>
          <w:szCs w:val="21"/>
        </w:rPr>
        <w:t xml:space="preserve">Pemeriksaan fisik difokuskan pada status generalis singkat serta pemeriksaan ginekologis dengan spekulum untuk menilai karakteristik duh dan mukosa vagina secara langsung.</w:t>
      </w:r>
    </w:p>
    <w:p>
      <w:pPr>
        <w:pStyle w:val="ListParagraph"/>
        <w:numPr>
          <w:ilvl w:val="0"/>
          <w:numId w:val="2"/>
        </w:numPr>
        <w:spacing w:after="90" w:line="290"/>
      </w:pPr>
      <w:r>
        <w:rPr>
          <w:rFonts w:ascii="IBM Plex Sans" w:cs="IBM Plex Sans" w:eastAsia="IBM Plex Sans" w:hAnsi="IBM Plex Sans"/>
          <w:color w:val="334155"/>
          <w:sz w:val="21"/>
          <w:szCs w:val="21"/>
        </w:rPr>
        <w:t xml:space="preserve">Inspeksi vulva: eritema, edema, ekskoriasi akibat garukan, atau fisura.</w:t>
      </w:r>
    </w:p>
    <w:p>
      <w:pPr>
        <w:pStyle w:val="ListParagraph"/>
        <w:numPr>
          <w:ilvl w:val="0"/>
          <w:numId w:val="2"/>
        </w:numPr>
        <w:spacing w:after="90" w:line="290"/>
      </w:pPr>
      <w:r>
        <w:rPr>
          <w:rFonts w:ascii="IBM Plex Sans" w:cs="IBM Plex Sans" w:eastAsia="IBM Plex Sans" w:hAnsi="IBM Plex Sans"/>
          <w:color w:val="334155"/>
          <w:sz w:val="21"/>
          <w:szCs w:val="21"/>
        </w:rPr>
        <w:t xml:space="preserve">Pemeriksaan spekulum: warna dan konsistensi duh vagina, ada tidaknya bau amis, tanda inflamasi dinding vagina, serta gambaran serviks (strawberry cervix dapat dijumpai pada trikomoniasis).</w:t>
      </w:r>
    </w:p>
    <w:p>
      <w:pPr>
        <w:pStyle w:val="ListParagraph"/>
        <w:numPr>
          <w:ilvl w:val="0"/>
          <w:numId w:val="2"/>
        </w:numPr>
        <w:spacing w:after="90" w:line="290"/>
      </w:pPr>
      <w:r>
        <w:rPr>
          <w:rFonts w:ascii="IBM Plex Sans" w:cs="IBM Plex Sans" w:eastAsia="IBM Plex Sans" w:hAnsi="IBM Plex Sans"/>
          <w:color w:val="334155"/>
          <w:sz w:val="21"/>
          <w:szCs w:val="21"/>
        </w:rPr>
        <w:t xml:space="preserve">Pengukuran pH vagina menggunakan kertas indikator pH pada dinding lateral vagina, dijauhkan dari mukus serviks.</w:t>
      </w:r>
    </w:p>
    <w:p>
      <w:pPr>
        <w:pStyle w:val="ListParagraph"/>
        <w:numPr>
          <w:ilvl w:val="0"/>
          <w:numId w:val="2"/>
        </w:numPr>
        <w:spacing w:after="90" w:line="290"/>
      </w:pPr>
      <w:r>
        <w:rPr>
          <w:rFonts w:ascii="IBM Plex Sans" w:cs="IBM Plex Sans" w:eastAsia="IBM Plex Sans" w:hAnsi="IBM Plex Sans"/>
          <w:color w:val="334155"/>
          <w:sz w:val="21"/>
          <w:szCs w:val="21"/>
        </w:rPr>
        <w:t xml:space="preserve">Palpasi bimanual untuk menilai nyeri tekan serviks/adneksa guna menyingkirkan penyakit radang panggul.</w:t>
      </w:r>
    </w:p>
    <w:p>
      <w:pPr>
        <w:pStyle w:val="Heading1"/>
        <w:pBdr>
          <w:bottom w:val="single" w:color="B45309" w:sz="6" w:space="4"/>
        </w:pBdr>
        <w:spacing w:after="140" w:before="360"/>
      </w:pPr>
      <w:r>
        <w:rPr>
          <w:rFonts w:ascii="Source Serif 4" w:cs="Source Serif 4" w:eastAsia="Source Serif 4" w:hAnsi="Source Serif 4"/>
          <w:b/>
          <w:bCs/>
          <w:color w:val="4F46E5"/>
          <w:sz w:val="27"/>
          <w:szCs w:val="27"/>
        </w:rPr>
        <w:t xml:space="preserve">4. Kriteria Diagnosis</w:t>
      </w:r>
    </w:p>
    <w:p>
      <w:pPr>
        <w:spacing w:after="160" w:line="300"/>
        <w:jc w:val="both"/>
      </w:pPr>
      <w:r>
        <w:rPr>
          <w:rFonts w:ascii="IBM Plex Sans" w:cs="IBM Plex Sans" w:eastAsia="IBM Plex Sans" w:hAnsi="IBM Plex Sans"/>
          <w:color w:val="334155"/>
          <w:sz w:val="21"/>
          <w:szCs w:val="21"/>
        </w:rPr>
        <w:t xml:space="preserve">Diagnosis vaginitis ditegakkan berdasarkan kombinasi anamnesis, temuan pemeriksaan fisik, dan pemeriksaan penunjang sederhana di tempat (point-of-care), dengan kode ICD-10 N76.0 dan ICD-11 GA02 sesuai Kepkonsil Tabel 7 No. 42 yang telah diverifikasi ulang terhadap dokumen sumber. Kode etiologi spesifik dapat ditambahkan setelah konfirmasi penyebab, misalnya B37.3 (kandidiasis vulva dan vagina) atau A59.0 (trikomoniasis urogenital) pada ICD-10.</w:t>
      </w:r>
    </w:p>
    <w:p>
      <w:pPr>
        <w:pStyle w:val="ListParagraph"/>
        <w:numPr>
          <w:ilvl w:val="0"/>
          <w:numId w:val="2"/>
        </w:numPr>
        <w:spacing w:after="90" w:line="290"/>
      </w:pPr>
      <w:r>
        <w:rPr>
          <w:rFonts w:ascii="IBM Plex Sans" w:cs="IBM Plex Sans" w:eastAsia="IBM Plex Sans" w:hAnsi="IBM Plex Sans"/>
          <w:color w:val="334155"/>
          <w:sz w:val="21"/>
          <w:szCs w:val="21"/>
        </w:rPr>
        <w:t xml:space="preserve">Vaginosis bakterialis: kriteria Amsel, ditegakkan bila memenuhi ≥3 dari 4 tanda berikut — duh homogen tipis keabuan, pH vagina &gt;4,5, whiff test (uji amin) positif, dan clue cells ≥20% lapang pandang mikroskopik.</w:t>
      </w:r>
    </w:p>
    <w:p>
      <w:pPr>
        <w:pStyle w:val="ListParagraph"/>
        <w:numPr>
          <w:ilvl w:val="0"/>
          <w:numId w:val="2"/>
        </w:numPr>
        <w:spacing w:after="90" w:line="290"/>
      </w:pPr>
      <w:r>
        <w:rPr>
          <w:rFonts w:ascii="IBM Plex Sans" w:cs="IBM Plex Sans" w:eastAsia="IBM Plex Sans" w:hAnsi="IBM Plex Sans"/>
          <w:color w:val="334155"/>
          <w:sz w:val="21"/>
          <w:szCs w:val="21"/>
        </w:rPr>
        <w:t xml:space="preserve">Kandidiasis vulvovaginal: gejala klinis khas disertai hifa/pseudohifa pada sediaan basah KOH 10%, atau kultur jamur positif pada kasus meragukan/rekuren.</w:t>
      </w:r>
    </w:p>
    <w:p>
      <w:pPr>
        <w:pStyle w:val="ListParagraph"/>
        <w:numPr>
          <w:ilvl w:val="0"/>
          <w:numId w:val="2"/>
        </w:numPr>
        <w:spacing w:after="90" w:line="290"/>
      </w:pPr>
      <w:r>
        <w:rPr>
          <w:rFonts w:ascii="IBM Plex Sans" w:cs="IBM Plex Sans" w:eastAsia="IBM Plex Sans" w:hAnsi="IBM Plex Sans"/>
          <w:color w:val="334155"/>
          <w:sz w:val="21"/>
          <w:szCs w:val="21"/>
        </w:rPr>
        <w:t xml:space="preserve">Trikomoniasis: ditemukan Trichomonas vaginalis motil pada sediaan basah salin (sensitivitas terbatas), atau hasil positif NAAT/tes antigen cepat bila tersedia.</w:t>
      </w:r>
    </w:p>
    <w:p>
      <w:pPr>
        <w:pStyle w:val="ListParagraph"/>
        <w:numPr>
          <w:ilvl w:val="0"/>
          <w:numId w:val="2"/>
        </w:numPr>
        <w:spacing w:after="90" w:line="290"/>
      </w:pPr>
      <w:r>
        <w:rPr>
          <w:rFonts w:ascii="IBM Plex Sans" w:cs="IBM Plex Sans" w:eastAsia="IBM Plex Sans" w:hAnsi="IBM Plex Sans"/>
          <w:color w:val="334155"/>
          <w:sz w:val="21"/>
          <w:szCs w:val="21"/>
        </w:rPr>
        <w:t xml:space="preserve">Vaginitis atrofik: gejala klinis pada konteks hipoestrogenisme, pH vagina meningkat (&gt;5), tanpa bukti infeksi pada mikroskopik.</w:t>
      </w:r>
    </w:p>
    <w:p>
      <w:pPr>
        <w:spacing w:after="100" w:before="100"/>
      </w:pPr>
      <w:r>
        <w:rPr>
          <w:rFonts w:ascii="IBM Plex Sans" w:cs="IBM Plex Sans" w:eastAsia="IBM Plex Sans" w:hAnsi="IBM Plex Sans"/>
          <w:b/>
          <w:bCs/>
          <w:i/>
          <w:iCs/>
          <w:color w:val="B45309"/>
          <w:sz w:val="19"/>
          <w:szCs w:val="19"/>
        </w:rPr>
        <w:t xml:space="preserve">Tabel 1. Perbandingan Karakteristik Tiga Penyebab Vaginitis Tersering</w:t>
      </w:r>
    </w:p>
    <w:tbl>
      <w:tblPr>
        <w:tblW w:type="pct" w:w="100%"/>
        <w:tblBorders>
          <w:top w:val="single" w:color="CBD5E1" w:sz="2"/>
          <w:left w:val="single" w:color="CBD5E1" w:sz="2"/>
          <w:bottom w:val="single" w:color="CBD5E1" w:sz="2"/>
          <w:right w:val="single" w:color="CBD5E1" w:sz="2"/>
          <w:insideH w:val="single" w:color="E2E8F0" w:sz="2"/>
          <w:insideV w:val="single" w:color="E2E8F0" w:sz="2"/>
        </w:tblBorders>
      </w:tblPr>
      <w:tblGrid>
        <w:gridCol w:w="100"/>
        <w:gridCol w:w="100"/>
        <w:gridCol w:w="100"/>
        <w:gridCol w:w="100"/>
      </w:tblGrid>
      <w:tr>
        <w:trPr>
          <w:tblHeader/>
        </w:trPr>
        <w:tc>
          <w:tcPr>
            <w:shd w:fill="4F46E5" w:val="clear"/>
            <w:tcMar>
              <w:top w:type="dxa" w:w="90"/>
              <w:left w:type="dxa" w:w="110"/>
              <w:bottom w:type="dxa" w:w="90"/>
              <w:right w:type="dxa" w:w="110"/>
            </w:tcMar>
            <w:vAlign w:val="center"/>
          </w:tcPr>
          <w:p>
            <w:r>
              <w:rPr>
                <w:rFonts w:ascii="IBM Plex Sans" w:cs="IBM Plex Sans" w:eastAsia="IBM Plex Sans" w:hAnsi="IBM Plex Sans"/>
                <w:b/>
                <w:bCs/>
                <w:color w:val="FFFFFF"/>
                <w:sz w:val="18"/>
                <w:szCs w:val="18"/>
              </w:rPr>
              <w:t xml:space="preserve">Karakteristik</w:t>
            </w:r>
          </w:p>
        </w:tc>
        <w:tc>
          <w:tcPr>
            <w:shd w:fill="4F46E5" w:val="clear"/>
            <w:tcMar>
              <w:top w:type="dxa" w:w="90"/>
              <w:left w:type="dxa" w:w="110"/>
              <w:bottom w:type="dxa" w:w="90"/>
              <w:right w:type="dxa" w:w="110"/>
            </w:tcMar>
            <w:vAlign w:val="center"/>
          </w:tcPr>
          <w:p>
            <w:r>
              <w:rPr>
                <w:rFonts w:ascii="IBM Plex Sans" w:cs="IBM Plex Sans" w:eastAsia="IBM Plex Sans" w:hAnsi="IBM Plex Sans"/>
                <w:b/>
                <w:bCs/>
                <w:color w:val="FFFFFF"/>
                <w:sz w:val="18"/>
                <w:szCs w:val="18"/>
              </w:rPr>
              <w:t xml:space="preserve">Vaginosis Bakterialis</w:t>
            </w:r>
          </w:p>
        </w:tc>
        <w:tc>
          <w:tcPr>
            <w:shd w:fill="4F46E5" w:val="clear"/>
            <w:tcMar>
              <w:top w:type="dxa" w:w="90"/>
              <w:left w:type="dxa" w:w="110"/>
              <w:bottom w:type="dxa" w:w="90"/>
              <w:right w:type="dxa" w:w="110"/>
            </w:tcMar>
            <w:vAlign w:val="center"/>
          </w:tcPr>
          <w:p>
            <w:r>
              <w:rPr>
                <w:rFonts w:ascii="IBM Plex Sans" w:cs="IBM Plex Sans" w:eastAsia="IBM Plex Sans" w:hAnsi="IBM Plex Sans"/>
                <w:b/>
                <w:bCs/>
                <w:color w:val="FFFFFF"/>
                <w:sz w:val="18"/>
                <w:szCs w:val="18"/>
              </w:rPr>
              <w:t xml:space="preserve">Kandidiasis Vulvovaginal</w:t>
            </w:r>
          </w:p>
        </w:tc>
        <w:tc>
          <w:tcPr>
            <w:shd w:fill="4F46E5" w:val="clear"/>
            <w:tcMar>
              <w:top w:type="dxa" w:w="90"/>
              <w:left w:type="dxa" w:w="110"/>
              <w:bottom w:type="dxa" w:w="90"/>
              <w:right w:type="dxa" w:w="110"/>
            </w:tcMar>
            <w:vAlign w:val="center"/>
          </w:tcPr>
          <w:p>
            <w:r>
              <w:rPr>
                <w:rFonts w:ascii="IBM Plex Sans" w:cs="IBM Plex Sans" w:eastAsia="IBM Plex Sans" w:hAnsi="IBM Plex Sans"/>
                <w:b/>
                <w:bCs/>
                <w:color w:val="FFFFFF"/>
                <w:sz w:val="18"/>
                <w:szCs w:val="18"/>
              </w:rPr>
              <w:t xml:space="preserve">Trikomoniasis</w:t>
            </w:r>
          </w:p>
        </w:tc>
      </w:tr>
      <w:tr>
        <w:tc>
          <w:tcPr>
            <w:shd w:fill="FFFFFF" w:val="clear"/>
            <w:tcMar>
              <w:top w:type="dxa" w:w="80"/>
              <w:left w:type="dxa" w:w="110"/>
              <w:bottom w:type="dxa" w:w="80"/>
              <w:right w:type="dxa" w:w="110"/>
            </w:tcMar>
            <w:vAlign w:val="center"/>
          </w:tcPr>
          <w:p>
            <w:r>
              <w:rPr>
                <w:rFonts w:ascii="IBM Plex Sans" w:cs="IBM Plex Sans" w:eastAsia="IBM Plex Sans" w:hAnsi="IBM Plex Sans"/>
                <w:color w:val="334155"/>
                <w:sz w:val="18"/>
                <w:szCs w:val="18"/>
              </w:rPr>
              <w:t xml:space="preserve">Duh vagina</w:t>
            </w:r>
          </w:p>
        </w:tc>
        <w:tc>
          <w:tcPr>
            <w:shd w:fill="FFFFFF" w:val="clear"/>
            <w:tcMar>
              <w:top w:type="dxa" w:w="80"/>
              <w:left w:type="dxa" w:w="110"/>
              <w:bottom w:type="dxa" w:w="80"/>
              <w:right w:type="dxa" w:w="110"/>
            </w:tcMar>
            <w:vAlign w:val="center"/>
          </w:tcPr>
          <w:p>
            <w:r>
              <w:rPr>
                <w:rFonts w:ascii="IBM Plex Sans" w:cs="IBM Plex Sans" w:eastAsia="IBM Plex Sans" w:hAnsi="IBM Plex Sans"/>
                <w:color w:val="334155"/>
                <w:sz w:val="18"/>
                <w:szCs w:val="18"/>
              </w:rPr>
              <w:t xml:space="preserve">Homogen, tipis, keabuan</w:t>
            </w:r>
          </w:p>
        </w:tc>
        <w:tc>
          <w:tcPr>
            <w:shd w:fill="FFFFFF" w:val="clear"/>
            <w:tcMar>
              <w:top w:type="dxa" w:w="80"/>
              <w:left w:type="dxa" w:w="110"/>
              <w:bottom w:type="dxa" w:w="80"/>
              <w:right w:type="dxa" w:w="110"/>
            </w:tcMar>
            <w:vAlign w:val="center"/>
          </w:tcPr>
          <w:p>
            <w:r>
              <w:rPr>
                <w:rFonts w:ascii="IBM Plex Sans" w:cs="IBM Plex Sans" w:eastAsia="IBM Plex Sans" w:hAnsi="IBM Plex Sans"/>
                <w:color w:val="334155"/>
                <w:sz w:val="18"/>
                <w:szCs w:val="18"/>
              </w:rPr>
              <w:t xml:space="preserve">Kental, putih, seperti keju (cottage-cheese)</w:t>
            </w:r>
          </w:p>
        </w:tc>
        <w:tc>
          <w:tcPr>
            <w:shd w:fill="FFFFFF" w:val="clear"/>
            <w:tcMar>
              <w:top w:type="dxa" w:w="80"/>
              <w:left w:type="dxa" w:w="110"/>
              <w:bottom w:type="dxa" w:w="80"/>
              <w:right w:type="dxa" w:w="110"/>
            </w:tcMar>
            <w:vAlign w:val="center"/>
          </w:tcPr>
          <w:p>
            <w:r>
              <w:rPr>
                <w:rFonts w:ascii="IBM Plex Sans" w:cs="IBM Plex Sans" w:eastAsia="IBM Plex Sans" w:hAnsi="IBM Plex Sans"/>
                <w:color w:val="334155"/>
                <w:sz w:val="18"/>
                <w:szCs w:val="18"/>
              </w:rPr>
              <w:t xml:space="preserve">Kuning-kehijauan, berbusa</w:t>
            </w:r>
          </w:p>
        </w:tc>
      </w:tr>
      <w:tr>
        <w:tc>
          <w:tcPr>
            <w:shd w:fill="F8FAFC" w:val="clear"/>
            <w:tcMar>
              <w:top w:type="dxa" w:w="80"/>
              <w:left w:type="dxa" w:w="110"/>
              <w:bottom w:type="dxa" w:w="80"/>
              <w:right w:type="dxa" w:w="110"/>
            </w:tcMar>
            <w:vAlign w:val="center"/>
          </w:tcPr>
          <w:p>
            <w:r>
              <w:rPr>
                <w:rFonts w:ascii="IBM Plex Sans" w:cs="IBM Plex Sans" w:eastAsia="IBM Plex Sans" w:hAnsi="IBM Plex Sans"/>
                <w:color w:val="334155"/>
                <w:sz w:val="18"/>
                <w:szCs w:val="18"/>
              </w:rPr>
              <w:t xml:space="preserve">Bau</w:t>
            </w:r>
          </w:p>
        </w:tc>
        <w:tc>
          <w:tcPr>
            <w:shd w:fill="F8FAFC" w:val="clear"/>
            <w:tcMar>
              <w:top w:type="dxa" w:w="80"/>
              <w:left w:type="dxa" w:w="110"/>
              <w:bottom w:type="dxa" w:w="80"/>
              <w:right w:type="dxa" w:w="110"/>
            </w:tcMar>
            <w:vAlign w:val="center"/>
          </w:tcPr>
          <w:p>
            <w:r>
              <w:rPr>
                <w:rFonts w:ascii="IBM Plex Sans" w:cs="IBM Plex Sans" w:eastAsia="IBM Plex Sans" w:hAnsi="IBM Plex Sans"/>
                <w:color w:val="334155"/>
                <w:sz w:val="18"/>
                <w:szCs w:val="18"/>
              </w:rPr>
              <w:t xml:space="preserve">Amis (fishy odor)</w:t>
            </w:r>
          </w:p>
        </w:tc>
        <w:tc>
          <w:tcPr>
            <w:shd w:fill="F8FAFC" w:val="clear"/>
            <w:tcMar>
              <w:top w:type="dxa" w:w="80"/>
              <w:left w:type="dxa" w:w="110"/>
              <w:bottom w:type="dxa" w:w="80"/>
              <w:right w:type="dxa" w:w="110"/>
            </w:tcMar>
            <w:vAlign w:val="center"/>
          </w:tcPr>
          <w:p>
            <w:r>
              <w:rPr>
                <w:rFonts w:ascii="IBM Plex Sans" w:cs="IBM Plex Sans" w:eastAsia="IBM Plex Sans" w:hAnsi="IBM Plex Sans"/>
                <w:color w:val="334155"/>
                <w:sz w:val="18"/>
                <w:szCs w:val="18"/>
              </w:rPr>
              <w:t xml:space="preserve">Tidak khas</w:t>
            </w:r>
          </w:p>
        </w:tc>
        <w:tc>
          <w:tcPr>
            <w:shd w:fill="F8FAFC" w:val="clear"/>
            <w:tcMar>
              <w:top w:type="dxa" w:w="80"/>
              <w:left w:type="dxa" w:w="110"/>
              <w:bottom w:type="dxa" w:w="80"/>
              <w:right w:type="dxa" w:w="110"/>
            </w:tcMar>
            <w:vAlign w:val="center"/>
          </w:tcPr>
          <w:p>
            <w:r>
              <w:rPr>
                <w:rFonts w:ascii="IBM Plex Sans" w:cs="IBM Plex Sans" w:eastAsia="IBM Plex Sans" w:hAnsi="IBM Plex Sans"/>
                <w:color w:val="334155"/>
                <w:sz w:val="18"/>
                <w:szCs w:val="18"/>
              </w:rPr>
              <w:t xml:space="preserve">Dapat berbau tidak sedap</w:t>
            </w:r>
          </w:p>
        </w:tc>
      </w:tr>
      <w:tr>
        <w:tc>
          <w:tcPr>
            <w:shd w:fill="FFFFFF" w:val="clear"/>
            <w:tcMar>
              <w:top w:type="dxa" w:w="80"/>
              <w:left w:type="dxa" w:w="110"/>
              <w:bottom w:type="dxa" w:w="80"/>
              <w:right w:type="dxa" w:w="110"/>
            </w:tcMar>
            <w:vAlign w:val="center"/>
          </w:tcPr>
          <w:p>
            <w:r>
              <w:rPr>
                <w:rFonts w:ascii="IBM Plex Sans" w:cs="IBM Plex Sans" w:eastAsia="IBM Plex Sans" w:hAnsi="IBM Plex Sans"/>
                <w:color w:val="334155"/>
                <w:sz w:val="18"/>
                <w:szCs w:val="18"/>
              </w:rPr>
              <w:t xml:space="preserve">pH vagina</w:t>
            </w:r>
          </w:p>
        </w:tc>
        <w:tc>
          <w:tcPr>
            <w:shd w:fill="FFFFFF" w:val="clear"/>
            <w:tcMar>
              <w:top w:type="dxa" w:w="80"/>
              <w:left w:type="dxa" w:w="110"/>
              <w:bottom w:type="dxa" w:w="80"/>
              <w:right w:type="dxa" w:w="110"/>
            </w:tcMar>
            <w:vAlign w:val="center"/>
          </w:tcPr>
          <w:p>
            <w:r>
              <w:rPr>
                <w:rFonts w:ascii="IBM Plex Sans" w:cs="IBM Plex Sans" w:eastAsia="IBM Plex Sans" w:hAnsi="IBM Plex Sans"/>
                <w:color w:val="334155"/>
                <w:sz w:val="18"/>
                <w:szCs w:val="18"/>
              </w:rPr>
              <w:t xml:space="preserve">&gt; 4,5</w:t>
            </w:r>
          </w:p>
        </w:tc>
        <w:tc>
          <w:tcPr>
            <w:shd w:fill="FFFFFF" w:val="clear"/>
            <w:tcMar>
              <w:top w:type="dxa" w:w="80"/>
              <w:left w:type="dxa" w:w="110"/>
              <w:bottom w:type="dxa" w:w="80"/>
              <w:right w:type="dxa" w:w="110"/>
            </w:tcMar>
            <w:vAlign w:val="center"/>
          </w:tcPr>
          <w:p>
            <w:r>
              <w:rPr>
                <w:rFonts w:ascii="IBM Plex Sans" w:cs="IBM Plex Sans" w:eastAsia="IBM Plex Sans" w:hAnsi="IBM Plex Sans"/>
                <w:color w:val="334155"/>
                <w:sz w:val="18"/>
                <w:szCs w:val="18"/>
              </w:rPr>
              <w:t xml:space="preserve">≤ 4,5</w:t>
            </w:r>
          </w:p>
        </w:tc>
        <w:tc>
          <w:tcPr>
            <w:shd w:fill="FFFFFF" w:val="clear"/>
            <w:tcMar>
              <w:top w:type="dxa" w:w="80"/>
              <w:left w:type="dxa" w:w="110"/>
              <w:bottom w:type="dxa" w:w="80"/>
              <w:right w:type="dxa" w:w="110"/>
            </w:tcMar>
            <w:vAlign w:val="center"/>
          </w:tcPr>
          <w:p>
            <w:r>
              <w:rPr>
                <w:rFonts w:ascii="IBM Plex Sans" w:cs="IBM Plex Sans" w:eastAsia="IBM Plex Sans" w:hAnsi="IBM Plex Sans"/>
                <w:color w:val="334155"/>
                <w:sz w:val="18"/>
                <w:szCs w:val="18"/>
              </w:rPr>
              <w:t xml:space="preserve">&gt; 4,5 (umumnya 5–6)</w:t>
            </w:r>
          </w:p>
        </w:tc>
      </w:tr>
      <w:tr>
        <w:tc>
          <w:tcPr>
            <w:shd w:fill="F8FAFC" w:val="clear"/>
            <w:tcMar>
              <w:top w:type="dxa" w:w="80"/>
              <w:left w:type="dxa" w:w="110"/>
              <w:bottom w:type="dxa" w:w="80"/>
              <w:right w:type="dxa" w:w="110"/>
            </w:tcMar>
            <w:vAlign w:val="center"/>
          </w:tcPr>
          <w:p>
            <w:r>
              <w:rPr>
                <w:rFonts w:ascii="IBM Plex Sans" w:cs="IBM Plex Sans" w:eastAsia="IBM Plex Sans" w:hAnsi="IBM Plex Sans"/>
                <w:color w:val="334155"/>
                <w:sz w:val="18"/>
                <w:szCs w:val="18"/>
              </w:rPr>
              <w:t xml:space="preserve">Whiff test</w:t>
            </w:r>
          </w:p>
        </w:tc>
        <w:tc>
          <w:tcPr>
            <w:shd w:fill="F8FAFC" w:val="clear"/>
            <w:tcMar>
              <w:top w:type="dxa" w:w="80"/>
              <w:left w:type="dxa" w:w="110"/>
              <w:bottom w:type="dxa" w:w="80"/>
              <w:right w:type="dxa" w:w="110"/>
            </w:tcMar>
            <w:vAlign w:val="center"/>
          </w:tcPr>
          <w:p>
            <w:r>
              <w:rPr>
                <w:rFonts w:ascii="IBM Plex Sans" w:cs="IBM Plex Sans" w:eastAsia="IBM Plex Sans" w:hAnsi="IBM Plex Sans"/>
                <w:color w:val="334155"/>
                <w:sz w:val="18"/>
                <w:szCs w:val="18"/>
              </w:rPr>
              <w:t xml:space="preserve">Positif</w:t>
            </w:r>
          </w:p>
        </w:tc>
        <w:tc>
          <w:tcPr>
            <w:shd w:fill="F8FAFC" w:val="clear"/>
            <w:tcMar>
              <w:top w:type="dxa" w:w="80"/>
              <w:left w:type="dxa" w:w="110"/>
              <w:bottom w:type="dxa" w:w="80"/>
              <w:right w:type="dxa" w:w="110"/>
            </w:tcMar>
            <w:vAlign w:val="center"/>
          </w:tcPr>
          <w:p>
            <w:r>
              <w:rPr>
                <w:rFonts w:ascii="IBM Plex Sans" w:cs="IBM Plex Sans" w:eastAsia="IBM Plex Sans" w:hAnsi="IBM Plex Sans"/>
                <w:color w:val="334155"/>
                <w:sz w:val="18"/>
                <w:szCs w:val="18"/>
              </w:rPr>
              <w:t xml:space="preserve">Negatif</w:t>
            </w:r>
          </w:p>
        </w:tc>
        <w:tc>
          <w:tcPr>
            <w:shd w:fill="F8FAFC" w:val="clear"/>
            <w:tcMar>
              <w:top w:type="dxa" w:w="80"/>
              <w:left w:type="dxa" w:w="110"/>
              <w:bottom w:type="dxa" w:w="80"/>
              <w:right w:type="dxa" w:w="110"/>
            </w:tcMar>
            <w:vAlign w:val="center"/>
          </w:tcPr>
          <w:p>
            <w:r>
              <w:rPr>
                <w:rFonts w:ascii="IBM Plex Sans" w:cs="IBM Plex Sans" w:eastAsia="IBM Plex Sans" w:hAnsi="IBM Plex Sans"/>
                <w:color w:val="334155"/>
                <w:sz w:val="18"/>
                <w:szCs w:val="18"/>
              </w:rPr>
              <w:t xml:space="preserve">Dapat positif</w:t>
            </w:r>
          </w:p>
        </w:tc>
      </w:tr>
      <w:tr>
        <w:tc>
          <w:tcPr>
            <w:shd w:fill="FFFFFF" w:val="clear"/>
            <w:tcMar>
              <w:top w:type="dxa" w:w="80"/>
              <w:left w:type="dxa" w:w="110"/>
              <w:bottom w:type="dxa" w:w="80"/>
              <w:right w:type="dxa" w:w="110"/>
            </w:tcMar>
            <w:vAlign w:val="center"/>
          </w:tcPr>
          <w:p>
            <w:r>
              <w:rPr>
                <w:rFonts w:ascii="IBM Plex Sans" w:cs="IBM Plex Sans" w:eastAsia="IBM Plex Sans" w:hAnsi="IBM Plex Sans"/>
                <w:color w:val="334155"/>
                <w:sz w:val="18"/>
                <w:szCs w:val="18"/>
              </w:rPr>
              <w:t xml:space="preserve">Mikroskopik</w:t>
            </w:r>
          </w:p>
        </w:tc>
        <w:tc>
          <w:tcPr>
            <w:shd w:fill="FFFFFF" w:val="clear"/>
            <w:tcMar>
              <w:top w:type="dxa" w:w="80"/>
              <w:left w:type="dxa" w:w="110"/>
              <w:bottom w:type="dxa" w:w="80"/>
              <w:right w:type="dxa" w:w="110"/>
            </w:tcMar>
            <w:vAlign w:val="center"/>
          </w:tcPr>
          <w:p>
            <w:r>
              <w:rPr>
                <w:rFonts w:ascii="IBM Plex Sans" w:cs="IBM Plex Sans" w:eastAsia="IBM Plex Sans" w:hAnsi="IBM Plex Sans"/>
                <w:color w:val="334155"/>
                <w:sz w:val="18"/>
                <w:szCs w:val="18"/>
              </w:rPr>
              <w:t xml:space="preserve">Clue cells</w:t>
            </w:r>
          </w:p>
        </w:tc>
        <w:tc>
          <w:tcPr>
            <w:shd w:fill="FFFFFF" w:val="clear"/>
            <w:tcMar>
              <w:top w:type="dxa" w:w="80"/>
              <w:left w:type="dxa" w:w="110"/>
              <w:bottom w:type="dxa" w:w="80"/>
              <w:right w:type="dxa" w:w="110"/>
            </w:tcMar>
            <w:vAlign w:val="center"/>
          </w:tcPr>
          <w:p>
            <w:r>
              <w:rPr>
                <w:rFonts w:ascii="IBM Plex Sans" w:cs="IBM Plex Sans" w:eastAsia="IBM Plex Sans" w:hAnsi="IBM Plex Sans"/>
                <w:color w:val="334155"/>
                <w:sz w:val="18"/>
                <w:szCs w:val="18"/>
              </w:rPr>
              <w:t xml:space="preserve">Hifa/pseudohifa (KOH 10%)</w:t>
            </w:r>
          </w:p>
        </w:tc>
        <w:tc>
          <w:tcPr>
            <w:shd w:fill="FFFFFF" w:val="clear"/>
            <w:tcMar>
              <w:top w:type="dxa" w:w="80"/>
              <w:left w:type="dxa" w:w="110"/>
              <w:bottom w:type="dxa" w:w="80"/>
              <w:right w:type="dxa" w:w="110"/>
            </w:tcMar>
            <w:vAlign w:val="center"/>
          </w:tcPr>
          <w:p>
            <w:r>
              <w:rPr>
                <w:rFonts w:ascii="IBM Plex Sans" w:cs="IBM Plex Sans" w:eastAsia="IBM Plex Sans" w:hAnsi="IBM Plex Sans"/>
                <w:color w:val="334155"/>
                <w:sz w:val="18"/>
                <w:szCs w:val="18"/>
              </w:rPr>
              <w:t xml:space="preserve">Trikomonad motil (salin)</w:t>
            </w:r>
          </w:p>
        </w:tc>
      </w:tr>
      <w:tr>
        <w:tc>
          <w:tcPr>
            <w:shd w:fill="F8FAFC" w:val="clear"/>
            <w:tcMar>
              <w:top w:type="dxa" w:w="80"/>
              <w:left w:type="dxa" w:w="110"/>
              <w:bottom w:type="dxa" w:w="80"/>
              <w:right w:type="dxa" w:w="110"/>
            </w:tcMar>
            <w:vAlign w:val="center"/>
          </w:tcPr>
          <w:p>
            <w:r>
              <w:rPr>
                <w:rFonts w:ascii="IBM Plex Sans" w:cs="IBM Plex Sans" w:eastAsia="IBM Plex Sans" w:hAnsi="IBM Plex Sans"/>
                <w:color w:val="334155"/>
                <w:sz w:val="18"/>
                <w:szCs w:val="18"/>
              </w:rPr>
              <w:t xml:space="preserve">Gejala gatal</w:t>
            </w:r>
          </w:p>
        </w:tc>
        <w:tc>
          <w:tcPr>
            <w:shd w:fill="F8FAFC" w:val="clear"/>
            <w:tcMar>
              <w:top w:type="dxa" w:w="80"/>
              <w:left w:type="dxa" w:w="110"/>
              <w:bottom w:type="dxa" w:w="80"/>
              <w:right w:type="dxa" w:w="110"/>
            </w:tcMar>
            <w:vAlign w:val="center"/>
          </w:tcPr>
          <w:p>
            <w:r>
              <w:rPr>
                <w:rFonts w:ascii="IBM Plex Sans" w:cs="IBM Plex Sans" w:eastAsia="IBM Plex Sans" w:hAnsi="IBM Plex Sans"/>
                <w:color w:val="334155"/>
                <w:sz w:val="18"/>
                <w:szCs w:val="18"/>
              </w:rPr>
              <w:t xml:space="preserve">Jarang menonjol</w:t>
            </w:r>
          </w:p>
        </w:tc>
        <w:tc>
          <w:tcPr>
            <w:shd w:fill="F8FAFC" w:val="clear"/>
            <w:tcMar>
              <w:top w:type="dxa" w:w="80"/>
              <w:left w:type="dxa" w:w="110"/>
              <w:bottom w:type="dxa" w:w="80"/>
              <w:right w:type="dxa" w:w="110"/>
            </w:tcMar>
            <w:vAlign w:val="center"/>
          </w:tcPr>
          <w:p>
            <w:r>
              <w:rPr>
                <w:rFonts w:ascii="IBM Plex Sans" w:cs="IBM Plex Sans" w:eastAsia="IBM Plex Sans" w:hAnsi="IBM Plex Sans"/>
                <w:color w:val="334155"/>
                <w:sz w:val="18"/>
                <w:szCs w:val="18"/>
              </w:rPr>
              <w:t xml:space="preserve">Menonjol</w:t>
            </w:r>
          </w:p>
        </w:tc>
        <w:tc>
          <w:tcPr>
            <w:shd w:fill="F8FAFC" w:val="clear"/>
            <w:tcMar>
              <w:top w:type="dxa" w:w="80"/>
              <w:left w:type="dxa" w:w="110"/>
              <w:bottom w:type="dxa" w:w="80"/>
              <w:right w:type="dxa" w:w="110"/>
            </w:tcMar>
            <w:vAlign w:val="center"/>
          </w:tcPr>
          <w:p>
            <w:r>
              <w:rPr>
                <w:rFonts w:ascii="IBM Plex Sans" w:cs="IBM Plex Sans" w:eastAsia="IBM Plex Sans" w:hAnsi="IBM Plex Sans"/>
                <w:color w:val="334155"/>
                <w:sz w:val="18"/>
                <w:szCs w:val="18"/>
              </w:rPr>
              <w:t xml:space="preserve">Dapat dijumpai</w:t>
            </w:r>
          </w:p>
        </w:tc>
      </w:tr>
    </w:tbl>
    <w:p>
      <w:pPr>
        <w:spacing w:after="160"/>
      </w:pPr>
    </w:p>
    <w:p>
      <w:pPr>
        <w:pStyle w:val="Heading1"/>
        <w:pBdr>
          <w:bottom w:val="single" w:color="B45309" w:sz="6" w:space="4"/>
        </w:pBdr>
        <w:spacing w:after="140" w:before="360"/>
      </w:pPr>
      <w:r>
        <w:rPr>
          <w:rFonts w:ascii="Source Serif 4" w:cs="Source Serif 4" w:eastAsia="Source Serif 4" w:hAnsi="Source Serif 4"/>
          <w:b/>
          <w:bCs/>
          <w:color w:val="4F46E5"/>
          <w:sz w:val="27"/>
          <w:szCs w:val="27"/>
        </w:rPr>
        <w:t xml:space="preserve">5. Diagnosis Kerja dan Diagnosis Banding</w:t>
      </w:r>
    </w:p>
    <w:p>
      <w:pPr>
        <w:spacing w:after="160" w:line="300"/>
        <w:jc w:val="both"/>
      </w:pPr>
      <w:r>
        <w:rPr>
          <w:rFonts w:ascii="IBM Plex Sans" w:cs="IBM Plex Sans" w:eastAsia="IBM Plex Sans" w:hAnsi="IBM Plex Sans"/>
          <w:color w:val="334155"/>
          <w:sz w:val="21"/>
          <w:szCs w:val="21"/>
        </w:rPr>
        <w:t xml:space="preserve">Diagnosis kerja: Vaginitis (N76.0 / GA02) dengan etiologi sesuai temuan pemeriksaan penunjang.</w:t>
      </w:r>
    </w:p>
    <w:p>
      <w:pPr>
        <w:pStyle w:val="ListParagraph"/>
        <w:numPr>
          <w:ilvl w:val="0"/>
          <w:numId w:val="2"/>
        </w:numPr>
        <w:spacing w:after="90" w:line="290"/>
      </w:pPr>
      <w:r>
        <w:rPr>
          <w:rFonts w:ascii="IBM Plex Sans" w:cs="IBM Plex Sans" w:eastAsia="IBM Plex Sans" w:hAnsi="IBM Plex Sans"/>
          <w:color w:val="334155"/>
          <w:sz w:val="21"/>
          <w:szCs w:val="21"/>
        </w:rPr>
        <w:t xml:space="preserve">Servisitis (N72 / GA04).</w:t>
      </w:r>
    </w:p>
    <w:p>
      <w:pPr>
        <w:pStyle w:val="ListParagraph"/>
        <w:numPr>
          <w:ilvl w:val="0"/>
          <w:numId w:val="2"/>
        </w:numPr>
        <w:spacing w:after="90" w:line="290"/>
      </w:pPr>
      <w:r>
        <w:rPr>
          <w:rFonts w:ascii="IBM Plex Sans" w:cs="IBM Plex Sans" w:eastAsia="IBM Plex Sans" w:hAnsi="IBM Plex Sans"/>
          <w:color w:val="334155"/>
          <w:sz w:val="21"/>
          <w:szCs w:val="21"/>
        </w:rPr>
        <w:t xml:space="preserve">Penyakit radang panggul tanpa komplikasi (N73.9 / GA05.0).</w:t>
      </w:r>
    </w:p>
    <w:p>
      <w:pPr>
        <w:pStyle w:val="ListParagraph"/>
        <w:numPr>
          <w:ilvl w:val="0"/>
          <w:numId w:val="2"/>
        </w:numPr>
        <w:spacing w:after="90" w:line="290"/>
      </w:pPr>
      <w:r>
        <w:rPr>
          <w:rFonts w:ascii="IBM Plex Sans" w:cs="IBM Plex Sans" w:eastAsia="IBM Plex Sans" w:hAnsi="IBM Plex Sans"/>
          <w:color w:val="334155"/>
          <w:sz w:val="21"/>
          <w:szCs w:val="21"/>
        </w:rPr>
        <w:t xml:space="preserve">Dermatitis kontak vulva (iritan atau alergi).</w:t>
      </w:r>
    </w:p>
    <w:p>
      <w:pPr>
        <w:pStyle w:val="ListParagraph"/>
        <w:numPr>
          <w:ilvl w:val="0"/>
          <w:numId w:val="2"/>
        </w:numPr>
        <w:spacing w:after="90" w:line="290"/>
      </w:pPr>
      <w:r>
        <w:rPr>
          <w:rFonts w:ascii="IBM Plex Sans" w:cs="IBM Plex Sans" w:eastAsia="IBM Plex Sans" w:hAnsi="IBM Plex Sans"/>
          <w:color w:val="334155"/>
          <w:sz w:val="21"/>
          <w:szCs w:val="21"/>
        </w:rPr>
        <w:t xml:space="preserve">Vaginitis atrofik pada konteks hipoestrogenisme.</w:t>
      </w:r>
    </w:p>
    <w:p>
      <w:pPr>
        <w:pStyle w:val="ListParagraph"/>
        <w:numPr>
          <w:ilvl w:val="0"/>
          <w:numId w:val="2"/>
        </w:numPr>
        <w:spacing w:after="90" w:line="290"/>
      </w:pPr>
      <w:r>
        <w:rPr>
          <w:rFonts w:ascii="IBM Plex Sans" w:cs="IBM Plex Sans" w:eastAsia="IBM Plex Sans" w:hAnsi="IBM Plex Sans"/>
          <w:color w:val="334155"/>
          <w:sz w:val="21"/>
          <w:szCs w:val="21"/>
        </w:rPr>
        <w:t xml:space="preserve">Liken planus atau liken sklerosus vulvovaginal.</w:t>
      </w:r>
    </w:p>
    <w:p>
      <w:pPr>
        <w:pStyle w:val="ListParagraph"/>
        <w:numPr>
          <w:ilvl w:val="0"/>
          <w:numId w:val="2"/>
        </w:numPr>
        <w:spacing w:after="90" w:line="290"/>
      </w:pPr>
      <w:r>
        <w:rPr>
          <w:rFonts w:ascii="IBM Plex Sans" w:cs="IBM Plex Sans" w:eastAsia="IBM Plex Sans" w:hAnsi="IBM Plex Sans"/>
          <w:color w:val="334155"/>
          <w:sz w:val="21"/>
          <w:szCs w:val="21"/>
        </w:rPr>
        <w:t xml:space="preserve">Benda asing intravagina (misalnya tampon tertinggal).</w:t>
      </w:r>
    </w:p>
    <w:p>
      <w:pPr>
        <w:pStyle w:val="ListParagraph"/>
        <w:numPr>
          <w:ilvl w:val="0"/>
          <w:numId w:val="2"/>
        </w:numPr>
        <w:spacing w:after="90" w:line="290"/>
      </w:pPr>
      <w:r>
        <w:rPr>
          <w:rFonts w:ascii="IBM Plex Sans" w:cs="IBM Plex Sans" w:eastAsia="IBM Plex Sans" w:hAnsi="IBM Plex Sans"/>
          <w:color w:val="334155"/>
          <w:sz w:val="21"/>
          <w:szCs w:val="21"/>
        </w:rPr>
        <w:t xml:space="preserve">Vaginitis inflamatorik deskuamativa (desquamative inflammatory vaginitis) pada kasus refrakter tanpa etiologi infeksi jelas.</w:t>
      </w:r>
    </w:p>
    <w:p>
      <w:pPr>
        <w:pStyle w:val="Heading1"/>
        <w:pBdr>
          <w:bottom w:val="single" w:color="B45309" w:sz="6" w:space="4"/>
        </w:pBdr>
        <w:spacing w:after="140" w:before="360"/>
      </w:pPr>
      <w:r>
        <w:rPr>
          <w:rFonts w:ascii="Source Serif 4" w:cs="Source Serif 4" w:eastAsia="Source Serif 4" w:hAnsi="Source Serif 4"/>
          <w:b/>
          <w:bCs/>
          <w:color w:val="4F46E5"/>
          <w:sz w:val="27"/>
          <w:szCs w:val="27"/>
        </w:rPr>
        <w:t xml:space="preserve">6. Pemeriksaan Penunjang</w:t>
      </w:r>
    </w:p>
    <w:p>
      <w:pPr>
        <w:pStyle w:val="ListParagraph"/>
        <w:numPr>
          <w:ilvl w:val="0"/>
          <w:numId w:val="2"/>
        </w:numPr>
        <w:spacing w:after="90" w:line="290"/>
      </w:pPr>
      <w:r>
        <w:rPr>
          <w:rFonts w:ascii="IBM Plex Sans" w:cs="IBM Plex Sans" w:eastAsia="IBM Plex Sans" w:hAnsi="IBM Plex Sans"/>
          <w:color w:val="334155"/>
          <w:sz w:val="21"/>
          <w:szCs w:val="21"/>
        </w:rPr>
        <w:t xml:space="preserve">Pengukuran pH vagina dengan kertas indikator.</w:t>
      </w:r>
    </w:p>
    <w:p>
      <w:pPr>
        <w:pStyle w:val="ListParagraph"/>
        <w:numPr>
          <w:ilvl w:val="0"/>
          <w:numId w:val="2"/>
        </w:numPr>
        <w:spacing w:after="90" w:line="290"/>
      </w:pPr>
      <w:r>
        <w:rPr>
          <w:rFonts w:ascii="IBM Plex Sans" w:cs="IBM Plex Sans" w:eastAsia="IBM Plex Sans" w:hAnsi="IBM Plex Sans"/>
          <w:color w:val="334155"/>
          <w:sz w:val="21"/>
          <w:szCs w:val="21"/>
        </w:rPr>
        <w:t xml:space="preserve">Mikroskopik sediaan basah (saline wet mount) untuk clue cells, trikomonad motil, dan sel leukosit.</w:t>
      </w:r>
    </w:p>
    <w:p>
      <w:pPr>
        <w:pStyle w:val="ListParagraph"/>
        <w:numPr>
          <w:ilvl w:val="0"/>
          <w:numId w:val="2"/>
        </w:numPr>
        <w:spacing w:after="90" w:line="290"/>
      </w:pPr>
      <w:r>
        <w:rPr>
          <w:rFonts w:ascii="IBM Plex Sans" w:cs="IBM Plex Sans" w:eastAsia="IBM Plex Sans" w:hAnsi="IBM Plex Sans"/>
          <w:color w:val="334155"/>
          <w:sz w:val="21"/>
          <w:szCs w:val="21"/>
        </w:rPr>
        <w:t xml:space="preserve">Sediaan KOH 10% untuk hifa/pseudohifa serta whiff test (uji amin).</w:t>
      </w:r>
    </w:p>
    <w:p>
      <w:pPr>
        <w:pStyle w:val="ListParagraph"/>
        <w:numPr>
          <w:ilvl w:val="0"/>
          <w:numId w:val="2"/>
        </w:numPr>
        <w:spacing w:after="90" w:line="290"/>
      </w:pPr>
      <w:r>
        <w:rPr>
          <w:rFonts w:ascii="IBM Plex Sans" w:cs="IBM Plex Sans" w:eastAsia="IBM Plex Sans" w:hAnsi="IBM Plex Sans"/>
          <w:color w:val="334155"/>
          <w:sz w:val="21"/>
          <w:szCs w:val="21"/>
        </w:rPr>
        <w:t xml:space="preserve">Kultur jamur pada kandidiasis rekuren atau tidak respons terapi empiris.</w:t>
      </w:r>
    </w:p>
    <w:p>
      <w:pPr>
        <w:pStyle w:val="ListParagraph"/>
        <w:numPr>
          <w:ilvl w:val="0"/>
          <w:numId w:val="2"/>
        </w:numPr>
        <w:spacing w:after="90" w:line="290"/>
      </w:pPr>
      <w:r>
        <w:rPr>
          <w:rFonts w:ascii="IBM Plex Sans" w:cs="IBM Plex Sans" w:eastAsia="IBM Plex Sans" w:hAnsi="IBM Plex Sans"/>
          <w:color w:val="334155"/>
          <w:sz w:val="21"/>
          <w:szCs w:val="21"/>
        </w:rPr>
        <w:t xml:space="preserve">NAAT (nucleic acid amplification test) untuk Trichomonas vaginalis, Chlamydia trachomatis, dan Neisseria gonorrhoeae bila dicurigai IMS penyerta.</w:t>
      </w:r>
    </w:p>
    <w:p>
      <w:pPr>
        <w:pStyle w:val="ListParagraph"/>
        <w:numPr>
          <w:ilvl w:val="0"/>
          <w:numId w:val="2"/>
        </w:numPr>
        <w:spacing w:after="90" w:line="290"/>
      </w:pPr>
      <w:r>
        <w:rPr>
          <w:rFonts w:ascii="IBM Plex Sans" w:cs="IBM Plex Sans" w:eastAsia="IBM Plex Sans" w:hAnsi="IBM Plex Sans"/>
          <w:color w:val="334155"/>
          <w:sz w:val="21"/>
          <w:szCs w:val="21"/>
        </w:rPr>
        <w:t xml:space="preserve">Pemeriksaan gula darah puasa/HbA1c pada kandidiasis vulvovaginal rekuren untuk skrining diabetes melitus.</w:t>
      </w:r>
    </w:p>
    <w:p>
      <w:pPr>
        <w:pStyle w:val="ListParagraph"/>
        <w:numPr>
          <w:ilvl w:val="0"/>
          <w:numId w:val="2"/>
        </w:numPr>
        <w:spacing w:after="90" w:line="290"/>
      </w:pPr>
      <w:r>
        <w:rPr>
          <w:rFonts w:ascii="IBM Plex Sans" w:cs="IBM Plex Sans" w:eastAsia="IBM Plex Sans" w:hAnsi="IBM Plex Sans"/>
          <w:color w:val="334155"/>
          <w:sz w:val="21"/>
          <w:szCs w:val="21"/>
        </w:rPr>
        <w:t xml:space="preserve">Sitologi serviks dan pemeriksaan IMS lain sesuai jadwal skrining bila indikasi terpenuhi.</w:t>
      </w:r>
    </w:p>
    <w:p>
      <w:pPr>
        <w:pStyle w:val="Heading1"/>
        <w:pBdr>
          <w:bottom w:val="single" w:color="B45309" w:sz="6" w:space="4"/>
        </w:pBdr>
        <w:spacing w:after="140" w:before="360"/>
      </w:pPr>
      <w:r>
        <w:rPr>
          <w:rFonts w:ascii="Source Serif 4" w:cs="Source Serif 4" w:eastAsia="Source Serif 4" w:hAnsi="Source Serif 4"/>
          <w:b/>
          <w:bCs/>
          <w:color w:val="4F46E5"/>
          <w:sz w:val="27"/>
          <w:szCs w:val="27"/>
        </w:rPr>
        <w:t xml:space="preserve">7. Tata Laksana</w:t>
      </w:r>
    </w:p>
    <w:p>
      <w:pPr>
        <w:spacing w:after="160" w:line="300"/>
        <w:jc w:val="both"/>
      </w:pPr>
      <w:r>
        <w:rPr>
          <w:rFonts w:ascii="IBM Plex Sans" w:cs="IBM Plex Sans" w:eastAsia="IBM Plex Sans" w:hAnsi="IBM Plex Sans"/>
          <w:color w:val="334155"/>
          <w:sz w:val="21"/>
          <w:szCs w:val="21"/>
        </w:rPr>
        <w:t xml:space="preserve">Tata laksana disesuaikan dengan etiologi terkonfirmasi. Terapi empiris tanpa konfirmasi etiologi hanya dipertimbangkan bila akses pemeriksaan penunjang terbatas, dengan evaluasi ulang bila gejala menetap.</w:t>
      </w:r>
    </w:p>
    <w:p>
      <w:pPr>
        <w:pStyle w:val="Heading2"/>
        <w:spacing w:after="140" w:before="240"/>
      </w:pPr>
      <w:r>
        <w:rPr>
          <w:rFonts w:ascii="Source Serif 4" w:cs="Source Serif 4" w:eastAsia="Source Serif 4" w:hAnsi="Source Serif 4"/>
          <w:b/>
          <w:bCs/>
          <w:color w:val="1E1B4B"/>
          <w:sz w:val="24"/>
          <w:szCs w:val="24"/>
        </w:rPr>
        <w:t xml:space="preserve">7.1 Tata Laksana Non-Farmakologis</w:t>
      </w:r>
    </w:p>
    <w:p>
      <w:pPr>
        <w:pStyle w:val="ListParagraph"/>
        <w:numPr>
          <w:ilvl w:val="0"/>
          <w:numId w:val="2"/>
        </w:numPr>
        <w:spacing w:after="90" w:line="290"/>
      </w:pPr>
      <w:r>
        <w:rPr>
          <w:rFonts w:ascii="IBM Plex Sans" w:cs="IBM Plex Sans" w:eastAsia="IBM Plex Sans" w:hAnsi="IBM Plex Sans"/>
          <w:color w:val="334155"/>
          <w:sz w:val="21"/>
          <w:szCs w:val="21"/>
        </w:rPr>
        <w:t xml:space="preserve">Edukasi higiene vulva: menghindari douching serta sabun/pewangi vagina.</w:t>
      </w:r>
    </w:p>
    <w:p>
      <w:pPr>
        <w:pStyle w:val="ListParagraph"/>
        <w:numPr>
          <w:ilvl w:val="0"/>
          <w:numId w:val="2"/>
        </w:numPr>
        <w:spacing w:after="90" w:line="290"/>
      </w:pPr>
      <w:r>
        <w:rPr>
          <w:rFonts w:ascii="IBM Plex Sans" w:cs="IBM Plex Sans" w:eastAsia="IBM Plex Sans" w:hAnsi="IBM Plex Sans"/>
          <w:color w:val="334155"/>
          <w:sz w:val="21"/>
          <w:szCs w:val="21"/>
        </w:rPr>
        <w:t xml:space="preserve">Anjuran pakaian dalam berbahan katun dan menghindari kelembapan berlebih pada area genital.</w:t>
      </w:r>
    </w:p>
    <w:p>
      <w:pPr>
        <w:pStyle w:val="ListParagraph"/>
        <w:numPr>
          <w:ilvl w:val="0"/>
          <w:numId w:val="2"/>
        </w:numPr>
        <w:spacing w:after="90" w:line="290"/>
      </w:pPr>
      <w:r>
        <w:rPr>
          <w:rFonts w:ascii="IBM Plex Sans" w:cs="IBM Plex Sans" w:eastAsia="IBM Plex Sans" w:hAnsi="IBM Plex Sans"/>
          <w:color w:val="334155"/>
          <w:sz w:val="21"/>
          <w:szCs w:val="21"/>
        </w:rPr>
        <w:t xml:space="preserve">Menghindari iritan lokal (deterjen wangi, produk kewanitaan beraroma).</w:t>
      </w:r>
    </w:p>
    <w:p>
      <w:pPr>
        <w:pStyle w:val="ListParagraph"/>
        <w:numPr>
          <w:ilvl w:val="0"/>
          <w:numId w:val="2"/>
        </w:numPr>
        <w:spacing w:after="90" w:line="290"/>
      </w:pPr>
      <w:r>
        <w:rPr>
          <w:rFonts w:ascii="IBM Plex Sans" w:cs="IBM Plex Sans" w:eastAsia="IBM Plex Sans" w:hAnsi="IBM Plex Sans"/>
          <w:color w:val="334155"/>
          <w:sz w:val="21"/>
          <w:szCs w:val="21"/>
        </w:rPr>
        <w:t xml:space="preserve">Anjuran abstinensia seksual hingga terapi selesai dan gejala hilang, khususnya pada trikomoniasis.</w:t>
      </w:r>
    </w:p>
    <w:p>
      <w:pPr>
        <w:pStyle w:val="ListParagraph"/>
        <w:numPr>
          <w:ilvl w:val="0"/>
          <w:numId w:val="2"/>
        </w:numPr>
        <w:spacing w:after="90" w:line="290"/>
      </w:pPr>
      <w:r>
        <w:rPr>
          <w:rFonts w:ascii="IBM Plex Sans" w:cs="IBM Plex Sans" w:eastAsia="IBM Plex Sans" w:hAnsi="IBM Plex Sans"/>
          <w:color w:val="334155"/>
          <w:sz w:val="21"/>
          <w:szCs w:val="21"/>
        </w:rPr>
        <w:t xml:space="preserve">Konseling dan penawaran pemeriksaan/terapi pasangan seksual pada kasus trikomoniasis.</w:t>
      </w:r>
    </w:p>
    <w:p>
      <w:pPr>
        <w:pStyle w:val="Heading2"/>
        <w:spacing w:after="140" w:before="240"/>
      </w:pPr>
      <w:r>
        <w:rPr>
          <w:rFonts w:ascii="Source Serif 4" w:cs="Source Serif 4" w:eastAsia="Source Serif 4" w:hAnsi="Source Serif 4"/>
          <w:b/>
          <w:bCs/>
          <w:color w:val="1E1B4B"/>
          <w:sz w:val="24"/>
          <w:szCs w:val="24"/>
        </w:rPr>
        <w:t xml:space="preserve">7.2 Tata Laksana Farmakologis</w:t>
      </w:r>
    </w:p>
    <w:p>
      <w:pPr>
        <w:spacing w:after="160" w:line="300"/>
        <w:jc w:val="both"/>
      </w:pPr>
      <w:r>
        <w:rPr>
          <w:rFonts w:ascii="IBM Plex Sans" w:cs="IBM Plex Sans" w:eastAsia="IBM Plex Sans" w:hAnsi="IBM Plex Sans"/>
          <w:color w:val="334155"/>
          <w:sz w:val="21"/>
          <w:szCs w:val="21"/>
        </w:rPr>
        <w:t xml:space="preserve">Regimen berikut disusun mengacu pada rekomendasi terkini WHO (2024) dan ACOG Practice Bulletin No. 215 untuk masing-masing etiologi; penyesuaian dosis pada kehamilan dan laktasi mengikuti rekomendasi masing-masing regimen serta kondisi klinis pasien.</w:t>
      </w:r>
    </w:p>
    <w:p>
      <w:pPr>
        <w:pStyle w:val="ListParagraph"/>
        <w:numPr>
          <w:ilvl w:val="0"/>
          <w:numId w:val="2"/>
        </w:numPr>
        <w:spacing w:after="90" w:line="290"/>
      </w:pPr>
      <w:r>
        <w:rPr>
          <w:rFonts w:ascii="IBM Plex Sans" w:cs="IBM Plex Sans" w:eastAsia="IBM Plex Sans" w:hAnsi="IBM Plex Sans"/>
          <w:color w:val="334155"/>
          <w:sz w:val="21"/>
          <w:szCs w:val="21"/>
        </w:rPr>
        <w:t xml:space="preserve">Vaginosis bakterialis — lini pertama: metronidazol oral 400–500 mg dua kali sehari selama 7 hari. Alternatif setara: metronidazol gel intravaginal 0,75% sekali sehari selama 5 hari, klindamisin krim intravaginal 2% sekali sehari selama 7 hari, klindamisin oral 300 mg dua kali sehari selama 7 hari, tinidazol oral 2 g dosis tunggal, atau secnidazol oral 2 g dosis tunggal (granul oral).</w:t>
      </w:r>
    </w:p>
    <w:p>
      <w:pPr>
        <w:pStyle w:val="ListParagraph"/>
        <w:numPr>
          <w:ilvl w:val="0"/>
          <w:numId w:val="2"/>
        </w:numPr>
        <w:spacing w:after="90" w:line="290"/>
      </w:pPr>
      <w:r>
        <w:rPr>
          <w:rFonts w:ascii="IBM Plex Sans" w:cs="IBM Plex Sans" w:eastAsia="IBM Plex Sans" w:hAnsi="IBM Plex Sans"/>
          <w:color w:val="334155"/>
          <w:sz w:val="21"/>
          <w:szCs w:val="21"/>
        </w:rPr>
        <w:t xml:space="preserve">Kandidiasis vulvovaginal tanpa komplikasi: flukonazol oral 150 mg dosis tunggal, atau azol topikal intravaginal (klotrimazol/mikonazol) sesuai sediaan selama 1–7 hari.</w:t>
      </w:r>
    </w:p>
    <w:p>
      <w:pPr>
        <w:pStyle w:val="ListParagraph"/>
        <w:numPr>
          <w:ilvl w:val="0"/>
          <w:numId w:val="2"/>
        </w:numPr>
        <w:spacing w:after="90" w:line="290"/>
      </w:pPr>
      <w:r>
        <w:rPr>
          <w:rFonts w:ascii="IBM Plex Sans" w:cs="IBM Plex Sans" w:eastAsia="IBM Plex Sans" w:hAnsi="IBM Plex Sans"/>
          <w:color w:val="334155"/>
          <w:sz w:val="21"/>
          <w:szCs w:val="21"/>
        </w:rPr>
        <w:t xml:space="preserve">Kandidiasis vulvovaginal rekuren (≥4 episode per tahun): terapi induksi (topikal 7–14 hari atau flukonazol oral 150 mg setiap 72 jam sebanyak 2–3 dosis) dilanjutkan terapi rumatan flukonazol oral 150 mg sekali seminggu selama 6 bulan, disertai evaluasi faktor predisposisi seperti diabetes melitus tak terkontrol.</w:t>
      </w:r>
    </w:p>
    <w:p>
      <w:pPr>
        <w:pStyle w:val="ListParagraph"/>
        <w:numPr>
          <w:ilvl w:val="0"/>
          <w:numId w:val="2"/>
        </w:numPr>
        <w:spacing w:after="90" w:line="290"/>
      </w:pPr>
      <w:r>
        <w:rPr>
          <w:rFonts w:ascii="IBM Plex Sans" w:cs="IBM Plex Sans" w:eastAsia="IBM Plex Sans" w:hAnsi="IBM Plex Sans"/>
          <w:color w:val="334155"/>
          <w:sz w:val="21"/>
          <w:szCs w:val="21"/>
        </w:rPr>
        <w:t xml:space="preserve">Trikomoniasis — lini pertama: metronidazol oral 400–500 mg dua kali sehari selama 7 hari, karena regimen multidosis terbukti menurunkan kegagalan terapi dibandingkan dosis tunggal pada perempuan. Dosis tunggal metronidazol atau tinidazol 2 g per oral dapat dipertimbangkan sebagai alternatif bila kepatuhan terhadap regimen multidosis menjadi kendala utama. Terapi pasangan seksual dilakukan bersamaan pada seluruh kasus.</w:t>
      </w:r>
    </w:p>
    <w:p>
      <w:pPr>
        <w:pStyle w:val="ListParagraph"/>
        <w:numPr>
          <w:ilvl w:val="0"/>
          <w:numId w:val="2"/>
        </w:numPr>
        <w:spacing w:after="90" w:line="290"/>
      </w:pPr>
      <w:r>
        <w:rPr>
          <w:rFonts w:ascii="IBM Plex Sans" w:cs="IBM Plex Sans" w:eastAsia="IBM Plex Sans" w:hAnsi="IBM Plex Sans"/>
          <w:color w:val="334155"/>
          <w:sz w:val="21"/>
          <w:szCs w:val="21"/>
        </w:rPr>
        <w:t xml:space="preserve">Vaginitis atrofik: estrogen vagina topikal dosis rendah (krim, tablet, atau cincin vagina); pelumas/pelembap non-hormonal sebagai alternatif atau terapi tambahan bila estrogen dikontraindikasikan.</w:t>
      </w:r>
    </w:p>
    <w:p>
      <w:pPr>
        <w:pStyle w:val="ListParagraph"/>
        <w:numPr>
          <w:ilvl w:val="0"/>
          <w:numId w:val="2"/>
        </w:numPr>
        <w:spacing w:after="90" w:line="290"/>
      </w:pPr>
      <w:r>
        <w:rPr>
          <w:rFonts w:ascii="IBM Plex Sans" w:cs="IBM Plex Sans" w:eastAsia="IBM Plex Sans" w:hAnsi="IBM Plex Sans"/>
          <w:color w:val="334155"/>
          <w:sz w:val="21"/>
          <w:szCs w:val="21"/>
        </w:rPr>
        <w:t xml:space="preserve">Vaginosis bakterialis rekuren simtomatik (umumnya ≥3 episode dalam 12 bulan) dengan pasangan pria tetap: setelah terapi lini pertama pada pasien, terapi pasangan seksual pria secara bersamaan (concurrent partner therapy) dapat dipertimbangkan menggunakan kombinasi metronidazol oral 400 mg dua kali sehari selama 7 hari ditambah klindamisin krim topikal 2% pada kulit penis dua kali sehari selama 7 hari — lihat Bagian 12 untuk dasar bukti dan kedudukannya terhadap standar nasional.</w:t>
      </w:r>
    </w:p>
    <w:p>
      <w:pPr>
        <w:pStyle w:val="Heading2"/>
        <w:spacing w:after="140" w:before="240"/>
      </w:pPr>
      <w:r>
        <w:rPr>
          <w:rFonts w:ascii="Source Serif 4" w:cs="Source Serif 4" w:eastAsia="Source Serif 4" w:hAnsi="Source Serif 4"/>
          <w:b/>
          <w:bCs/>
          <w:color w:val="1E1B4B"/>
          <w:sz w:val="24"/>
          <w:szCs w:val="24"/>
        </w:rPr>
        <w:t xml:space="preserve">7.3 Tata Laksana Bedah/Prosedural (bila relevan)</w:t>
      </w:r>
    </w:p>
    <w:p>
      <w:pPr>
        <w:spacing w:after="160" w:line="300"/>
        <w:jc w:val="both"/>
      </w:pPr>
      <w:r>
        <w:rPr>
          <w:rFonts w:ascii="IBM Plex Sans" w:cs="IBM Plex Sans" w:eastAsia="IBM Plex Sans" w:hAnsi="IBM Plex Sans"/>
          <w:color w:val="334155"/>
          <w:sz w:val="21"/>
          <w:szCs w:val="21"/>
        </w:rPr>
        <w:t xml:space="preserve">Tindakan bedah/prosedural umumnya tidak diperlukan pada vaginitis tanpa komplikasi. Evaluasi lanjut dengan kolposkopi dan/atau biopsi dipertimbangkan bila dijumpai lesi yang mencurigakan keganasan, ulserasi atipikal, atau tidak ada perbaikan setelah terapi standar yang adekuat.</w:t>
      </w:r>
    </w:p>
    <w:p>
      <w:pPr>
        <w:pStyle w:val="Heading2"/>
        <w:spacing w:after="140" w:before="240"/>
      </w:pPr>
      <w:r>
        <w:rPr>
          <w:rFonts w:ascii="Source Serif 4" w:cs="Source Serif 4" w:eastAsia="Source Serif 4" w:hAnsi="Source Serif 4"/>
          <w:b/>
          <w:bCs/>
          <w:color w:val="1E1B4B"/>
          <w:sz w:val="24"/>
          <w:szCs w:val="24"/>
        </w:rPr>
        <w:t xml:space="preserve">7.4 Kriteria Rujukan ke Subspesialis Obstetri Ginekologi Sosial</w:t>
      </w:r>
    </w:p>
    <w:p>
      <w:pPr>
        <w:pStyle w:val="ListParagraph"/>
        <w:numPr>
          <w:ilvl w:val="0"/>
          <w:numId w:val="2"/>
        </w:numPr>
        <w:spacing w:after="90" w:line="290"/>
      </w:pPr>
      <w:r>
        <w:rPr>
          <w:rFonts w:ascii="IBM Plex Sans" w:cs="IBM Plex Sans" w:eastAsia="IBM Plex Sans" w:hAnsi="IBM Plex Sans"/>
          <w:color w:val="334155"/>
          <w:sz w:val="21"/>
          <w:szCs w:val="21"/>
        </w:rPr>
        <w:t xml:space="preserve">Vaginitis rekuren yang refrakter terhadap terapi standar berulang.</w:t>
      </w:r>
    </w:p>
    <w:p>
      <w:pPr>
        <w:pStyle w:val="ListParagraph"/>
        <w:numPr>
          <w:ilvl w:val="0"/>
          <w:numId w:val="2"/>
        </w:numPr>
        <w:spacing w:after="90" w:line="290"/>
      </w:pPr>
      <w:r>
        <w:rPr>
          <w:rFonts w:ascii="IBM Plex Sans" w:cs="IBM Plex Sans" w:eastAsia="IBM Plex Sans" w:hAnsi="IBM Plex Sans"/>
          <w:color w:val="334155"/>
          <w:sz w:val="21"/>
          <w:szCs w:val="21"/>
        </w:rPr>
        <w:t xml:space="preserve">Kecurigaan faktor psikososial atau perilaku seksual berisiko yang memerlukan konseling terstruktur.</w:t>
      </w:r>
    </w:p>
    <w:p>
      <w:pPr>
        <w:pStyle w:val="ListParagraph"/>
        <w:numPr>
          <w:ilvl w:val="0"/>
          <w:numId w:val="2"/>
        </w:numPr>
        <w:spacing w:after="90" w:line="290"/>
      </w:pPr>
      <w:r>
        <w:rPr>
          <w:rFonts w:ascii="IBM Plex Sans" w:cs="IBM Plex Sans" w:eastAsia="IBM Plex Sans" w:hAnsi="IBM Plex Sans"/>
          <w:color w:val="334155"/>
          <w:sz w:val="21"/>
          <w:szCs w:val="21"/>
        </w:rPr>
        <w:t xml:space="preserve">Kebutuhan edukasi dan intervensi komunitas terkait pencegahan infeksi saluran reproduksi berulang.</w:t>
      </w:r>
    </w:p>
    <w:p>
      <w:pPr>
        <w:pStyle w:val="ListParagraph"/>
        <w:numPr>
          <w:ilvl w:val="0"/>
          <w:numId w:val="2"/>
        </w:numPr>
        <w:spacing w:after="90" w:line="290"/>
      </w:pPr>
      <w:r>
        <w:rPr>
          <w:rFonts w:ascii="IBM Plex Sans" w:cs="IBM Plex Sans" w:eastAsia="IBM Plex Sans" w:hAnsi="IBM Plex Sans"/>
          <w:color w:val="334155"/>
          <w:sz w:val="21"/>
          <w:szCs w:val="21"/>
        </w:rPr>
        <w:t xml:space="preserve">Kasus yang berkaitan dengan kekerasan seksual atau kondisi kerentanan sosial lain.</w:t>
      </w:r>
    </w:p>
    <w:p>
      <w:pPr>
        <w:pStyle w:val="Heading1"/>
        <w:pBdr>
          <w:bottom w:val="single" w:color="B45309" w:sz="6" w:space="4"/>
        </w:pBdr>
        <w:spacing w:after="140" w:before="360"/>
      </w:pPr>
      <w:r>
        <w:rPr>
          <w:rFonts w:ascii="Source Serif 4" w:cs="Source Serif 4" w:eastAsia="Source Serif 4" w:hAnsi="Source Serif 4"/>
          <w:b/>
          <w:bCs/>
          <w:color w:val="4F46E5"/>
          <w:sz w:val="27"/>
          <w:szCs w:val="27"/>
        </w:rPr>
        <w:t xml:space="preserve">8. Edukasi Pasien dan Keluarga</w:t>
      </w:r>
    </w:p>
    <w:p>
      <w:pPr>
        <w:pStyle w:val="ListParagraph"/>
        <w:numPr>
          <w:ilvl w:val="0"/>
          <w:numId w:val="2"/>
        </w:numPr>
        <w:spacing w:after="90" w:line="290"/>
      </w:pPr>
      <w:r>
        <w:rPr>
          <w:rFonts w:ascii="IBM Plex Sans" w:cs="IBM Plex Sans" w:eastAsia="IBM Plex Sans" w:hAnsi="IBM Plex Sans"/>
          <w:color w:val="334155"/>
          <w:sz w:val="21"/>
          <w:szCs w:val="21"/>
        </w:rPr>
        <w:t xml:space="preserve">Pentingnya kepatuhan menyelesaikan seluruh regimen terapi meskipun gejala membaik lebih awal.</w:t>
      </w:r>
    </w:p>
    <w:p>
      <w:pPr>
        <w:pStyle w:val="ListParagraph"/>
        <w:numPr>
          <w:ilvl w:val="0"/>
          <w:numId w:val="2"/>
        </w:numPr>
        <w:spacing w:after="90" w:line="290"/>
      </w:pPr>
      <w:r>
        <w:rPr>
          <w:rFonts w:ascii="IBM Plex Sans" w:cs="IBM Plex Sans" w:eastAsia="IBM Plex Sans" w:hAnsi="IBM Plex Sans"/>
          <w:color w:val="334155"/>
          <w:sz w:val="21"/>
          <w:szCs w:val="21"/>
        </w:rPr>
        <w:t xml:space="preserve">Menghindari konsumsi alkohol selama dan minimal 24–72 jam setelah terapi metronidazol/tinidazol sesuai jenis obat.</w:t>
      </w:r>
    </w:p>
    <w:p>
      <w:pPr>
        <w:pStyle w:val="ListParagraph"/>
        <w:numPr>
          <w:ilvl w:val="0"/>
          <w:numId w:val="2"/>
        </w:numPr>
        <w:spacing w:after="90" w:line="290"/>
      </w:pPr>
      <w:r>
        <w:rPr>
          <w:rFonts w:ascii="IBM Plex Sans" w:cs="IBM Plex Sans" w:eastAsia="IBM Plex Sans" w:hAnsi="IBM Plex Sans"/>
          <w:color w:val="334155"/>
          <w:sz w:val="21"/>
          <w:szCs w:val="21"/>
        </w:rPr>
        <w:t xml:space="preserve">Abstinensia seksual hingga terapi tuntas dan gejala hilang, terutama pada trikomoniasis.</w:t>
      </w:r>
    </w:p>
    <w:p>
      <w:pPr>
        <w:pStyle w:val="ListParagraph"/>
        <w:numPr>
          <w:ilvl w:val="0"/>
          <w:numId w:val="2"/>
        </w:numPr>
        <w:spacing w:after="90" w:line="290"/>
      </w:pPr>
      <w:r>
        <w:rPr>
          <w:rFonts w:ascii="IBM Plex Sans" w:cs="IBM Plex Sans" w:eastAsia="IBM Plex Sans" w:hAnsi="IBM Plex Sans"/>
          <w:color w:val="334155"/>
          <w:sz w:val="21"/>
          <w:szCs w:val="21"/>
        </w:rPr>
        <w:t xml:space="preserve">Pentingnya pemeriksaan dan terapi pasangan seksual pada trikomoniasis untuk mencegah reinfeksi.</w:t>
      </w:r>
    </w:p>
    <w:p>
      <w:pPr>
        <w:pStyle w:val="ListParagraph"/>
        <w:numPr>
          <w:ilvl w:val="0"/>
          <w:numId w:val="2"/>
        </w:numPr>
        <w:spacing w:after="90" w:line="290"/>
      </w:pPr>
      <w:r>
        <w:rPr>
          <w:rFonts w:ascii="IBM Plex Sans" w:cs="IBM Plex Sans" w:eastAsia="IBM Plex Sans" w:hAnsi="IBM Plex Sans"/>
          <w:color w:val="334155"/>
          <w:sz w:val="21"/>
          <w:szCs w:val="21"/>
        </w:rPr>
        <w:t xml:space="preserve">Edukasi pencegahan: menghindari douching, memilih pakaian dalam yang menyerap keringat, serta kontrol gula darah pada pasien diabetes melitus.</w:t>
      </w:r>
    </w:p>
    <w:p>
      <w:pPr>
        <w:pStyle w:val="ListParagraph"/>
        <w:numPr>
          <w:ilvl w:val="0"/>
          <w:numId w:val="2"/>
        </w:numPr>
        <w:spacing w:after="90" w:line="290"/>
      </w:pPr>
      <w:r>
        <w:rPr>
          <w:rFonts w:ascii="IBM Plex Sans" w:cs="IBM Plex Sans" w:eastAsia="IBM Plex Sans" w:hAnsi="IBM Plex Sans"/>
          <w:color w:val="334155"/>
          <w:sz w:val="21"/>
          <w:szCs w:val="21"/>
        </w:rPr>
        <w:t xml:space="preserve">Kapan harus kontrol ulang: gejala menetap lebih dari 7–14 hari setelah terapi, gejala memberat, atau berulang dalam waktu singkat.</w:t>
      </w:r>
    </w:p>
    <w:p>
      <w:pPr>
        <w:pStyle w:val="Heading1"/>
        <w:pBdr>
          <w:bottom w:val="single" w:color="B45309" w:sz="6" w:space="4"/>
        </w:pBdr>
        <w:spacing w:after="140" w:before="360"/>
      </w:pPr>
      <w:r>
        <w:rPr>
          <w:rFonts w:ascii="Source Serif 4" w:cs="Source Serif 4" w:eastAsia="Source Serif 4" w:hAnsi="Source Serif 4"/>
          <w:b/>
          <w:bCs/>
          <w:color w:val="4F46E5"/>
          <w:sz w:val="27"/>
          <w:szCs w:val="27"/>
        </w:rPr>
        <w:t xml:space="preserve">9. Prognosis</w:t>
      </w:r>
    </w:p>
    <w:p>
      <w:pPr>
        <w:spacing w:after="160" w:line="300"/>
        <w:jc w:val="both"/>
      </w:pPr>
      <w:r>
        <w:rPr>
          <w:rFonts w:ascii="IBM Plex Sans" w:cs="IBM Plex Sans" w:eastAsia="IBM Plex Sans" w:hAnsi="IBM Plex Sans"/>
          <w:color w:val="334155"/>
          <w:sz w:val="21"/>
          <w:szCs w:val="21"/>
        </w:rPr>
        <w:t xml:space="preserve">Prognosis vaginitis pada umumnya baik apabila etiologi teridentifikasi dan terapi diberikan secara adekuat. Ad vitam: bonam. Ad functionam: bonam. Ad sanationam: bonam pada kasus tunggal dengan etiologi jelas, dubia ad bonam pada kasus rekuren yang memerlukan evaluasi faktor predisposisi (metabolik, perilaku, atau hormonal) secara menyeluruh.</w:t>
      </w:r>
    </w:p>
    <w:p>
      <w:pPr>
        <w:pStyle w:val="Heading1"/>
        <w:pBdr>
          <w:bottom w:val="single" w:color="B45309" w:sz="6" w:space="4"/>
        </w:pBdr>
        <w:spacing w:after="140" w:before="360"/>
      </w:pPr>
      <w:r>
        <w:rPr>
          <w:rFonts w:ascii="Source Serif 4" w:cs="Source Serif 4" w:eastAsia="Source Serif 4" w:hAnsi="Source Serif 4"/>
          <w:b/>
          <w:bCs/>
          <w:color w:val="4F46E5"/>
          <w:sz w:val="27"/>
          <w:szCs w:val="27"/>
        </w:rPr>
        <w:t xml:space="preserve">10. Tingkat Evidens dan Rekomendasi</w:t>
      </w:r>
    </w:p>
    <w:p>
      <w:pPr>
        <w:spacing w:after="160" w:line="300"/>
        <w:jc w:val="both"/>
      </w:pPr>
      <w:r>
        <w:rPr>
          <w:rFonts w:ascii="IBM Plex Sans" w:cs="IBM Plex Sans" w:eastAsia="IBM Plex Sans" w:hAnsi="IBM Plex Sans"/>
          <w:color w:val="334155"/>
          <w:sz w:val="21"/>
          <w:szCs w:val="21"/>
        </w:rPr>
        <w:t xml:space="preserve">Tingkat evidens berikut mengikuti pendekatan GRADE (Grading of Recommendations Assessment, Development and Evaluation) sebagaimana digunakan pada pedoman WHO 2024.</w:t>
      </w:r>
    </w:p>
    <w:p>
      <w:pPr>
        <w:pStyle w:val="ListParagraph"/>
        <w:numPr>
          <w:ilvl w:val="0"/>
          <w:numId w:val="2"/>
        </w:numPr>
        <w:spacing w:after="90" w:line="290"/>
      </w:pPr>
      <w:r>
        <w:rPr>
          <w:rFonts w:ascii="IBM Plex Sans" w:cs="IBM Plex Sans" w:eastAsia="IBM Plex Sans" w:hAnsi="IBM Plex Sans"/>
          <w:color w:val="334155"/>
          <w:sz w:val="21"/>
          <w:szCs w:val="21"/>
        </w:rPr>
        <w:t xml:space="preserve">Metronidazol oral 7 hari untuk vaginosis bakterialis: rekomendasi kondisional, kepastian bukti sedang (moderate certainty).</w:t>
      </w:r>
    </w:p>
    <w:p>
      <w:pPr>
        <w:pStyle w:val="ListParagraph"/>
        <w:numPr>
          <w:ilvl w:val="0"/>
          <w:numId w:val="2"/>
        </w:numPr>
        <w:spacing w:after="90" w:line="290"/>
      </w:pPr>
      <w:r>
        <w:rPr>
          <w:rFonts w:ascii="IBM Plex Sans" w:cs="IBM Plex Sans" w:eastAsia="IBM Plex Sans" w:hAnsi="IBM Plex Sans"/>
          <w:color w:val="334155"/>
          <w:sz w:val="21"/>
          <w:szCs w:val="21"/>
        </w:rPr>
        <w:t xml:space="preserve">Klindamisin dan secnidazol untuk vaginosis bakterialis: rekomendasi kondisional, kepastian bukti rendah (low certainty).</w:t>
      </w:r>
    </w:p>
    <w:p>
      <w:pPr>
        <w:pStyle w:val="ListParagraph"/>
        <w:numPr>
          <w:ilvl w:val="0"/>
          <w:numId w:val="2"/>
        </w:numPr>
        <w:spacing w:after="90" w:line="290"/>
      </w:pPr>
      <w:r>
        <w:rPr>
          <w:rFonts w:ascii="IBM Plex Sans" w:cs="IBM Plex Sans" w:eastAsia="IBM Plex Sans" w:hAnsi="IBM Plex Sans"/>
          <w:color w:val="334155"/>
          <w:sz w:val="21"/>
          <w:szCs w:val="21"/>
        </w:rPr>
        <w:t xml:space="preserve">Tinidazol untuk vaginosis bakterialis: rekomendasi kondisional, kepastian bukti sangat rendah (very low certainty).</w:t>
      </w:r>
    </w:p>
    <w:p>
      <w:pPr>
        <w:pStyle w:val="ListParagraph"/>
        <w:numPr>
          <w:ilvl w:val="0"/>
          <w:numId w:val="2"/>
        </w:numPr>
        <w:spacing w:after="90" w:line="290"/>
      </w:pPr>
      <w:r>
        <w:rPr>
          <w:rFonts w:ascii="IBM Plex Sans" w:cs="IBM Plex Sans" w:eastAsia="IBM Plex Sans" w:hAnsi="IBM Plex Sans"/>
          <w:color w:val="334155"/>
          <w:sz w:val="21"/>
          <w:szCs w:val="21"/>
        </w:rPr>
        <w:t xml:space="preserve">Metronidazol oral 7 hari untuk trikomoniasis: rekomendasi kondisional, kepastian bukti sedang (moderate certainty), didukung uji klinis teracak yang menunjukkan regimen multidosis menurunkan kegagalan terapi dibandingkan dosis tunggal pada perempuan.</w:t>
      </w:r>
    </w:p>
    <w:p>
      <w:pPr>
        <w:pStyle w:val="ListParagraph"/>
        <w:numPr>
          <w:ilvl w:val="0"/>
          <w:numId w:val="2"/>
        </w:numPr>
        <w:spacing w:after="90" w:line="290"/>
      </w:pPr>
      <w:r>
        <w:rPr>
          <w:rFonts w:ascii="IBM Plex Sans" w:cs="IBM Plex Sans" w:eastAsia="IBM Plex Sans" w:hAnsi="IBM Plex Sans"/>
          <w:color w:val="334155"/>
          <w:sz w:val="21"/>
          <w:szCs w:val="21"/>
        </w:rPr>
        <w:t xml:space="preserve">Flukonazol dosis tunggal untuk kandidiasis vulvovaginal tanpa komplikasi: rekomendasi berbasis konsensus praktik klinis (ACOG Practice Bulletin No. 215), efikasi setara dengan azol topikal pada uji klinis teracak.</w:t>
      </w:r>
    </w:p>
    <w:p>
      <w:pPr>
        <w:pStyle w:val="ListParagraph"/>
        <w:numPr>
          <w:ilvl w:val="0"/>
          <w:numId w:val="2"/>
        </w:numPr>
        <w:spacing w:after="90" w:line="290"/>
      </w:pPr>
      <w:r>
        <w:rPr>
          <w:rFonts w:ascii="IBM Plex Sans" w:cs="IBM Plex Sans" w:eastAsia="IBM Plex Sans" w:hAnsi="IBM Plex Sans"/>
          <w:color w:val="334155"/>
          <w:sz w:val="21"/>
          <w:szCs w:val="21"/>
        </w:rPr>
        <w:t xml:space="preserve">Terapi pasangan pria bersamaan pada vaginosis bakterialis rekuren: rekomendasi kondisional untuk dipertimbangkan pada kasus rekuren simtomatik dengan pasangan tetap, berdasarkan satu uji klinis teracak multisenter berkualitas tinggi (StepUp trial, 2025) yang mendasari pembaruan panduan praktik klinis ACOG 2025; belum menjadi rekomendasi rutin untuk seluruh kasus vaginosis bakterialis.</w:t>
      </w:r>
    </w:p>
    <w:p>
      <w:pPr>
        <w:pStyle w:val="Heading1"/>
        <w:pBdr>
          <w:bottom w:val="single" w:color="B45309" w:sz="6" w:space="4"/>
        </w:pBdr>
        <w:spacing w:after="140" w:before="360"/>
      </w:pPr>
      <w:r>
        <w:rPr>
          <w:rFonts w:ascii="Source Serif 4" w:cs="Source Serif 4" w:eastAsia="Source Serif 4" w:hAnsi="Source Serif 4"/>
          <w:b/>
          <w:bCs/>
          <w:color w:val="4F46E5"/>
          <w:sz w:val="27"/>
          <w:szCs w:val="27"/>
        </w:rPr>
        <w:t xml:space="preserve">11. Indikator Medis</w:t>
      </w:r>
    </w:p>
    <w:p>
      <w:pPr>
        <w:pStyle w:val="ListParagraph"/>
        <w:numPr>
          <w:ilvl w:val="0"/>
          <w:numId w:val="2"/>
        </w:numPr>
        <w:spacing w:after="90" w:line="290"/>
      </w:pPr>
      <w:r>
        <w:rPr>
          <w:rFonts w:ascii="IBM Plex Sans" w:cs="IBM Plex Sans" w:eastAsia="IBM Plex Sans" w:hAnsi="IBM Plex Sans"/>
          <w:color w:val="334155"/>
          <w:sz w:val="21"/>
          <w:szCs w:val="21"/>
        </w:rPr>
        <w:t xml:space="preserve">Persentase pasien dengan diagnosis vaginitis yang memiliki konfirmasi etiologi (pH, mikroskopik, atau uji penunjang lain) sebelum terapi dimulai.</w:t>
      </w:r>
    </w:p>
    <w:p>
      <w:pPr>
        <w:pStyle w:val="ListParagraph"/>
        <w:numPr>
          <w:ilvl w:val="0"/>
          <w:numId w:val="2"/>
        </w:numPr>
        <w:spacing w:after="90" w:line="290"/>
      </w:pPr>
      <w:r>
        <w:rPr>
          <w:rFonts w:ascii="IBM Plex Sans" w:cs="IBM Plex Sans" w:eastAsia="IBM Plex Sans" w:hAnsi="IBM Plex Sans"/>
          <w:color w:val="334155"/>
          <w:sz w:val="21"/>
          <w:szCs w:val="21"/>
        </w:rPr>
        <w:t xml:space="preserve">Angka keberhasilan terapi berupa resolusi gejala pada kontrol 7–14 hari pascaterapi.</w:t>
      </w:r>
    </w:p>
    <w:p>
      <w:pPr>
        <w:pStyle w:val="ListParagraph"/>
        <w:numPr>
          <w:ilvl w:val="0"/>
          <w:numId w:val="2"/>
        </w:numPr>
        <w:spacing w:after="90" w:line="290"/>
      </w:pPr>
      <w:r>
        <w:rPr>
          <w:rFonts w:ascii="IBM Plex Sans" w:cs="IBM Plex Sans" w:eastAsia="IBM Plex Sans" w:hAnsi="IBM Plex Sans"/>
          <w:color w:val="334155"/>
          <w:sz w:val="21"/>
          <w:szCs w:val="21"/>
        </w:rPr>
        <w:t xml:space="preserve">Angka rekurensi gejala dalam 3 bulan setelah terapi awal.</w:t>
      </w:r>
    </w:p>
    <w:p>
      <w:pPr>
        <w:pStyle w:val="ListParagraph"/>
        <w:numPr>
          <w:ilvl w:val="0"/>
          <w:numId w:val="2"/>
        </w:numPr>
        <w:spacing w:after="90" w:line="290"/>
      </w:pPr>
      <w:r>
        <w:rPr>
          <w:rFonts w:ascii="IBM Plex Sans" w:cs="IBM Plex Sans" w:eastAsia="IBM Plex Sans" w:hAnsi="IBM Plex Sans"/>
          <w:color w:val="334155"/>
          <w:sz w:val="21"/>
          <w:szCs w:val="21"/>
        </w:rPr>
        <w:t xml:space="preserve">Kepatuhan pencatatan penawaran/pelaksanaan terapi pasangan seksual pada kasus trikomoniasis.</w:t>
      </w:r>
    </w:p>
    <w:p>
      <w:pPr>
        <w:pStyle w:val="Heading1"/>
        <w:pBdr>
          <w:bottom w:val="single" w:color="B45309" w:sz="6" w:space="4"/>
        </w:pBdr>
        <w:spacing w:after="140" w:before="360"/>
      </w:pPr>
      <w:r>
        <w:rPr>
          <w:rFonts w:ascii="Source Serif 4" w:cs="Source Serif 4" w:eastAsia="Source Serif 4" w:hAnsi="Source Serif 4"/>
          <w:b/>
          <w:bCs/>
          <w:color w:val="4F46E5"/>
          <w:sz w:val="27"/>
          <w:szCs w:val="27"/>
        </w:rPr>
        <w:t xml:space="preserve">12. Perbandingan dan Pengayaan Standar Internasional</w:t>
      </w:r>
    </w:p>
    <w:p>
      <w:pPr>
        <w:spacing w:after="160" w:line="300"/>
        <w:jc w:val="both"/>
      </w:pPr>
      <w:r>
        <w:rPr>
          <w:rFonts w:ascii="IBM Plex Sans" w:cs="IBM Plex Sans" w:eastAsia="IBM Plex Sans" w:hAnsi="IBM Plex Sans"/>
          <w:color w:val="334155"/>
          <w:sz w:val="21"/>
          <w:szCs w:val="21"/>
        </w:rPr>
        <w:t xml:space="preserve">Standar nasional (Kepkonsil) menetapkan vaginitis sebagai satu entri kompetensi (Tabel 7 No. 42, N76.0/GA02) yang ditata laksana berdasarkan etiologi terkonfirmasi di tingkat pelayanan spesialis.</w:t>
      </w:r>
    </w:p>
    <w:p>
      <w:pPr>
        <w:pStyle w:val="Heading2"/>
        <w:spacing w:after="140" w:before="240"/>
      </w:pPr>
      <w:r>
        <w:rPr>
          <w:rFonts w:ascii="Source Serif 4" w:cs="Source Serif 4" w:eastAsia="Source Serif 4" w:hAnsi="Source Serif 4"/>
          <w:b/>
          <w:bCs/>
          <w:color w:val="1E1B4B"/>
          <w:sz w:val="24"/>
          <w:szCs w:val="24"/>
        </w:rPr>
        <w:t xml:space="preserve">12.1 Organisasi Kesehatan Dunia (WHO) dan ACOG</w:t>
      </w:r>
    </w:p>
    <w:p>
      <w:pPr>
        <w:spacing w:after="160" w:line="300"/>
        <w:jc w:val="both"/>
      </w:pPr>
      <w:r>
        <w:rPr>
          <w:rFonts w:ascii="IBM Plex Sans" w:cs="IBM Plex Sans" w:eastAsia="IBM Plex Sans" w:hAnsi="IBM Plex Sans"/>
          <w:color w:val="334155"/>
          <w:sz w:val="21"/>
          <w:szCs w:val="21"/>
        </w:rPr>
        <w:t xml:space="preserve">WHO, dalam Recommendations for the Treatment of Trichomonas Vaginalis, Mycoplasma Genitalium, Candida Albicans, Bacterial Vaginosis and Human Papillomavirus (Anogenital Warts) (2024), merekomendasikan metronidazol oral 400–500 mg dua kali sehari selama 7 hari sebagai lini pertama vaginosis bakterialis maupun trikomoniasis, sejalan dengan regimen pada Bagian 7.2. Untuk fasilitas dengan keterbatasan akses laboratorium, pedoman WHO sebelumnya (Guidelines for the Management of Symptomatic Sexually Transmitted Infections, 2021) tetap merekomendasikan pendekatan tata laksana sindromik duh vagina — terapi empiris berbasis kelompok gejala tanpa menunggu konfirmasi mikrobiologis. Praktik di Indonesia pada tingkat layanan spesialis mengikuti standar nasional yang mengutamakan konfirmasi etiologi melalui pemeriksaan penunjang sederhana sebelum terapi definitif, dengan pendekatan sindromik disediakan sebagai opsi pada keterbatasan fasilitas — sehingga terdapat perbedaan penekanan (bukan pertentangan) antara standar nasional dan rekomendasi WHO untuk konteks sumber daya terbatas. ACOG Practice Bulletin No. 215 (2020) tentang Vaginitis in Nonpregnant Patients memberikan regimen farmakologis yang secara substansial sejalan dengan WHO 2024 dan Bagian 7.2 di atas.</w:t>
      </w:r>
    </w:p>
    <w:p>
      <w:pPr>
        <w:pStyle w:val="Heading2"/>
        <w:spacing w:after="140" w:before="240"/>
      </w:pPr>
      <w:r>
        <w:rPr>
          <w:rFonts w:ascii="Source Serif 4" w:cs="Source Serif 4" w:eastAsia="Source Serif 4" w:hAnsi="Source Serif 4"/>
          <w:b/>
          <w:bCs/>
          <w:color w:val="1E1B4B"/>
          <w:sz w:val="24"/>
          <w:szCs w:val="24"/>
        </w:rPr>
        <w:t xml:space="preserve">12.2 Bukti Terkini Terapi Pasangan pada Vaginosis Bakterialis Rekuren</w:t>
      </w:r>
    </w:p>
    <w:p>
      <w:pPr>
        <w:spacing w:after="160" w:line="300"/>
        <w:jc w:val="both"/>
      </w:pPr>
      <w:r>
        <w:rPr>
          <w:rFonts w:ascii="IBM Plex Sans" w:cs="IBM Plex Sans" w:eastAsia="IBM Plex Sans" w:hAnsi="IBM Plex Sans"/>
          <w:color w:val="334155"/>
          <w:sz w:val="21"/>
          <w:szCs w:val="21"/>
        </w:rPr>
        <w:t xml:space="preserve">Tinjauan sistematis Cochrane oleh Amaya-Guio dkk. (2016) mengenai terapi antibiotik untuk pasangan seksual perempuan dengan vaginosis bakterialis pada saat itu tidak menemukan bukti manfaat yang konsisten dari terapi pasangan rutin terhadap penurunan angka rekurensi, sehingga panduan seperti ACOG Practice Bulletin No. 215 (2020) tidak merekomendasikan terapi pasangan secara rutin.</w:t>
      </w:r>
    </w:p>
    <w:p>
      <w:pPr>
        <w:spacing w:after="160" w:line="300"/>
        <w:jc w:val="both"/>
      </w:pPr>
      <w:r>
        <w:rPr>
          <w:rFonts w:ascii="IBM Plex Sans" w:cs="IBM Plex Sans" w:eastAsia="IBM Plex Sans" w:hAnsi="IBM Plex Sans"/>
          <w:color w:val="334155"/>
          <w:sz w:val="21"/>
          <w:szCs w:val="21"/>
        </w:rPr>
        <w:t xml:space="preserve">Bukti ini diperbarui secara bermakna oleh uji klinis teracak multisenter StepUp (Vodstrcil dkk., New England Journal of Medicine, 2025), yang menunjukkan bahwa terapi bersamaan pada pasangan pria — kombinasi metronidazol oral dan klindamisin krim topikal — menurunkan angka rekurensi vaginosis bakterialis dalam 12 minggu secara bermakna dibandingkan tata laksana standar (perempuan saja). Berdasarkan temuan ini, ACOG menerbitkan Clinical Practice Update berjudul Concurrent Sexual Partner Therapy to Prevent Bacterial Vaginosis Recurrence (2025) yang merekomendasikan pertimbangan terapi pasangan pria bersamaan pada pasien dewasa dengan vaginosis bakterialis simtomatik rekuren, serta pengambilan keputusan bersama (shared decision making) untuk pasien dengan pasangan sesama jenis atau pada episode pertama.</w:t>
      </w:r>
    </w:p>
    <w:p>
      <w:pPr>
        <w:spacing w:after="160" w:line="300"/>
        <w:jc w:val="both"/>
      </w:pPr>
      <w:r>
        <w:rPr>
          <w:rFonts w:ascii="IBM Plex Sans" w:cs="IBM Plex Sans" w:eastAsia="IBM Plex Sans" w:hAnsi="IBM Plex Sans"/>
          <w:color w:val="334155"/>
          <w:sz w:val="21"/>
          <w:szCs w:val="21"/>
        </w:rPr>
        <w:t xml:space="preserve">Kepkonsil Tabel 7 No. 42 belum secara eksplisit mengatur terapi pasangan pada vaginosis bakterialis rekuren; oleh karena itu, praktik di Indonesia pada saat penyusunan PPK ini mengikuti tata laksana etiologis standar pada pasien (Bagian 7.2), dengan pertimbangan terapi pasangan pria bersamaan pada kasus rekuren simtomatik sebagai opsi berbasis bukti terkini yang dapat diterapkan sesuai penilaian klinis dan ketersediaan sumber daya, bukan sebagai keharusan rutin.</w:t>
      </w:r>
    </w:p>
    <w:p>
      <w:pPr>
        <w:pStyle w:val="Heading1"/>
        <w:pBdr>
          <w:bottom w:val="single" w:color="B45309" w:sz="6" w:space="4"/>
        </w:pBdr>
        <w:spacing w:after="140" w:before="360"/>
      </w:pPr>
      <w:r>
        <w:rPr>
          <w:rFonts w:ascii="Source Serif 4" w:cs="Source Serif 4" w:eastAsia="Source Serif 4" w:hAnsi="Source Serif 4"/>
          <w:b/>
          <w:bCs/>
          <w:color w:val="4F46E5"/>
          <w:sz w:val="27"/>
          <w:szCs w:val="27"/>
        </w:rPr>
        <w:t xml:space="preserve">13. Kepustakaan</w:t>
      </w:r>
    </w:p>
    <w:p>
      <w:pPr>
        <w:pStyle w:val="ListParagraph"/>
        <w:numPr>
          <w:ilvl w:val="0"/>
          <w:numId w:val="2"/>
        </w:numPr>
        <w:spacing w:after="90" w:line="290"/>
      </w:pPr>
      <w:r>
        <w:rPr>
          <w:rFonts w:ascii="IBM Plex Sans" w:cs="IBM Plex Sans" w:eastAsia="IBM Plex Sans" w:hAnsi="IBM Plex Sans"/>
          <w:color w:val="334155"/>
          <w:sz w:val="21"/>
          <w:szCs w:val="21"/>
        </w:rPr>
        <w:t xml:space="preserve">Konsil Kesehatan Indonesia. Keputusan Ketua Konsil Kesehatan Indonesia No. HK.01.02/KKI/1318/2026 tentang Standar Kompetensi Dokter Spesialis dan Subspesialis Bidang Obstetri dan Ginekologi. Tabel 7 No. 42 dan Lampiran Definisi Istilah, hlm. 516.</w:t>
      </w:r>
    </w:p>
    <w:p>
      <w:pPr>
        <w:pStyle w:val="ListParagraph"/>
        <w:numPr>
          <w:ilvl w:val="0"/>
          <w:numId w:val="2"/>
        </w:numPr>
        <w:spacing w:after="90" w:line="290"/>
      </w:pPr>
      <w:r>
        <w:rPr>
          <w:rFonts w:ascii="IBM Plex Sans" w:cs="IBM Plex Sans" w:eastAsia="IBM Plex Sans" w:hAnsi="IBM Plex Sans"/>
          <w:color w:val="334155"/>
          <w:sz w:val="21"/>
          <w:szCs w:val="21"/>
        </w:rPr>
        <w:t xml:space="preserve">World Health Organization. Recommendations for the Treatment of Trichomonas Vaginalis, Mycoplasma Genitalium, Candida Albicans, Bacterial Vaginosis and Human Papillomavirus (Anogenital Warts). Geneva: WHO; 2024. Tersedia pada: https://www.who.int/publications/i/item/9789240096370</w:t>
      </w:r>
    </w:p>
    <w:p>
      <w:pPr>
        <w:pStyle w:val="ListParagraph"/>
        <w:numPr>
          <w:ilvl w:val="0"/>
          <w:numId w:val="2"/>
        </w:numPr>
        <w:spacing w:after="90" w:line="290"/>
      </w:pPr>
      <w:r>
        <w:rPr>
          <w:rFonts w:ascii="IBM Plex Sans" w:cs="IBM Plex Sans" w:eastAsia="IBM Plex Sans" w:hAnsi="IBM Plex Sans"/>
          <w:color w:val="334155"/>
          <w:sz w:val="21"/>
          <w:szCs w:val="21"/>
        </w:rPr>
        <w:t xml:space="preserve">World Health Organization. Guidelines for the Management of Symptomatic Sexually Transmitted Infections. Geneva: WHO; 2021. Tersedia pada: https://www.ncbi.nlm.nih.gov/books/NBK572659/</w:t>
      </w:r>
    </w:p>
    <w:p>
      <w:pPr>
        <w:pStyle w:val="ListParagraph"/>
        <w:numPr>
          <w:ilvl w:val="0"/>
          <w:numId w:val="2"/>
        </w:numPr>
        <w:spacing w:after="90" w:line="290"/>
      </w:pPr>
      <w:r>
        <w:rPr>
          <w:rFonts w:ascii="IBM Plex Sans" w:cs="IBM Plex Sans" w:eastAsia="IBM Plex Sans" w:hAnsi="IBM Plex Sans"/>
          <w:color w:val="334155"/>
          <w:sz w:val="21"/>
          <w:szCs w:val="21"/>
        </w:rPr>
        <w:t xml:space="preserve">World Health Organization. Bacterial Vaginosis (Fact Sheet). Geneva: WHO; 2025. Tersedia pada: https://www.who.int/news-room/fact-sheets/detail/bacterial-vaginosis</w:t>
      </w:r>
    </w:p>
    <w:p>
      <w:pPr>
        <w:pStyle w:val="ListParagraph"/>
        <w:numPr>
          <w:ilvl w:val="0"/>
          <w:numId w:val="2"/>
        </w:numPr>
        <w:spacing w:after="90" w:line="290"/>
      </w:pPr>
      <w:r>
        <w:rPr>
          <w:rFonts w:ascii="IBM Plex Sans" w:cs="IBM Plex Sans" w:eastAsia="IBM Plex Sans" w:hAnsi="IBM Plex Sans"/>
          <w:color w:val="334155"/>
          <w:sz w:val="21"/>
          <w:szCs w:val="21"/>
        </w:rPr>
        <w:t xml:space="preserve">American College of Obstetricians and Gynecologists. Vaginitis in Nonpregnant Patients: ACOG Practice Bulletin No. 215. Obstetrics &amp; Gynecology. 2020;135(1):e1–e17. Tersedia pada: https://pubmed.ncbi.nlm.nih.gov/31856123/</w:t>
      </w:r>
    </w:p>
    <w:p>
      <w:pPr>
        <w:pStyle w:val="ListParagraph"/>
        <w:numPr>
          <w:ilvl w:val="0"/>
          <w:numId w:val="2"/>
        </w:numPr>
        <w:spacing w:after="90" w:line="290"/>
      </w:pPr>
      <w:r>
        <w:rPr>
          <w:rFonts w:ascii="IBM Plex Sans" w:cs="IBM Plex Sans" w:eastAsia="IBM Plex Sans" w:hAnsi="IBM Plex Sans"/>
          <w:color w:val="334155"/>
          <w:sz w:val="21"/>
          <w:szCs w:val="21"/>
        </w:rPr>
        <w:t xml:space="preserve">American College of Obstetricians and Gynecologists. Concurrent Sexual Partner Therapy to Prevent Bacterial Vaginosis Recurrence: Clinical Practice Update. Obstetrics &amp; Gynecology. 2025;146(6):e111–e114. Tersedia pada: https://pubmed.ncbi.nlm.nih.gov/41100865/</w:t>
      </w:r>
    </w:p>
    <w:p>
      <w:pPr>
        <w:pStyle w:val="ListParagraph"/>
        <w:numPr>
          <w:ilvl w:val="0"/>
          <w:numId w:val="2"/>
        </w:numPr>
        <w:spacing w:after="90" w:line="290"/>
      </w:pPr>
      <w:r>
        <w:rPr>
          <w:rFonts w:ascii="IBM Plex Sans" w:cs="IBM Plex Sans" w:eastAsia="IBM Plex Sans" w:hAnsi="IBM Plex Sans"/>
          <w:color w:val="334155"/>
          <w:sz w:val="21"/>
          <w:szCs w:val="21"/>
        </w:rPr>
        <w:t xml:space="preserve">Amaya-Guio J, Viveros-Carreño DA, Sierra-Barrios EM, Martinez-Velasquez MY, Grillo-Ardila CF. Antibiotic Treatment for the Sexual Partners of Women with Bacterial Vaginosis. Cochrane Database of Systematic Reviews. 2016;(10):CD011701. Tersedia pada: https://pubmed.ncbi.nlm.nih.gov/27696372/</w:t>
      </w:r>
    </w:p>
    <w:p>
      <w:pPr>
        <w:pStyle w:val="ListParagraph"/>
        <w:numPr>
          <w:ilvl w:val="0"/>
          <w:numId w:val="2"/>
        </w:numPr>
        <w:spacing w:after="90" w:line="290"/>
      </w:pPr>
      <w:r>
        <w:rPr>
          <w:rFonts w:ascii="IBM Plex Sans" w:cs="IBM Plex Sans" w:eastAsia="IBM Plex Sans" w:hAnsi="IBM Plex Sans"/>
          <w:color w:val="334155"/>
          <w:sz w:val="21"/>
          <w:szCs w:val="21"/>
        </w:rPr>
        <w:t xml:space="preserve">Vodstrcil LA, Plummer EL, Fairley CK, et al., untuk StepUp Team. Male-Partner Treatment to Prevent Recurrence of Bacterial Vaginosis. New England Journal of Medicine. 2025;392(10):947–957. Tersedia pada: https://pubmed.ncbi.nlm.nih.gov/40043236/</w:t>
      </w:r>
    </w:p>
    <w:p>
      <w:pPr>
        <w:pStyle w:val="ListParagraph"/>
        <w:numPr>
          <w:ilvl w:val="0"/>
          <w:numId w:val="2"/>
        </w:numPr>
        <w:spacing w:after="90" w:line="290"/>
      </w:pPr>
      <w:r>
        <w:rPr>
          <w:rFonts w:ascii="IBM Plex Sans" w:cs="IBM Plex Sans" w:eastAsia="IBM Plex Sans" w:hAnsi="IBM Plex Sans"/>
          <w:color w:val="334155"/>
          <w:sz w:val="21"/>
          <w:szCs w:val="21"/>
        </w:rPr>
        <w:t xml:space="preserve">[Data epidemiologi nasional vaginitis di Indonesia: rujuk laporan/registri resmi terbaru — Kementerian Kesehatan RI, BKKBN, atau Perkumpulan Obstetri dan Ginekologi Indonesia (POGI)].</w:t>
      </w:r>
    </w:p>
    <w:p>
      <w:pPr>
        <w:pStyle w:val="Heading1"/>
        <w:pBdr>
          <w:bottom w:val="single" w:color="B45309" w:sz="6" w:space="4"/>
        </w:pBdr>
        <w:spacing w:after="140" w:before="360"/>
      </w:pPr>
      <w:r>
        <w:rPr>
          <w:rFonts w:ascii="Source Serif 4" w:cs="Source Serif 4" w:eastAsia="Source Serif 4" w:hAnsi="Source Serif 4"/>
          <w:b/>
          <w:bCs/>
          <w:color w:val="4F46E5"/>
          <w:sz w:val="27"/>
          <w:szCs w:val="27"/>
        </w:rPr>
        <w:t xml:space="preserve">Kontribusi Divisi Pengampu</w:t>
      </w:r>
    </w:p>
    <w:p>
      <w:pPr>
        <w:spacing w:after="140"/>
      </w:pPr>
      <w:r>
        <w:rPr>
          <w:rFonts w:ascii="IBM Plex Sans" w:cs="IBM Plex Sans" w:eastAsia="IBM Plex Sans" w:hAnsi="IBM Plex Sans"/>
          <w:i/>
          <w:iCs/>
          <w:color w:val="B45309"/>
          <w:sz w:val="20"/>
          <w:szCs w:val="20"/>
        </w:rPr>
        <w:t xml:space="preserve">Divisi: Obstetri Ginekologi Sosial</w:t>
      </w:r>
    </w:p>
    <w:p>
      <w:pPr>
        <w:pStyle w:val="Heading2"/>
        <w:spacing w:after="140" w:before="240"/>
      </w:pPr>
      <w:r>
        <w:rPr>
          <w:rFonts w:ascii="Source Serif 4" w:cs="Source Serif 4" w:eastAsia="Source Serif 4" w:hAnsi="Source Serif 4"/>
          <w:b/>
          <w:bCs/>
          <w:color w:val="1E1B4B"/>
          <w:sz w:val="24"/>
          <w:szCs w:val="24"/>
        </w:rPr>
        <w:t xml:space="preserve">A. Deskripsi</w:t>
      </w:r>
    </w:p>
    <w:p>
      <w:pPr>
        <w:spacing w:after="160" w:line="300"/>
        <w:jc w:val="both"/>
      </w:pPr>
      <w:r>
        <w:rPr>
          <w:rFonts w:ascii="IBM Plex Sans" w:cs="IBM Plex Sans" w:eastAsia="IBM Plex Sans" w:hAnsi="IBM Plex Sans"/>
          <w:color w:val="334155"/>
          <w:sz w:val="21"/>
          <w:szCs w:val="21"/>
        </w:rPr>
        <w:t xml:space="preserve">Vaginitis rekuren atau berulang sering berkaitan dengan faktor sosial-perilaku — akses layanan kesehatan, literasi kesehatan reproduksi, pola perilaku seksual, serta kondisi psikososial pasien — sehingga perspektif Obstetri Ginekologi Sosial relevan untuk melengkapi tata laksana biomedis murni, khususnya pada kasus yang tidak membaik dengan terapi farmakologis standar.</w:t>
      </w:r>
    </w:p>
    <w:p>
      <w:pPr>
        <w:pStyle w:val="Heading2"/>
        <w:spacing w:after="140" w:before="240"/>
      </w:pPr>
      <w:r>
        <w:rPr>
          <w:rFonts w:ascii="Source Serif 4" w:cs="Source Serif 4" w:eastAsia="Source Serif 4" w:hAnsi="Source Serif 4"/>
          <w:b/>
          <w:bCs/>
          <w:color w:val="1E1B4B"/>
          <w:sz w:val="24"/>
          <w:szCs w:val="24"/>
        </w:rPr>
        <w:t xml:space="preserve">B. Pendekatan Sosial-Perilaku pada Vaginitis Rekuren</w:t>
      </w:r>
    </w:p>
    <w:p>
      <w:pPr>
        <w:spacing w:after="160" w:line="300"/>
        <w:jc w:val="both"/>
      </w:pPr>
      <w:r>
        <w:rPr>
          <w:rFonts w:ascii="IBM Plex Sans" w:cs="IBM Plex Sans" w:eastAsia="IBM Plex Sans" w:hAnsi="IBM Plex Sans"/>
          <w:color w:val="334155"/>
          <w:sz w:val="21"/>
          <w:szCs w:val="21"/>
        </w:rPr>
        <w:t xml:space="preserve">Evaluasi vaginitis rekuren perlu melampaui identifikasi etiologi mikrobiologis semata. Kerangka analisis sosial-perilaku menilai tiga domain: (1) determinan perilaku — pola douching, pemilihan produk higiene, dan perilaku seksual berisiko; (2) determinan akses — keterjangkauan fasilitas layanan, kemampuan menyelesaikan regimen terapi penuh, dan keterlibatan pasangan dalam terapi; serta (3) determinan psikososial — stigma terkait keluhan area genital yang dapat menunda pencarian layanan, serta kemungkinan kaitan dengan relasi kekerasan atau ketimpangan kuasa dalam hubungan. Pendekatan konseling terstruktur pada domain ini terbukti membantu menurunkan angka rekurensi pada kasus yang sebelumnya dianggap refrakter secara farmakologis.</w:t>
      </w:r>
    </w:p>
    <w:p>
      <w:pPr>
        <w:pStyle w:val="Heading2"/>
        <w:spacing w:after="140" w:before="240"/>
      </w:pPr>
      <w:r>
        <w:rPr>
          <w:rFonts w:ascii="Source Serif 4" w:cs="Source Serif 4" w:eastAsia="Source Serif 4" w:hAnsi="Source Serif 4"/>
          <w:b/>
          <w:bCs/>
          <w:color w:val="1E1B4B"/>
          <w:sz w:val="24"/>
          <w:szCs w:val="24"/>
        </w:rPr>
        <w:t xml:space="preserve">C. Ilustrasi Kasus Lapangan</w:t>
      </w:r>
    </w:p>
    <w:tbl>
      <w:tblPr>
        <w:tblW w:type="pct" w:w="100%"/>
        <w:tblBorders>
          <w:top w:val="single" w:color="B45309" w:sz="4"/>
          <w:left w:val="single" w:color="B45309" w:sz="24"/>
          <w:bottom w:val="single" w:color="B45309" w:sz="4"/>
          <w:right w:val="single" w:color="B45309" w:sz="4"/>
          <w:insideH w:val="single" w:color="auto" w:sz="4"/>
          <w:insideV w:val="single" w:color="auto" w:sz="4"/>
        </w:tblBorders>
      </w:tblPr>
      <w:tblGrid>
        <w:gridCol w:w="100"/>
      </w:tblGrid>
      <w:tr>
        <w:tc>
          <w:tcPr>
            <w:shd w:fill="FFFBEB" w:val="clear"/>
            <w:tcMar>
              <w:top w:type="dxa" w:w="160"/>
              <w:left w:type="dxa" w:w="220"/>
              <w:bottom w:type="dxa" w:w="160"/>
              <w:right w:type="dxa" w:w="220"/>
            </w:tcMar>
          </w:tcPr>
          <w:p>
            <w:pPr>
              <w:jc w:val="both"/>
            </w:pPr>
            <w:r>
              <w:rPr>
                <w:rFonts w:ascii="IBM Plex Sans" w:cs="IBM Plex Sans" w:eastAsia="IBM Plex Sans" w:hAnsi="IBM Plex Sans"/>
                <w:i/>
                <w:iCs/>
                <w:color w:val="334155"/>
                <w:sz w:val="20"/>
                <w:szCs w:val="20"/>
              </w:rPr>
              <w:t xml:space="preserve">Seorang perempuan 29 tahun datang untuk keempat kalinya dalam setahun dengan keluhan keputihan dan gatal berulang, telah menyelesaikan terapi metronidazol dan flukonazol standar tiap episode tanpa perbaikan menetap. Anamnesis mendalam oleh tim Obstetri Ginekologi Sosial mengungkap kebiasaan douching rutin pascahubungan seksual serta keengganan mendiskusikan penggunaan kondom dengan pasangan. Setelah konseling perilaku terstruktur mengenai penghentian douching, edukasi komunikasi dengan pasangan, dan pemeriksaan gula darah yang menyingkirkan diabetes melitus, pasien tidak mengalami kekambuhan pada evaluasi 6 bulan berikutnya.</w:t>
            </w:r>
          </w:p>
        </w:tc>
      </w:tr>
    </w:tbl>
    <w:p>
      <w:pPr>
        <w:pStyle w:val="Heading1"/>
        <w:pBdr>
          <w:bottom w:val="single" w:color="B45309" w:sz="6" w:space="4"/>
        </w:pBdr>
        <w:spacing w:after="140" w:before="360"/>
      </w:pPr>
      <w:r>
        <w:rPr>
          <w:rFonts w:ascii="Source Serif 4" w:cs="Source Serif 4" w:eastAsia="Source Serif 4" w:hAnsi="Source Serif 4"/>
          <w:b/>
          <w:bCs/>
          <w:color w:val="4F46E5"/>
          <w:sz w:val="27"/>
          <w:szCs w:val="27"/>
        </w:rPr>
        <w:t xml:space="preserve">Glosarium</w:t>
      </w:r>
    </w:p>
    <w:tbl>
      <w:tblPr>
        <w:tblW w:type="pct" w:w="100%"/>
        <w:tblBorders>
          <w:top w:val="single" w:color="CBD5E1" w:sz="2"/>
          <w:left w:val="single" w:color="CBD5E1" w:sz="2"/>
          <w:bottom w:val="single" w:color="CBD5E1" w:sz="2"/>
          <w:right w:val="single" w:color="CBD5E1" w:sz="2"/>
          <w:insideH w:val="single" w:color="E2E8F0" w:sz="2"/>
          <w:insideV w:val="single" w:color="E2E8F0" w:sz="2"/>
        </w:tblBorders>
      </w:tblPr>
      <w:tblGrid>
        <w:gridCol w:w="100"/>
        <w:gridCol w:w="100"/>
      </w:tblGrid>
      <w:tr>
        <w:tc>
          <w:tcPr>
            <w:tcW w:type="dxa" w:w="3000"/>
            <w:shd w:fill="FFFFFF" w:val="clear"/>
            <w:tcMar>
              <w:top w:type="dxa" w:w="90"/>
              <w:left w:type="dxa" w:w="130"/>
              <w:bottom w:type="dxa" w:w="90"/>
              <w:right w:type="dxa" w:w="130"/>
            </w:tcMar>
          </w:tcPr>
          <w:p>
            <w:r>
              <w:rPr>
                <w:rFonts w:ascii="IBM Plex Sans" w:cs="IBM Plex Sans" w:eastAsia="IBM Plex Sans" w:hAnsi="IBM Plex Sans"/>
                <w:b/>
                <w:bCs/>
                <w:color w:val="1E1B4B"/>
                <w:sz w:val="19"/>
                <w:szCs w:val="19"/>
              </w:rPr>
              <w:t xml:space="preserve">Vaginitis</w:t>
            </w:r>
          </w:p>
        </w:tc>
        <w:tc>
          <w:tcPr>
            <w:tcW w:type="dxa" w:w="6500"/>
            <w:shd w:fill="FFFFFF" w:val="clear"/>
            <w:tcMar>
              <w:top w:type="dxa" w:w="90"/>
              <w:left w:type="dxa" w:w="130"/>
              <w:bottom w:type="dxa" w:w="90"/>
              <w:right w:type="dxa" w:w="130"/>
            </w:tcMar>
          </w:tcPr>
          <w:p>
            <w:pPr>
              <w:jc w:val="both"/>
            </w:pPr>
            <w:r>
              <w:rPr>
                <w:rFonts w:ascii="IBM Plex Sans" w:cs="IBM Plex Sans" w:eastAsia="IBM Plex Sans" w:hAnsi="IBM Plex Sans"/>
                <w:color w:val="334155"/>
                <w:sz w:val="19"/>
                <w:szCs w:val="19"/>
              </w:rPr>
              <w:t xml:space="preserve">Peradangan pada mukosa vagina yang ditandai keputihan, gatal, nyeri, atau dispareunia.</w:t>
            </w:r>
          </w:p>
        </w:tc>
      </w:tr>
      <w:tr>
        <w:tc>
          <w:tcPr>
            <w:tcW w:type="dxa" w:w="3000"/>
            <w:shd w:fill="F8FAFC" w:val="clear"/>
            <w:tcMar>
              <w:top w:type="dxa" w:w="90"/>
              <w:left w:type="dxa" w:w="130"/>
              <w:bottom w:type="dxa" w:w="90"/>
              <w:right w:type="dxa" w:w="130"/>
            </w:tcMar>
          </w:tcPr>
          <w:p>
            <w:r>
              <w:rPr>
                <w:rFonts w:ascii="IBM Plex Sans" w:cs="IBM Plex Sans" w:eastAsia="IBM Plex Sans" w:hAnsi="IBM Plex Sans"/>
                <w:b/>
                <w:bCs/>
                <w:color w:val="1E1B4B"/>
                <w:sz w:val="19"/>
                <w:szCs w:val="19"/>
              </w:rPr>
              <w:t xml:space="preserve">Vaginosis Bakterialis (Bacterial Vaginosis)</w:t>
            </w:r>
          </w:p>
        </w:tc>
        <w:tc>
          <w:tcPr>
            <w:tcW w:type="dxa" w:w="6500"/>
            <w:shd w:fill="F8FAFC" w:val="clear"/>
            <w:tcMar>
              <w:top w:type="dxa" w:w="90"/>
              <w:left w:type="dxa" w:w="130"/>
              <w:bottom w:type="dxa" w:w="90"/>
              <w:right w:type="dxa" w:w="130"/>
            </w:tcMar>
          </w:tcPr>
          <w:p>
            <w:pPr>
              <w:jc w:val="both"/>
            </w:pPr>
            <w:r>
              <w:rPr>
                <w:rFonts w:ascii="IBM Plex Sans" w:cs="IBM Plex Sans" w:eastAsia="IBM Plex Sans" w:hAnsi="IBM Plex Sans"/>
                <w:color w:val="334155"/>
                <w:sz w:val="19"/>
                <w:szCs w:val="19"/>
              </w:rPr>
              <w:t xml:space="preserve">Disbiosis mikrobiota vagina berupa penurunan Lactobacillus dan peningkatan bakteri anaerob, ditandai duh homogen berbau amis.</w:t>
            </w:r>
          </w:p>
        </w:tc>
      </w:tr>
      <w:tr>
        <w:tc>
          <w:tcPr>
            <w:tcW w:type="dxa" w:w="3000"/>
            <w:shd w:fill="FFFFFF" w:val="clear"/>
            <w:tcMar>
              <w:top w:type="dxa" w:w="90"/>
              <w:left w:type="dxa" w:w="130"/>
              <w:bottom w:type="dxa" w:w="90"/>
              <w:right w:type="dxa" w:w="130"/>
            </w:tcMar>
          </w:tcPr>
          <w:p>
            <w:r>
              <w:rPr>
                <w:rFonts w:ascii="IBM Plex Sans" w:cs="IBM Plex Sans" w:eastAsia="IBM Plex Sans" w:hAnsi="IBM Plex Sans"/>
                <w:b/>
                <w:bCs/>
                <w:color w:val="1E1B4B"/>
                <w:sz w:val="19"/>
                <w:szCs w:val="19"/>
              </w:rPr>
              <w:t xml:space="preserve">Kandidiasis Vulvovaginal (Vulvovaginal Candidiasis)</w:t>
            </w:r>
          </w:p>
        </w:tc>
        <w:tc>
          <w:tcPr>
            <w:tcW w:type="dxa" w:w="6500"/>
            <w:shd w:fill="FFFFFF" w:val="clear"/>
            <w:tcMar>
              <w:top w:type="dxa" w:w="90"/>
              <w:left w:type="dxa" w:w="130"/>
              <w:bottom w:type="dxa" w:w="90"/>
              <w:right w:type="dxa" w:w="130"/>
            </w:tcMar>
          </w:tcPr>
          <w:p>
            <w:pPr>
              <w:jc w:val="both"/>
            </w:pPr>
            <w:r>
              <w:rPr>
                <w:rFonts w:ascii="IBM Plex Sans" w:cs="IBM Plex Sans" w:eastAsia="IBM Plex Sans" w:hAnsi="IBM Plex Sans"/>
                <w:color w:val="334155"/>
                <w:sz w:val="19"/>
                <w:szCs w:val="19"/>
              </w:rPr>
              <w:t xml:space="preserve">Infeksi jamur pada vulva dan vagina, terutama disebabkan Candida albicans, dengan duh kental menyerupai keju dan gatal menonjol.</w:t>
            </w:r>
          </w:p>
        </w:tc>
      </w:tr>
      <w:tr>
        <w:tc>
          <w:tcPr>
            <w:tcW w:type="dxa" w:w="3000"/>
            <w:shd w:fill="F8FAFC" w:val="clear"/>
            <w:tcMar>
              <w:top w:type="dxa" w:w="90"/>
              <w:left w:type="dxa" w:w="130"/>
              <w:bottom w:type="dxa" w:w="90"/>
              <w:right w:type="dxa" w:w="130"/>
            </w:tcMar>
          </w:tcPr>
          <w:p>
            <w:r>
              <w:rPr>
                <w:rFonts w:ascii="IBM Plex Sans" w:cs="IBM Plex Sans" w:eastAsia="IBM Plex Sans" w:hAnsi="IBM Plex Sans"/>
                <w:b/>
                <w:bCs/>
                <w:color w:val="1E1B4B"/>
                <w:sz w:val="19"/>
                <w:szCs w:val="19"/>
              </w:rPr>
              <w:t xml:space="preserve">Trikomoniasis (Trichomoniasis)</w:t>
            </w:r>
          </w:p>
        </w:tc>
        <w:tc>
          <w:tcPr>
            <w:tcW w:type="dxa" w:w="6500"/>
            <w:shd w:fill="F8FAFC" w:val="clear"/>
            <w:tcMar>
              <w:top w:type="dxa" w:w="90"/>
              <w:left w:type="dxa" w:w="130"/>
              <w:bottom w:type="dxa" w:w="90"/>
              <w:right w:type="dxa" w:w="130"/>
            </w:tcMar>
          </w:tcPr>
          <w:p>
            <w:pPr>
              <w:jc w:val="both"/>
            </w:pPr>
            <w:r>
              <w:rPr>
                <w:rFonts w:ascii="IBM Plex Sans" w:cs="IBM Plex Sans" w:eastAsia="IBM Plex Sans" w:hAnsi="IBM Plex Sans"/>
                <w:color w:val="334155"/>
                <w:sz w:val="19"/>
                <w:szCs w:val="19"/>
              </w:rPr>
              <w:t xml:space="preserve">Infeksi menular seksual akibat protozoa Trichomonas vaginalis, ditandai duh berbusa kekuningan-kehijauan.</w:t>
            </w:r>
          </w:p>
        </w:tc>
      </w:tr>
      <w:tr>
        <w:tc>
          <w:tcPr>
            <w:tcW w:type="dxa" w:w="3000"/>
            <w:shd w:fill="FFFFFF" w:val="clear"/>
            <w:tcMar>
              <w:top w:type="dxa" w:w="90"/>
              <w:left w:type="dxa" w:w="130"/>
              <w:bottom w:type="dxa" w:w="90"/>
              <w:right w:type="dxa" w:w="130"/>
            </w:tcMar>
          </w:tcPr>
          <w:p>
            <w:r>
              <w:rPr>
                <w:rFonts w:ascii="IBM Plex Sans" w:cs="IBM Plex Sans" w:eastAsia="IBM Plex Sans" w:hAnsi="IBM Plex Sans"/>
                <w:b/>
                <w:bCs/>
                <w:color w:val="1E1B4B"/>
                <w:sz w:val="19"/>
                <w:szCs w:val="19"/>
              </w:rPr>
              <w:t xml:space="preserve">Vaginitis Atrofik (Atrophic Vaginitis)</w:t>
            </w:r>
          </w:p>
        </w:tc>
        <w:tc>
          <w:tcPr>
            <w:tcW w:type="dxa" w:w="6500"/>
            <w:shd w:fill="FFFFFF" w:val="clear"/>
            <w:tcMar>
              <w:top w:type="dxa" w:w="90"/>
              <w:left w:type="dxa" w:w="130"/>
              <w:bottom w:type="dxa" w:w="90"/>
              <w:right w:type="dxa" w:w="130"/>
            </w:tcMar>
          </w:tcPr>
          <w:p>
            <w:pPr>
              <w:jc w:val="both"/>
            </w:pPr>
            <w:r>
              <w:rPr>
                <w:rFonts w:ascii="IBM Plex Sans" w:cs="IBM Plex Sans" w:eastAsia="IBM Plex Sans" w:hAnsi="IBM Plex Sans"/>
                <w:color w:val="334155"/>
                <w:sz w:val="19"/>
                <w:szCs w:val="19"/>
              </w:rPr>
              <w:t xml:space="preserve">Peradangan/penipisan mukosa vagina non-infeksius akibat defisiensi estrogen, umum pada masa pascamenopause.</w:t>
            </w:r>
          </w:p>
        </w:tc>
      </w:tr>
      <w:tr>
        <w:tc>
          <w:tcPr>
            <w:tcW w:type="dxa" w:w="3000"/>
            <w:shd w:fill="F8FAFC" w:val="clear"/>
            <w:tcMar>
              <w:top w:type="dxa" w:w="90"/>
              <w:left w:type="dxa" w:w="130"/>
              <w:bottom w:type="dxa" w:w="90"/>
              <w:right w:type="dxa" w:w="130"/>
            </w:tcMar>
          </w:tcPr>
          <w:p>
            <w:r>
              <w:rPr>
                <w:rFonts w:ascii="IBM Plex Sans" w:cs="IBM Plex Sans" w:eastAsia="IBM Plex Sans" w:hAnsi="IBM Plex Sans"/>
                <w:b/>
                <w:bCs/>
                <w:color w:val="1E1B4B"/>
                <w:sz w:val="19"/>
                <w:szCs w:val="19"/>
              </w:rPr>
              <w:t xml:space="preserve">Dispareunia (Dyspareunia)</w:t>
            </w:r>
          </w:p>
        </w:tc>
        <w:tc>
          <w:tcPr>
            <w:tcW w:type="dxa" w:w="6500"/>
            <w:shd w:fill="F8FAFC" w:val="clear"/>
            <w:tcMar>
              <w:top w:type="dxa" w:w="90"/>
              <w:left w:type="dxa" w:w="130"/>
              <w:bottom w:type="dxa" w:w="90"/>
              <w:right w:type="dxa" w:w="130"/>
            </w:tcMar>
          </w:tcPr>
          <w:p>
            <w:pPr>
              <w:jc w:val="both"/>
            </w:pPr>
            <w:r>
              <w:rPr>
                <w:rFonts w:ascii="IBM Plex Sans" w:cs="IBM Plex Sans" w:eastAsia="IBM Plex Sans" w:hAnsi="IBM Plex Sans"/>
                <w:color w:val="334155"/>
                <w:sz w:val="19"/>
                <w:szCs w:val="19"/>
              </w:rPr>
              <w:t xml:space="preserve">Nyeri yang dirasakan saat atau setelah hubungan seksual.</w:t>
            </w:r>
          </w:p>
        </w:tc>
      </w:tr>
      <w:tr>
        <w:tc>
          <w:tcPr>
            <w:tcW w:type="dxa" w:w="3000"/>
            <w:shd w:fill="FFFFFF" w:val="clear"/>
            <w:tcMar>
              <w:top w:type="dxa" w:w="90"/>
              <w:left w:type="dxa" w:w="130"/>
              <w:bottom w:type="dxa" w:w="90"/>
              <w:right w:type="dxa" w:w="130"/>
            </w:tcMar>
          </w:tcPr>
          <w:p>
            <w:r>
              <w:rPr>
                <w:rFonts w:ascii="IBM Plex Sans" w:cs="IBM Plex Sans" w:eastAsia="IBM Plex Sans" w:hAnsi="IBM Plex Sans"/>
                <w:b/>
                <w:bCs/>
                <w:color w:val="1E1B4B"/>
                <w:sz w:val="19"/>
                <w:szCs w:val="19"/>
              </w:rPr>
              <w:t xml:space="preserve">Kriteria Amsel</w:t>
            </w:r>
          </w:p>
        </w:tc>
        <w:tc>
          <w:tcPr>
            <w:tcW w:type="dxa" w:w="6500"/>
            <w:shd w:fill="FFFFFF" w:val="clear"/>
            <w:tcMar>
              <w:top w:type="dxa" w:w="90"/>
              <w:left w:type="dxa" w:w="130"/>
              <w:bottom w:type="dxa" w:w="90"/>
              <w:right w:type="dxa" w:w="130"/>
            </w:tcMar>
          </w:tcPr>
          <w:p>
            <w:pPr>
              <w:jc w:val="both"/>
            </w:pPr>
            <w:r>
              <w:rPr>
                <w:rFonts w:ascii="IBM Plex Sans" w:cs="IBM Plex Sans" w:eastAsia="IBM Plex Sans" w:hAnsi="IBM Plex Sans"/>
                <w:color w:val="334155"/>
                <w:sz w:val="19"/>
                <w:szCs w:val="19"/>
              </w:rPr>
              <w:t xml:space="preserve">Seperangkat empat kriteria klinis untuk diagnosis vaginosis bakterialis; diagnosis ditegakkan bila ≥3 dari 4 kriteria terpenuhi.</w:t>
            </w:r>
          </w:p>
        </w:tc>
      </w:tr>
      <w:tr>
        <w:tc>
          <w:tcPr>
            <w:tcW w:type="dxa" w:w="3000"/>
            <w:shd w:fill="F8FAFC" w:val="clear"/>
            <w:tcMar>
              <w:top w:type="dxa" w:w="90"/>
              <w:left w:type="dxa" w:w="130"/>
              <w:bottom w:type="dxa" w:w="90"/>
              <w:right w:type="dxa" w:w="130"/>
            </w:tcMar>
          </w:tcPr>
          <w:p>
            <w:r>
              <w:rPr>
                <w:rFonts w:ascii="IBM Plex Sans" w:cs="IBM Plex Sans" w:eastAsia="IBM Plex Sans" w:hAnsi="IBM Plex Sans"/>
                <w:b/>
                <w:bCs/>
                <w:color w:val="1E1B4B"/>
                <w:sz w:val="19"/>
                <w:szCs w:val="19"/>
              </w:rPr>
              <w:t xml:space="preserve">Whiff Test (Uji Amin)</w:t>
            </w:r>
          </w:p>
        </w:tc>
        <w:tc>
          <w:tcPr>
            <w:tcW w:type="dxa" w:w="6500"/>
            <w:shd w:fill="F8FAFC" w:val="clear"/>
            <w:tcMar>
              <w:top w:type="dxa" w:w="90"/>
              <w:left w:type="dxa" w:w="130"/>
              <w:bottom w:type="dxa" w:w="90"/>
              <w:right w:type="dxa" w:w="130"/>
            </w:tcMar>
          </w:tcPr>
          <w:p>
            <w:pPr>
              <w:jc w:val="both"/>
            </w:pPr>
            <w:r>
              <w:rPr>
                <w:rFonts w:ascii="IBM Plex Sans" w:cs="IBM Plex Sans" w:eastAsia="IBM Plex Sans" w:hAnsi="IBM Plex Sans"/>
                <w:color w:val="334155"/>
                <w:sz w:val="19"/>
                <w:szCs w:val="19"/>
              </w:rPr>
              <w:t xml:space="preserve">Pemeriksaan yang menilai timbulnya bau amis setelah penambahan larutan kalium hidroksida (KOH) 10% pada sediaan duh vagina.</w:t>
            </w:r>
          </w:p>
        </w:tc>
      </w:tr>
      <w:tr>
        <w:tc>
          <w:tcPr>
            <w:tcW w:type="dxa" w:w="3000"/>
            <w:shd w:fill="FFFFFF" w:val="clear"/>
            <w:tcMar>
              <w:top w:type="dxa" w:w="90"/>
              <w:left w:type="dxa" w:w="130"/>
              <w:bottom w:type="dxa" w:w="90"/>
              <w:right w:type="dxa" w:w="130"/>
            </w:tcMar>
          </w:tcPr>
          <w:p>
            <w:r>
              <w:rPr>
                <w:rFonts w:ascii="IBM Plex Sans" w:cs="IBM Plex Sans" w:eastAsia="IBM Plex Sans" w:hAnsi="IBM Plex Sans"/>
                <w:b/>
                <w:bCs/>
                <w:color w:val="1E1B4B"/>
                <w:sz w:val="19"/>
                <w:szCs w:val="19"/>
              </w:rPr>
              <w:t xml:space="preserve">Clue Cells</w:t>
            </w:r>
          </w:p>
        </w:tc>
        <w:tc>
          <w:tcPr>
            <w:tcW w:type="dxa" w:w="6500"/>
            <w:shd w:fill="FFFFFF" w:val="clear"/>
            <w:tcMar>
              <w:top w:type="dxa" w:w="90"/>
              <w:left w:type="dxa" w:w="130"/>
              <w:bottom w:type="dxa" w:w="90"/>
              <w:right w:type="dxa" w:w="130"/>
            </w:tcMar>
          </w:tcPr>
          <w:p>
            <w:pPr>
              <w:jc w:val="both"/>
            </w:pPr>
            <w:r>
              <w:rPr>
                <w:rFonts w:ascii="IBM Plex Sans" w:cs="IBM Plex Sans" w:eastAsia="IBM Plex Sans" w:hAnsi="IBM Plex Sans"/>
                <w:color w:val="334155"/>
                <w:sz w:val="19"/>
                <w:szCs w:val="19"/>
              </w:rPr>
              <w:t xml:space="preserve">Sel epitel vagina yang permukaannya diselimuti bakteri sehingga batas selnya kabur, khas pada vaginosis bakterialis.</w:t>
            </w:r>
          </w:p>
        </w:tc>
      </w:tr>
      <w:tr>
        <w:tc>
          <w:tcPr>
            <w:tcW w:type="dxa" w:w="3000"/>
            <w:shd w:fill="F8FAFC" w:val="clear"/>
            <w:tcMar>
              <w:top w:type="dxa" w:w="90"/>
              <w:left w:type="dxa" w:w="130"/>
              <w:bottom w:type="dxa" w:w="90"/>
              <w:right w:type="dxa" w:w="130"/>
            </w:tcMar>
          </w:tcPr>
          <w:p>
            <w:r>
              <w:rPr>
                <w:rFonts w:ascii="IBM Plex Sans" w:cs="IBM Plex Sans" w:eastAsia="IBM Plex Sans" w:hAnsi="IBM Plex Sans"/>
                <w:b/>
                <w:bCs/>
                <w:color w:val="1E1B4B"/>
                <w:sz w:val="19"/>
                <w:szCs w:val="19"/>
              </w:rPr>
              <w:t xml:space="preserve">NAAT (Nucleic Acid Amplification Test)</w:t>
            </w:r>
          </w:p>
        </w:tc>
        <w:tc>
          <w:tcPr>
            <w:tcW w:type="dxa" w:w="6500"/>
            <w:shd w:fill="F8FAFC" w:val="clear"/>
            <w:tcMar>
              <w:top w:type="dxa" w:w="90"/>
              <w:left w:type="dxa" w:w="130"/>
              <w:bottom w:type="dxa" w:w="90"/>
              <w:right w:type="dxa" w:w="130"/>
            </w:tcMar>
          </w:tcPr>
          <w:p>
            <w:pPr>
              <w:jc w:val="both"/>
            </w:pPr>
            <w:r>
              <w:rPr>
                <w:rFonts w:ascii="IBM Plex Sans" w:cs="IBM Plex Sans" w:eastAsia="IBM Plex Sans" w:hAnsi="IBM Plex Sans"/>
                <w:color w:val="334155"/>
                <w:sz w:val="19"/>
                <w:szCs w:val="19"/>
              </w:rPr>
              <w:t xml:space="preserve">Metode pemeriksaan molekuler berbasis amplifikasi asam nukleat untuk mendeteksi patogen dengan sensitivitas tinggi.</w:t>
            </w:r>
          </w:p>
        </w:tc>
      </w:tr>
      <w:tr>
        <w:tc>
          <w:tcPr>
            <w:tcW w:type="dxa" w:w="3000"/>
            <w:shd w:fill="FFFFFF" w:val="clear"/>
            <w:tcMar>
              <w:top w:type="dxa" w:w="90"/>
              <w:left w:type="dxa" w:w="130"/>
              <w:bottom w:type="dxa" w:w="90"/>
              <w:right w:type="dxa" w:w="130"/>
            </w:tcMar>
          </w:tcPr>
          <w:p>
            <w:r>
              <w:rPr>
                <w:rFonts w:ascii="IBM Plex Sans" w:cs="IBM Plex Sans" w:eastAsia="IBM Plex Sans" w:hAnsi="IBM Plex Sans"/>
                <w:b/>
                <w:bCs/>
                <w:color w:val="1E1B4B"/>
                <w:sz w:val="19"/>
                <w:szCs w:val="19"/>
              </w:rPr>
              <w:t xml:space="preserve">Tata Laksana Sindromik (Syndromic Management)</w:t>
            </w:r>
          </w:p>
        </w:tc>
        <w:tc>
          <w:tcPr>
            <w:tcW w:type="dxa" w:w="6500"/>
            <w:shd w:fill="FFFFFF" w:val="clear"/>
            <w:tcMar>
              <w:top w:type="dxa" w:w="90"/>
              <w:left w:type="dxa" w:w="130"/>
              <w:bottom w:type="dxa" w:w="90"/>
              <w:right w:type="dxa" w:w="130"/>
            </w:tcMar>
          </w:tcPr>
          <w:p>
            <w:pPr>
              <w:jc w:val="both"/>
            </w:pPr>
            <w:r>
              <w:rPr>
                <w:rFonts w:ascii="IBM Plex Sans" w:cs="IBM Plex Sans" w:eastAsia="IBM Plex Sans" w:hAnsi="IBM Plex Sans"/>
                <w:color w:val="334155"/>
                <w:sz w:val="19"/>
                <w:szCs w:val="19"/>
              </w:rPr>
              <w:t xml:space="preserve">Pendekatan terapi empiris berdasarkan kumpulan gejala klinis tanpa menunggu hasil pemeriksaan penunjang, umum digunakan pada fasilitas dengan akses laboratorium terbatas.</w:t>
            </w:r>
          </w:p>
        </w:tc>
      </w:tr>
      <w:tr>
        <w:tc>
          <w:tcPr>
            <w:tcW w:type="dxa" w:w="3000"/>
            <w:shd w:fill="F8FAFC" w:val="clear"/>
            <w:tcMar>
              <w:top w:type="dxa" w:w="90"/>
              <w:left w:type="dxa" w:w="130"/>
              <w:bottom w:type="dxa" w:w="90"/>
              <w:right w:type="dxa" w:w="130"/>
            </w:tcMar>
          </w:tcPr>
          <w:p>
            <w:r>
              <w:rPr>
                <w:rFonts w:ascii="IBM Plex Sans" w:cs="IBM Plex Sans" w:eastAsia="IBM Plex Sans" w:hAnsi="IBM Plex Sans"/>
                <w:b/>
                <w:bCs/>
                <w:color w:val="1E1B4B"/>
                <w:sz w:val="19"/>
                <w:szCs w:val="19"/>
              </w:rPr>
              <w:t xml:space="preserve">Terapi Pasangan Bersamaan (Concurrent Partner Therapy)</w:t>
            </w:r>
          </w:p>
        </w:tc>
        <w:tc>
          <w:tcPr>
            <w:tcW w:type="dxa" w:w="6500"/>
            <w:shd w:fill="F8FAFC" w:val="clear"/>
            <w:tcMar>
              <w:top w:type="dxa" w:w="90"/>
              <w:left w:type="dxa" w:w="130"/>
              <w:bottom w:type="dxa" w:w="90"/>
              <w:right w:type="dxa" w:w="130"/>
            </w:tcMar>
          </w:tcPr>
          <w:p>
            <w:pPr>
              <w:jc w:val="both"/>
            </w:pPr>
            <w:r>
              <w:rPr>
                <w:rFonts w:ascii="IBM Plex Sans" w:cs="IBM Plex Sans" w:eastAsia="IBM Plex Sans" w:hAnsi="IBM Plex Sans"/>
                <w:color w:val="334155"/>
                <w:sz w:val="19"/>
                <w:szCs w:val="19"/>
              </w:rPr>
              <w:t xml:space="preserve">Pemberian terapi kepada pasangan seksual secara bersamaan dengan pasien indeks untuk mencegah reinfeksi atau rekurensi.</w:t>
            </w:r>
          </w:p>
        </w:tc>
      </w:tr>
      <w:tr>
        <w:tc>
          <w:tcPr>
            <w:tcW w:type="dxa" w:w="3000"/>
            <w:shd w:fill="FFFFFF" w:val="clear"/>
            <w:tcMar>
              <w:top w:type="dxa" w:w="90"/>
              <w:left w:type="dxa" w:w="130"/>
              <w:bottom w:type="dxa" w:w="90"/>
              <w:right w:type="dxa" w:w="130"/>
            </w:tcMar>
          </w:tcPr>
          <w:p>
            <w:r>
              <w:rPr>
                <w:rFonts w:ascii="IBM Plex Sans" w:cs="IBM Plex Sans" w:eastAsia="IBM Plex Sans" w:hAnsi="IBM Plex Sans"/>
                <w:b/>
                <w:bCs/>
                <w:color w:val="1E1B4B"/>
                <w:sz w:val="19"/>
                <w:szCs w:val="19"/>
              </w:rPr>
              <w:t xml:space="preserve">GRADE (Grading of Recommendations Assessment, Development and Evaluation)</w:t>
            </w:r>
          </w:p>
        </w:tc>
        <w:tc>
          <w:tcPr>
            <w:tcW w:type="dxa" w:w="6500"/>
            <w:shd w:fill="FFFFFF" w:val="clear"/>
            <w:tcMar>
              <w:top w:type="dxa" w:w="90"/>
              <w:left w:type="dxa" w:w="130"/>
              <w:bottom w:type="dxa" w:w="90"/>
              <w:right w:type="dxa" w:w="130"/>
            </w:tcMar>
          </w:tcPr>
          <w:p>
            <w:pPr>
              <w:jc w:val="both"/>
            </w:pPr>
            <w:r>
              <w:rPr>
                <w:rFonts w:ascii="IBM Plex Sans" w:cs="IBM Plex Sans" w:eastAsia="IBM Plex Sans" w:hAnsi="IBM Plex Sans"/>
                <w:color w:val="334155"/>
                <w:sz w:val="19"/>
                <w:szCs w:val="19"/>
              </w:rPr>
              <w:t xml:space="preserve">Sistem penilaian kepastian bukti dan kekuatan rekomendasi yang digunakan secara luas dalam pedoman praktik klinis, termasuk oleh WHO.</w:t>
            </w:r>
          </w:p>
        </w:tc>
      </w:tr>
    </w:tbl>
    <w:sectPr>
      <w:headerReference w:type="default" r:id="rId7"/>
      <w:footerReference w:type="default" r:id="rId8"/>
      <w:pgSz w:w="11906" w:h="16838" w:orient="portrait"/>
      <w:pgMar w:top="1134" w:right="1134" w:bottom="1134" w:left="1134"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jc w:val="center"/>
    </w:pPr>
    <w:r>
      <w:rPr>
        <w:rFonts w:ascii="IBM Plex Mono" w:cs="IBM Plex Mono" w:eastAsia="IBM Plex Mono" w:hAnsi="IBM Plex Mono"/>
        <w:color w:val="64748B"/>
        <w:sz w:val="16"/>
        <w:szCs w:val="16"/>
      </w:rPr>
      <w:t xml:space="preserve">PPK No. 42 dari 73  —  Halaman </w:t>
    </w:r>
    <w:r>
      <w:rPr>
        <w:rFonts w:ascii="IBM Plex Mono" w:cs="IBM Plex Mono" w:eastAsia="IBM Plex Mono" w:hAnsi="IBM Plex Mono"/>
        <w:color w:val="64748B"/>
        <w:sz w:val="16"/>
        <w:szCs w:val="16"/>
      </w:rPr>
      <w:fldChar w:fldCharType="begin"/>
      <w:instrText xml:space="preserve">PAGE</w:instrText>
      <w:fldChar w:fldCharType="separate"/>
      <w:fldChar w:fldCharType="end"/>
    </w:r>
    <w:r>
      <w:rPr>
        <w:rFonts w:ascii="IBM Plex Mono" w:cs="IBM Plex Mono" w:eastAsia="IBM Plex Mono" w:hAnsi="IBM Plex Mono"/>
        <w:color w:val="64748B"/>
        <w:sz w:val="16"/>
        <w:szCs w:val="16"/>
      </w:rPr>
      <w:t xml:space="preserve"> dari </w:t>
    </w:r>
    <w:r>
      <w:rPr>
        <w:rFonts w:ascii="IBM Plex Mono" w:cs="IBM Plex Mono" w:eastAsia="IBM Plex Mono" w:hAnsi="IBM Plex Mono"/>
        <w:color w:val="64748B"/>
        <w:sz w:val="16"/>
        <w:szCs w:val="16"/>
      </w:rPr>
      <w:fldChar w:fldCharType="begin"/>
      <w:instrText xml:space="preserve">NUMPAGES</w:instrText>
      <w:fldChar w:fldCharType="separate"/>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w16cid="http://schemas.microsoft.com/office/word/2016/wordml/cid" xmlns:w16se="http://schemas.microsoft.com/office/word/2015/wordml/symex">
  <w:p>
    <w:pPr>
      <w:pBdr>
        <w:bottom w:val="single" w:color="CBD5E1" w:sz="4" w:space="4"/>
      </w:pBdr>
      <w:tabs>
        <w:tab w:val="right" w:pos="9638"/>
      </w:tabs>
    </w:pPr>
    <w:r>
      <w:rPr>
        <w:rFonts w:ascii="IBM Plex Mono" w:cs="IBM Plex Mono" w:eastAsia="IBM Plex Mono" w:hAnsi="IBM Plex Mono"/>
        <w:color w:val="64748B"/>
        <w:sz w:val="16"/>
        <w:szCs w:val="16"/>
      </w:rPr>
      <w:t xml:space="preserve">PPK — Vaginitis</w:t>
    </w:r>
    <w:r>
      <w:rPr>
        <w:rFonts w:ascii="IBM Plex Mono" w:cs="IBM Plex Mono" w:eastAsia="IBM Plex Mono" w:hAnsi="IBM Plex Mono"/>
      </w:rPr>
      <w:t xml:space="preserve">	</w:t>
    </w:r>
    <w:r>
      <w:rPr>
        <w:rFonts w:ascii="IBM Plex Mono" w:cs="IBM Plex Mono" w:eastAsia="IBM Plex Mono" w:hAnsi="IBM Plex Mono"/>
        <w:color w:val="4F46E5"/>
        <w:sz w:val="16"/>
        <w:szCs w:val="16"/>
      </w:rPr>
      <w:t xml:space="preserve">PPK-042</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abstractNum w:abstractNumId="2" w15:restartNumberingAfterBreak="0">
    <w:multiLevelType w:val="hybridMultilevel"/>
    <w:lvl w:ilvl="0" w15:tentative="1">
      <w:start w:val="1"/>
      <w:numFmt w:val="bullet"/>
      <w:lvlText w:val="•"/>
      <w:lvlJc w:val="left"/>
      <w:pPr>
        <w:ind w:left="504" w:hanging="259"/>
      </w:pPr>
    </w:lvl>
  </w:abstractNum>
  <w:num w:numId="1">
    <w:abstractNumId w:val="1"/>
    <w:lvlOverride w:ilvl="0">
      <w:startOverride w:val="1"/>
    </w:lvlOverride>
  </w:num>
  <w:num w:numId="2">
    <w:abstractNumId w:val="2"/>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IBM Plex Sans" w:cs="IBM Plex Sans" w:eastAsia="IBM Plex Sans" w:hAnsi="IBM Plex Sans"/>
        <w:color w:val="334155"/>
        <w:sz w:val="21"/>
        <w:szCs w:val="21"/>
      </w:rPr>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header" Target="header1.xml"/><Relationship Id="rId8" Type="http://schemas.openxmlformats.org/officeDocument/2006/relationships/footer" Target="footer1.xml"/><Relationship Id="rId9"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er1.xml.rels><?xml version="1.0" encoding="UTF-8"?><Relationships xmlns="http://schemas.openxmlformats.org/package/2006/relationships"/>
</file>

<file path=word/_rels/footnotes.xml.rels><?xml version="1.0" encoding="UTF-8"?><Relationships xmlns="http://schemas.openxmlformats.org/package/2006/relationships"/>
</file>

<file path=word/_rels/header1.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2026-08-17T23:25:16.283Z</dcterms:created>
  <dcterms:modified xsi:type="dcterms:W3CDTF">2026-08-17T23:25:16.299Z</dcterms:modified>
</cp:coreProperties>
</file>

<file path=docProps/custom.xml><?xml version="1.0" encoding="utf-8"?>
<Properties xmlns="http://schemas.openxmlformats.org/officeDocument/2006/custom-properties" xmlns:vt="http://schemas.openxmlformats.org/officeDocument/2006/docPropsVTypes"/>
</file>