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800"/>
        <w:jc w:val="left"/>
      </w:pPr>
      <w:r>
        <w:rPr>
          <w:rFonts w:ascii="IBM Plex Sans" w:cs="IBM Plex Sans" w:eastAsia="IBM Plex Sans" w:hAnsi="IBM Plex Sans"/>
          <w:b/>
          <w:bCs/>
          <w:color w:val="B45309"/>
          <w:sz w:val="20"/>
          <w:szCs w:val="20"/>
        </w:rPr>
        <w:t xml:space="preserve">PANDUAN PRAKTIK KLINIS</w:t>
      </w:r>
    </w:p>
    <w:p>
      <w:pPr>
        <w:spacing w:after="60"/>
      </w:pPr>
      <w:r>
        <w:rPr>
          <w:rFonts w:ascii="IBM Plex Mono" w:cs="IBM Plex Mono" w:eastAsia="IBM Plex Mono" w:hAnsi="IBM Plex Mono"/>
          <w:color w:val="64748B"/>
          <w:sz w:val="18"/>
          <w:szCs w:val="18"/>
        </w:rPr>
        <w:t xml:space="preserve">PPK No. 43 dari 73</w:t>
      </w:r>
    </w:p>
    <w:p>
      <w:pPr>
        <w:spacing w:after="100" w:before="400"/>
      </w:pPr>
      <w:r>
        <w:rPr>
          <w:rFonts w:ascii="Source Serif 4" w:cs="Source Serif 4" w:eastAsia="Source Serif 4" w:hAnsi="Source Serif 4"/>
          <w:b/>
          <w:bCs/>
          <w:color w:val="4F46E5"/>
          <w:sz w:val="56"/>
          <w:szCs w:val="56"/>
        </w:rPr>
        <w:t xml:space="preserve">Servisitis</w:t>
      </w:r>
    </w:p>
    <w:p>
      <w:pPr>
        <w:spacing w:after="300"/>
      </w:pPr>
      <w:r>
        <w:rPr>
          <w:rFonts w:ascii="Source Serif 4" w:cs="Source Serif 4" w:eastAsia="Source Serif 4" w:hAnsi="Source Serif 4"/>
          <w:i/>
          <w:iCs/>
          <w:color w:val="64748B"/>
          <w:sz w:val="30"/>
          <w:szCs w:val="30"/>
        </w:rPr>
        <w:t xml:space="preserve">(Cervicitis)</w:t>
      </w:r>
    </w:p>
    <w:p>
      <w:pPr>
        <w:spacing w:after="60"/>
      </w:pPr>
      <w:r>
        <w:rPr>
          <w:rFonts w:ascii="IBM Plex Mono" w:cs="IBM Plex Mono" w:eastAsia="IBM Plex Mono" w:hAnsi="IBM Plex Mono"/>
          <w:color w:val="334155"/>
          <w:sz w:val="20"/>
          <w:szCs w:val="20"/>
        </w:rPr>
        <w:t xml:space="preserve">ICD-10: N72   |   ICD-11: GA04</w:t>
      </w:r>
    </w:p>
    <w:p>
      <w:pPr>
        <w:spacing w:after="400"/>
      </w:pPr>
      <w:r>
        <w:rPr>
          <w:rFonts w:ascii="IBM Plex Sans" w:cs="IBM Plex Sans" w:eastAsia="IBM Plex Sans" w:hAnsi="IBM Plex Sans"/>
          <w:color w:val="334155"/>
          <w:sz w:val="19"/>
          <w:szCs w:val="19"/>
        </w:rPr>
        <w:t xml:space="preserve">Divisi Pengampu: Obstetri Ginekologi Sosial</w:t>
      </w:r>
    </w:p>
    <w:tbl>
      <w:tblPr>
        <w:tblW w:type="dxa" w:w="9350"/>
        <w:tblBorders>
          <w:top w:val="single" w:color="4F46E5" w:sz="4"/>
          <w:left w:val="single" w:color="4F46E5" w:sz="24"/>
          <w:bottom w:val="single" w:color="4F46E5" w:sz="4"/>
          <w:right w:val="single" w:color="4F46E5" w:sz="4"/>
          <w:insideH w:val="single" w:color="auto" w:sz="4"/>
          <w:insideV w:val="single" w:color="auto" w:sz="4"/>
        </w:tblBorders>
      </w:tblPr>
      <w:tblGrid>
        <w:gridCol w:w="9350"/>
      </w:tblGrid>
      <w:tr>
        <w:tc>
          <w:tcPr>
            <w:tcW w:type="dxa" w:w="9350"/>
            <w:shd w:fill="EEF2FF" w:val="clear"/>
            <w:tcMar>
              <w:top w:type="dxa" w:w="140"/>
              <w:left w:type="dxa" w:w="220"/>
              <w:bottom w:type="dxa" w:w="140"/>
              <w:right w:type="dxa" w:w="220"/>
            </w:tcMar>
          </w:tcPr>
          <w:p>
            <w:pPr>
              <w:spacing w:after="60"/>
            </w:pPr>
            <w:r>
              <w:rPr>
                <w:rFonts w:ascii="IBM Plex Sans" w:cs="IBM Plex Sans" w:eastAsia="IBM Plex Sans" w:hAnsi="IBM Plex Sans"/>
                <w:b/>
                <w:bCs/>
                <w:color w:val="4F46E5"/>
                <w:sz w:val="18"/>
                <w:szCs w:val="18"/>
              </w:rPr>
              <w:t xml:space="preserve">Rujukan Silang — Buku Tematik Induk</w:t>
            </w:r>
          </w:p>
          <w:p>
            <w:r>
              <w:rPr>
                <w:rFonts w:ascii="IBM Plex Sans" w:cs="IBM Plex Sans" w:eastAsia="IBM Plex Sans" w:hAnsi="IBM Plex Sans"/>
                <w:color w:val="334155"/>
                <w:sz w:val="19"/>
                <w:szCs w:val="19"/>
              </w:rPr>
              <w:t xml:space="preserve">B6 — Ginekologi Umum dan Infeksi Saluran Reproduksi, Bab Infeksi Saluran Reproduksi dan Infeksi Menular Seksual pada Traktus Genitalia Bawah.</w:t>
            </w:r>
          </w:p>
        </w:tc>
      </w:tr>
    </w:tbl>
    <w:p>
      <w:pPr>
        <w:spacing w:after="40" w:before="500"/>
      </w:pPr>
      <w:r>
        <w:rPr>
          <w:rFonts w:ascii="IBM Plex Sans" w:cs="IBM Plex Sans" w:eastAsia="IBM Plex Sans" w:hAnsi="IBM Plex Sans"/>
          <w:b/>
          <w:bCs/>
          <w:color w:val="334155"/>
          <w:sz w:val="20"/>
          <w:szCs w:val="20"/>
        </w:rPr>
        <w:t xml:space="preserve">Dr.dr. Budi Siswanto, Sp.OG., Subsp.Obginsos., SH., S.Kom.</w:t>
      </w:r>
    </w:p>
    <w:p>
      <w:pPr>
        <w:spacing w:after="20"/>
      </w:pPr>
      <w:r>
        <w:rPr>
          <w:rFonts w:ascii="IBM Plex Sans" w:cs="IBM Plex Sans" w:eastAsia="IBM Plex Sans" w:hAnsi="IBM Plex Sans"/>
          <w:color w:val="64748B"/>
          <w:sz w:val="18"/>
          <w:szCs w:val="18"/>
        </w:rPr>
        <w:t xml:space="preserve">Perpustakaan Digital ABBA</w:t>
      </w:r>
    </w:p>
    <w:p>
      <w:pPr>
        <w:spacing w:after="20"/>
      </w:pPr>
      <w:r>
        <w:rPr>
          <w:rFonts w:ascii="IBM Plex Sans" w:cs="IBM Plex Sans" w:eastAsia="IBM Plex Sans" w:hAnsi="IBM Plex Sans"/>
          <w:color w:val="64748B"/>
          <w:sz w:val="18"/>
          <w:szCs w:val="18"/>
        </w:rPr>
        <w:t xml:space="preserve">Jl. Kerinci Raya No. 9, Malang 65138</w:t>
      </w:r>
    </w:p>
    <w:p>
      <w:pPr>
        <w:spacing w:after="300"/>
      </w:pPr>
      <w:r>
        <w:rPr>
          <w:rFonts w:ascii="IBM Plex Sans" w:cs="IBM Plex Sans" w:eastAsia="IBM Plex Sans" w:hAnsi="IBM Plex Sans"/>
          <w:color w:val="64748B"/>
          <w:sz w:val="18"/>
          <w:szCs w:val="18"/>
        </w:rPr>
        <w:t xml:space="preserve">Malang, Edisi Agustus 2026</w:t>
      </w:r>
    </w:p>
    <w:p>
      <w:pPr>
        <w:spacing w:before="300"/>
      </w:pPr>
      <w:r>
        <w:br w:type="page"/>
      </w:r>
    </w:p>
    <w:p>
      <w:pPr>
        <w:pStyle w:val="Heading1"/>
        <w:spacing w:after="160"/>
      </w:pPr>
      <w:r>
        <w:rPr>
          <w:rFonts w:ascii="Source Serif 4" w:cs="Source Serif 4" w:eastAsia="Source Serif 4" w:hAnsi="Source Serif 4"/>
          <w:b/>
          <w:bCs/>
          <w:color w:val="4F46E5"/>
          <w:sz w:val="25"/>
          <w:szCs w:val="25"/>
        </w:rPr>
        <w:t xml:space="preserve">Ringkasan PPK</w:t>
      </w:r>
    </w:p>
    <w:tbl>
      <w:tblPr>
        <w:tblW w:type="dxa" w:w="9350"/>
        <w:tblBorders>
          <w:top w:val="single" w:color="E2E8F0" w:sz="4"/>
          <w:left w:val="single" w:color="E2E8F0" w:sz="4"/>
          <w:bottom w:val="single" w:color="E2E8F0" w:sz="4"/>
          <w:right w:val="single" w:color="E2E8F0" w:sz="4"/>
          <w:insideH w:val="single" w:color="E2E8F0" w:sz="4"/>
          <w:insideV w:val="single" w:color="E2E8F0" w:sz="4"/>
        </w:tblBorders>
      </w:tblPr>
      <w:tblGrid>
        <w:gridCol w:w="3200"/>
        <w:gridCol w:w="6150"/>
      </w:tblGrid>
      <w:tr>
        <w:tc>
          <w:tcPr>
            <w:tcW w:type="dxa" w:w="3200"/>
            <w:shd w:fill="F8FAFC" w:val="clear"/>
            <w:tcMar>
              <w:top w:type="dxa" w:w="100"/>
              <w:left w:type="dxa" w:w="160"/>
              <w:bottom w:type="dxa" w:w="100"/>
              <w:right w:type="dxa" w:w="120"/>
            </w:tcMar>
          </w:tcPr>
          <w:p>
            <w:r>
              <w:rPr>
                <w:rFonts w:ascii="IBM Plex Sans" w:cs="IBM Plex Sans" w:eastAsia="IBM Plex Sans" w:hAnsi="IBM Plex Sans"/>
                <w:b/>
                <w:bCs/>
                <w:color w:val="334155"/>
                <w:sz w:val="19"/>
                <w:szCs w:val="19"/>
              </w:rPr>
              <w:t xml:space="preserve">Diagnosis</w:t>
            </w:r>
          </w:p>
        </w:tc>
        <w:tc>
          <w:tcPr>
            <w:tcW w:type="dxa" w:w="6150"/>
            <w:tcMar>
              <w:top w:type="dxa" w:w="100"/>
              <w:left w:type="dxa" w:w="160"/>
              <w:bottom w:type="dxa" w:w="100"/>
              <w:right w:type="dxa" w:w="120"/>
            </w:tcMar>
          </w:tcPr>
          <w:p>
            <w:r>
              <w:rPr>
                <w:rFonts w:ascii="IBM Plex Sans" w:cs="IBM Plex Sans" w:eastAsia="IBM Plex Sans" w:hAnsi="IBM Plex Sans"/>
                <w:color w:val="334155"/>
                <w:sz w:val="19"/>
                <w:szCs w:val="19"/>
              </w:rPr>
              <w:t xml:space="preserve">Servisitis (Cervicitis)</w:t>
            </w:r>
          </w:p>
        </w:tc>
      </w:tr>
      <w:tr>
        <w:tc>
          <w:tcPr>
            <w:tcW w:type="dxa" w:w="3200"/>
            <w:shd w:fill="F8FAFC" w:val="clear"/>
            <w:tcMar>
              <w:top w:type="dxa" w:w="100"/>
              <w:left w:type="dxa" w:w="160"/>
              <w:bottom w:type="dxa" w:w="100"/>
              <w:right w:type="dxa" w:w="120"/>
            </w:tcMar>
          </w:tcPr>
          <w:p>
            <w:r>
              <w:rPr>
                <w:rFonts w:ascii="IBM Plex Sans" w:cs="IBM Plex Sans" w:eastAsia="IBM Plex Sans" w:hAnsi="IBM Plex Sans"/>
                <w:b/>
                <w:bCs/>
                <w:color w:val="334155"/>
                <w:sz w:val="19"/>
                <w:szCs w:val="19"/>
              </w:rPr>
              <w:t xml:space="preserve">Kode ICD-10 / ICD-11</w:t>
            </w:r>
          </w:p>
        </w:tc>
        <w:tc>
          <w:tcPr>
            <w:tcW w:type="dxa" w:w="6150"/>
            <w:tcMar>
              <w:top w:type="dxa" w:w="100"/>
              <w:left w:type="dxa" w:w="160"/>
              <w:bottom w:type="dxa" w:w="100"/>
              <w:right w:type="dxa" w:w="120"/>
            </w:tcMar>
          </w:tcPr>
          <w:p>
            <w:r>
              <w:rPr>
                <w:rFonts w:ascii="IBM Plex Sans" w:cs="IBM Plex Sans" w:eastAsia="IBM Plex Sans" w:hAnsi="IBM Plex Sans"/>
                <w:color w:val="334155"/>
                <w:sz w:val="19"/>
                <w:szCs w:val="19"/>
              </w:rPr>
              <w:t xml:space="preserve">N72 / GA04</w:t>
            </w:r>
          </w:p>
        </w:tc>
      </w:tr>
      <w:tr>
        <w:tc>
          <w:tcPr>
            <w:tcW w:type="dxa" w:w="3200"/>
            <w:shd w:fill="F8FAFC" w:val="clear"/>
            <w:tcMar>
              <w:top w:type="dxa" w:w="100"/>
              <w:left w:type="dxa" w:w="160"/>
              <w:bottom w:type="dxa" w:w="100"/>
              <w:right w:type="dxa" w:w="120"/>
            </w:tcMar>
          </w:tcPr>
          <w:p>
            <w:r>
              <w:rPr>
                <w:rFonts w:ascii="IBM Plex Sans" w:cs="IBM Plex Sans" w:eastAsia="IBM Plex Sans" w:hAnsi="IBM Plex Sans"/>
                <w:b/>
                <w:bCs/>
                <w:color w:val="334155"/>
                <w:sz w:val="19"/>
                <w:szCs w:val="19"/>
              </w:rPr>
              <w:t xml:space="preserve">Kategori Dokumen</w:t>
            </w:r>
          </w:p>
        </w:tc>
        <w:tc>
          <w:tcPr>
            <w:tcW w:type="dxa" w:w="6150"/>
            <w:tcMar>
              <w:top w:type="dxa" w:w="100"/>
              <w:left w:type="dxa" w:w="160"/>
              <w:bottom w:type="dxa" w:w="100"/>
              <w:right w:type="dxa" w:w="120"/>
            </w:tcMar>
          </w:tcPr>
          <w:p>
            <w:r>
              <w:rPr>
                <w:rFonts w:ascii="IBM Plex Sans" w:cs="IBM Plex Sans" w:eastAsia="IBM Plex Sans" w:hAnsi="IBM Plex Sans"/>
                <w:color w:val="334155"/>
                <w:sz w:val="19"/>
                <w:szCs w:val="19"/>
              </w:rPr>
              <w:t xml:space="preserve">PPK No. 43 dari 73</w:t>
            </w:r>
          </w:p>
        </w:tc>
      </w:tr>
      <w:tr>
        <w:tc>
          <w:tcPr>
            <w:tcW w:type="dxa" w:w="3200"/>
            <w:shd w:fill="F8FAFC" w:val="clear"/>
            <w:tcMar>
              <w:top w:type="dxa" w:w="100"/>
              <w:left w:type="dxa" w:w="160"/>
              <w:bottom w:type="dxa" w:w="100"/>
              <w:right w:type="dxa" w:w="120"/>
            </w:tcMar>
          </w:tcPr>
          <w:p>
            <w:r>
              <w:rPr>
                <w:rFonts w:ascii="IBM Plex Sans" w:cs="IBM Plex Sans" w:eastAsia="IBM Plex Sans" w:hAnsi="IBM Plex Sans"/>
                <w:b/>
                <w:bCs/>
                <w:color w:val="334155"/>
                <w:sz w:val="19"/>
                <w:szCs w:val="19"/>
              </w:rPr>
              <w:t xml:space="preserve">Buku Tematik Induk</w:t>
            </w:r>
          </w:p>
        </w:tc>
        <w:tc>
          <w:tcPr>
            <w:tcW w:type="dxa" w:w="6150"/>
            <w:tcMar>
              <w:top w:type="dxa" w:w="100"/>
              <w:left w:type="dxa" w:w="160"/>
              <w:bottom w:type="dxa" w:w="100"/>
              <w:right w:type="dxa" w:w="120"/>
            </w:tcMar>
          </w:tcPr>
          <w:p>
            <w:r>
              <w:rPr>
                <w:rFonts w:ascii="IBM Plex Sans" w:cs="IBM Plex Sans" w:eastAsia="IBM Plex Sans" w:hAnsi="IBM Plex Sans"/>
                <w:color w:val="334155"/>
                <w:sz w:val="19"/>
                <w:szCs w:val="19"/>
              </w:rPr>
              <w:t xml:space="preserve">B6 — Ginekologi Umum dan Infeksi Saluran Reproduksi</w:t>
            </w:r>
          </w:p>
        </w:tc>
      </w:tr>
      <w:tr>
        <w:tc>
          <w:tcPr>
            <w:tcW w:type="dxa" w:w="3200"/>
            <w:shd w:fill="F8FAFC" w:val="clear"/>
            <w:tcMar>
              <w:top w:type="dxa" w:w="100"/>
              <w:left w:type="dxa" w:w="160"/>
              <w:bottom w:type="dxa" w:w="100"/>
              <w:right w:type="dxa" w:w="120"/>
            </w:tcMar>
          </w:tcPr>
          <w:p>
            <w:r>
              <w:rPr>
                <w:rFonts w:ascii="IBM Plex Sans" w:cs="IBM Plex Sans" w:eastAsia="IBM Plex Sans" w:hAnsi="IBM Plex Sans"/>
                <w:b/>
                <w:bCs/>
                <w:color w:val="334155"/>
                <w:sz w:val="19"/>
                <w:szCs w:val="19"/>
              </w:rPr>
              <w:t xml:space="preserve">Divisi Pengampu</w:t>
            </w:r>
          </w:p>
        </w:tc>
        <w:tc>
          <w:tcPr>
            <w:tcW w:type="dxa" w:w="6150"/>
            <w:tcMar>
              <w:top w:type="dxa" w:w="100"/>
              <w:left w:type="dxa" w:w="160"/>
              <w:bottom w:type="dxa" w:w="100"/>
              <w:right w:type="dxa" w:w="120"/>
            </w:tcMar>
          </w:tcPr>
          <w:p>
            <w:r>
              <w:rPr>
                <w:rFonts w:ascii="IBM Plex Sans" w:cs="IBM Plex Sans" w:eastAsia="IBM Plex Sans" w:hAnsi="IBM Plex Sans"/>
                <w:color w:val="334155"/>
                <w:sz w:val="19"/>
                <w:szCs w:val="19"/>
              </w:rPr>
              <w:t xml:space="preserve">Obstetri Ginekologi Sosial</w:t>
            </w:r>
          </w:p>
        </w:tc>
      </w:tr>
      <w:tr>
        <w:tc>
          <w:tcPr>
            <w:tcW w:type="dxa" w:w="3200"/>
            <w:shd w:fill="F8FAFC" w:val="clear"/>
            <w:tcMar>
              <w:top w:type="dxa" w:w="100"/>
              <w:left w:type="dxa" w:w="160"/>
              <w:bottom w:type="dxa" w:w="100"/>
              <w:right w:type="dxa" w:w="120"/>
            </w:tcMar>
          </w:tcPr>
          <w:p>
            <w:r>
              <w:rPr>
                <w:rFonts w:ascii="IBM Plex Sans" w:cs="IBM Plex Sans" w:eastAsia="IBM Plex Sans" w:hAnsi="IBM Plex Sans"/>
                <w:b/>
                <w:bCs/>
                <w:color w:val="334155"/>
                <w:sz w:val="19"/>
                <w:szCs w:val="19"/>
              </w:rPr>
              <w:t xml:space="preserve">Unit Analisis</w:t>
            </w:r>
          </w:p>
        </w:tc>
        <w:tc>
          <w:tcPr>
            <w:tcW w:type="dxa" w:w="6150"/>
            <w:tcMar>
              <w:top w:type="dxa" w:w="100"/>
              <w:left w:type="dxa" w:w="160"/>
              <w:bottom w:type="dxa" w:w="100"/>
              <w:right w:type="dxa" w:w="120"/>
            </w:tcMar>
          </w:tcPr>
          <w:p>
            <w:r>
              <w:rPr>
                <w:rFonts w:ascii="IBM Plex Sans" w:cs="IBM Plex Sans" w:eastAsia="IBM Plex Sans" w:hAnsi="IBM Plex Sans"/>
                <w:color w:val="334155"/>
                <w:sz w:val="19"/>
                <w:szCs w:val="19"/>
              </w:rPr>
              <w:t xml:space="preserve">1 pasien, 1 episode layanan (format PNPK)</w:t>
            </w:r>
          </w:p>
        </w:tc>
      </w:tr>
      <w:tr>
        <w:tc>
          <w:tcPr>
            <w:tcW w:type="dxa" w:w="3200"/>
            <w:shd w:fill="F8FAFC" w:val="clear"/>
            <w:tcMar>
              <w:top w:type="dxa" w:w="100"/>
              <w:left w:type="dxa" w:w="160"/>
              <w:bottom w:type="dxa" w:w="100"/>
              <w:right w:type="dxa" w:w="120"/>
            </w:tcMar>
          </w:tcPr>
          <w:p>
            <w:r>
              <w:rPr>
                <w:rFonts w:ascii="IBM Plex Sans" w:cs="IBM Plex Sans" w:eastAsia="IBM Plex Sans" w:hAnsi="IBM Plex Sans"/>
                <w:b/>
                <w:bCs/>
                <w:color w:val="334155"/>
                <w:sz w:val="19"/>
                <w:szCs w:val="19"/>
              </w:rPr>
              <w:t xml:space="preserve">Edisi</w:t>
            </w:r>
          </w:p>
        </w:tc>
        <w:tc>
          <w:tcPr>
            <w:tcW w:type="dxa" w:w="6150"/>
            <w:tcMar>
              <w:top w:type="dxa" w:w="100"/>
              <w:left w:type="dxa" w:w="160"/>
              <w:bottom w:type="dxa" w:w="100"/>
              <w:right w:type="dxa" w:w="120"/>
            </w:tcMar>
          </w:tcPr>
          <w:p>
            <w:r>
              <w:rPr>
                <w:rFonts w:ascii="IBM Plex Sans" w:cs="IBM Plex Sans" w:eastAsia="IBM Plex Sans" w:hAnsi="IBM Plex Sans"/>
                <w:color w:val="334155"/>
                <w:sz w:val="19"/>
                <w:szCs w:val="19"/>
              </w:rPr>
              <w:t xml:space="preserve">Agustus 2026</w:t>
            </w:r>
          </w:p>
        </w:tc>
      </w:tr>
    </w:tbl>
    <w:p>
      <w:pPr>
        <w:spacing w:after="200"/>
      </w:pP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1. </w:t>
      </w:r>
      <w:r>
        <w:rPr>
          <w:rFonts w:ascii="Source Serif 4" w:cs="Source Serif 4" w:eastAsia="Source Serif 4" w:hAnsi="Source Serif 4"/>
          <w:b/>
          <w:bCs/>
          <w:color w:val="4F46E5"/>
          <w:sz w:val="27"/>
          <w:szCs w:val="27"/>
        </w:rPr>
        <w:t xml:space="preserve">Pengertian/Definisi</w:t>
      </w:r>
    </w:p>
    <w:tbl>
      <w:tblPr>
        <w:tblW w:type="dxa" w:w="9350"/>
        <w:tblBorders>
          <w:top w:val="single" w:color="4F46E5" w:sz="4"/>
          <w:left w:val="single" w:color="4F46E5" w:sz="24"/>
          <w:bottom w:val="single" w:color="4F46E5" w:sz="4"/>
          <w:right w:val="single" w:color="4F46E5" w:sz="4"/>
          <w:insideH w:val="single" w:color="auto" w:sz="4"/>
          <w:insideV w:val="single" w:color="auto" w:sz="4"/>
        </w:tblBorders>
      </w:tblPr>
      <w:tblGrid>
        <w:gridCol w:w="9350"/>
      </w:tblGrid>
      <w:tr>
        <w:tc>
          <w:tcPr>
            <w:tcW w:type="dxa" w:w="9350"/>
            <w:shd w:fill="EEF2FF" w:val="clear"/>
            <w:tcMar>
              <w:top w:type="dxa" w:w="140"/>
              <w:left w:type="dxa" w:w="220"/>
              <w:bottom w:type="dxa" w:w="140"/>
              <w:right w:type="dxa" w:w="220"/>
            </w:tcMar>
          </w:tcPr>
          <w:p>
            <w:pPr>
              <w:spacing w:after="60"/>
            </w:pPr>
            <w:r>
              <w:rPr>
                <w:rFonts w:ascii="IBM Plex Sans" w:cs="IBM Plex Sans" w:eastAsia="IBM Plex Sans" w:hAnsi="IBM Plex Sans"/>
                <w:b/>
                <w:bCs/>
                <w:color w:val="4F46E5"/>
                <w:sz w:val="18"/>
                <w:szCs w:val="18"/>
              </w:rPr>
              <w:t xml:space="preserve">Dasar Regulasi</w:t>
            </w:r>
          </w:p>
          <w:p>
            <w:r>
              <w:rPr>
                <w:rFonts w:ascii="IBM Plex Sans" w:cs="IBM Plex Sans" w:eastAsia="IBM Plex Sans" w:hAnsi="IBM Plex Sans"/>
                <w:color w:val="334155"/>
                <w:sz w:val="19"/>
                <w:szCs w:val="19"/>
              </w:rPr>
              <w:t xml:space="preserve">Tabel 7 No. 43 Kepkonsil (Nama Penyakit: Servisitis/Cervicitis; ICD-10 N72; ICD-11 GA04; Keterangan/Populasi: inflamasi serviks) serta lampiran Istilah dan Deskripsi Kepkonsil terkait Servisitis.</w:t>
            </w:r>
          </w:p>
        </w:tc>
      </w:tr>
    </w:tbl>
    <w:p>
      <w:pPr>
        <w:spacing w:after="160" w:line="300"/>
      </w:pPr>
      <w:r>
        <w:rPr>
          <w:rFonts w:ascii="IBM Plex Sans" w:cs="IBM Plex Sans" w:eastAsia="IBM Plex Sans" w:hAnsi="IBM Plex Sans"/>
          <w:color w:val="334155"/>
          <w:sz w:val="21"/>
          <w:szCs w:val="21"/>
        </w:rPr>
        <w:t xml:space="preserve">PPK ini merupakan turunan operasional dari Bab Infeksi Saluran Reproduksi dan Infeksi Menular Seksual pada Traktus Genitalia Bawah, Buku Tematik B6 — Ginekologi Umum dan Infeksi Saluran Reproduksi.</w:t>
      </w:r>
    </w:p>
    <w:p>
      <w:pPr>
        <w:spacing w:after="160" w:line="300"/>
      </w:pPr>
      <w:r>
        <w:rPr>
          <w:rFonts w:ascii="IBM Plex Sans" w:cs="IBM Plex Sans" w:eastAsia="IBM Plex Sans" w:hAnsi="IBM Plex Sans"/>
          <w:color w:val="334155"/>
          <w:sz w:val="21"/>
          <w:szCs w:val="21"/>
        </w:rPr>
        <w:t xml:space="preserve">Servisitis (Cervicitis) adalah peradangan pada serviks uteri yang ditandai oleh inflamasi epitel kolumnar endoserviks dan/atau epitel skuamosa ektoserviks. Berdasarkan Tabel 7 No. 43 Kepkonsil, entitas ini dikodekan dengan ICD-10 N72 dan ICD-11 GA04, dengan keterangan populasi berupa inflamasi serviks pada perempuan usia reproduksi aktif secara seksual.</w:t>
      </w:r>
    </w:p>
    <w:p>
      <w:pPr>
        <w:spacing w:after="160" w:line="300"/>
      </w:pPr>
      <w:r>
        <w:rPr>
          <w:rFonts w:ascii="IBM Plex Sans" w:cs="IBM Plex Sans" w:eastAsia="IBM Plex Sans" w:hAnsi="IBM Plex Sans"/>
          <w:color w:val="334155"/>
          <w:sz w:val="21"/>
          <w:szCs w:val="21"/>
        </w:rPr>
        <w:t xml:space="preserve">Penyebab tersering adalah infeksi menular seksual (IMS), terutama Chlamydia trachomatis dan Neisseria gonorrhoeae. Penyebab lain mencakup Trichomonas vaginalis, Mycoplasma genitalium, virus herpes simpleks pada serviks, serta penyebab non-infeksi seperti iritasi kimia (douching, spermisida, lateks kondom), trauma mekanis instrumentasi, dan reaksi idiopatik/inflamasi kronik tanpa patogen yang dapat diidentifikasi. Pada sebagian besar kasus, khususnya yang disebabkan oleh Chlamydia trachomatis, perjalanan penyakit bersifat asimtomatik sehingga servisitis kerap luput dari perhatian klinis apabila pemeriksaan spekulum dan skrining berbasis risiko tidak dilakukan secara rutin.</w:t>
      </w:r>
    </w:p>
    <w:p>
      <w:pPr>
        <w:spacing w:after="160" w:line="300"/>
      </w:pPr>
      <w:r>
        <w:rPr>
          <w:rFonts w:ascii="IBM Plex Sans" w:cs="IBM Plex Sans" w:eastAsia="IBM Plex Sans" w:hAnsi="IBM Plex Sans"/>
          <w:color w:val="334155"/>
          <w:sz w:val="21"/>
          <w:szCs w:val="21"/>
        </w:rPr>
        <w:t xml:space="preserve">Secara klinis, servisitis dibedakan menjadi servisitis akut (onset baru, sering simtomatik dengan duh mukopurulen) dan servisitis persisten (gejala atau tanda inflamasi menetap meski terapi antimikroba lini pertama telah diberikan secara adekuat). Servisitis persisten memerlukan evaluasi ulang etiologi, termasuk kemungkinan peran Mycoplasma genitalium dan resistensi antimikroba, sebelum terapi tambahan diberikan.</w:t>
      </w:r>
    </w:p>
    <w:p>
      <w:pPr>
        <w:spacing w:after="160" w:line="300"/>
      </w:pPr>
      <w:r>
        <w:rPr>
          <w:rFonts w:ascii="IBM Plex Sans" w:cs="IBM Plex Sans" w:eastAsia="IBM Plex Sans" w:hAnsi="IBM Plex Sans"/>
          <w:color w:val="334155"/>
          <w:sz w:val="21"/>
          <w:szCs w:val="21"/>
        </w:rPr>
        <w:t xml:space="preserve">Signifikansi klinis servisitis tidak hanya terletak pada keluhan lokal, tetapi juga pada perannya sebagai gerbang menuju komplikasi traktus genitalia atas (penyakit radang panggul) apabila infeksi tidak ditangani, serta perannya dalam memfasilitasi penularan dan akuisisi HIV pada populasi yang terpajan ganda.</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2. </w:t>
      </w:r>
      <w:r>
        <w:rPr>
          <w:rFonts w:ascii="Source Serif 4" w:cs="Source Serif 4" w:eastAsia="Source Serif 4" w:hAnsi="Source Serif 4"/>
          <w:b/>
          <w:bCs/>
          <w:color w:val="4F46E5"/>
          <w:sz w:val="27"/>
          <w:szCs w:val="27"/>
        </w:rPr>
        <w:t xml:space="preserve">Anamnesis</w:t>
      </w:r>
    </w:p>
    <w:tbl>
      <w:tblPr>
        <w:tblW w:type="dxa" w:w="9350"/>
        <w:tblBorders>
          <w:top w:val="single" w:color="4F46E5" w:sz="4"/>
          <w:left w:val="single" w:color="4F46E5" w:sz="24"/>
          <w:bottom w:val="single" w:color="4F46E5" w:sz="4"/>
          <w:right w:val="single" w:color="4F46E5" w:sz="4"/>
          <w:insideH w:val="single" w:color="auto" w:sz="4"/>
          <w:insideV w:val="single" w:color="auto" w:sz="4"/>
        </w:tblBorders>
      </w:tblPr>
      <w:tblGrid>
        <w:gridCol w:w="9350"/>
      </w:tblGrid>
      <w:tr>
        <w:tc>
          <w:tcPr>
            <w:tcW w:type="dxa" w:w="9350"/>
            <w:shd w:fill="EEF2FF" w:val="clear"/>
            <w:tcMar>
              <w:top w:type="dxa" w:w="140"/>
              <w:left w:type="dxa" w:w="220"/>
              <w:bottom w:type="dxa" w:w="140"/>
              <w:right w:type="dxa" w:w="220"/>
            </w:tcMar>
          </w:tcPr>
          <w:p>
            <w:pPr>
              <w:spacing w:after="60"/>
            </w:pPr>
            <w:r>
              <w:rPr>
                <w:rFonts w:ascii="IBM Plex Sans" w:cs="IBM Plex Sans" w:eastAsia="IBM Plex Sans" w:hAnsi="IBM Plex Sans"/>
                <w:b/>
                <w:bCs/>
                <w:color w:val="4F46E5"/>
                <w:sz w:val="18"/>
                <w:szCs w:val="18"/>
              </w:rPr>
              <w:t xml:space="preserve">Dasar Regulasi</w:t>
            </w:r>
          </w:p>
          <w:p>
            <w:r>
              <w:rPr>
                <w:rFonts w:ascii="IBM Plex Sans" w:cs="IBM Plex Sans" w:eastAsia="IBM Plex Sans" w:hAnsi="IBM Plex Sans"/>
                <w:color w:val="334155"/>
                <w:sz w:val="19"/>
                <w:szCs w:val="19"/>
              </w:rPr>
              <w:t xml:space="preserve">Tabel 7 No. 43 Kepkonsil</w:t>
            </w:r>
          </w:p>
        </w:tc>
      </w:tr>
    </w:tbl>
    <w:p>
      <w:pPr>
        <w:spacing w:after="160" w:line="300"/>
      </w:pPr>
      <w:r>
        <w:rPr>
          <w:rFonts w:ascii="IBM Plex Sans" w:cs="IBM Plex Sans" w:eastAsia="IBM Plex Sans" w:hAnsi="IBM Plex Sans"/>
          <w:color w:val="334155"/>
          <w:sz w:val="21"/>
          <w:szCs w:val="21"/>
        </w:rPr>
        <w:t xml:space="preserve">Sebagian besar kasus servisitis, terutama yang disebabkan Chlamydia trachomatis, bersifat asimtomatik dan ditemukan secara insidental pada pemeriksaan ginekologi rutin atau skrining IMS berbasis risiko. Bila bergejala, keluhan yang perlu digali meliputi:</w:t>
      </w:r>
    </w:p>
    <w:p>
      <w:pPr>
        <w:pStyle w:val="ListParagraph"/>
        <w:numPr>
          <w:ilvl w:val="0"/>
          <w:numId w:val="2"/>
        </w:numPr>
        <w:spacing w:after="100" w:line="290"/>
      </w:pPr>
      <w:r>
        <w:rPr>
          <w:rFonts w:ascii="IBM Plex Sans" w:cs="IBM Plex Sans" w:eastAsia="IBM Plex Sans" w:hAnsi="IBM Plex Sans"/>
          <w:color w:val="334155"/>
          <w:sz w:val="21"/>
          <w:szCs w:val="21"/>
        </w:rPr>
        <w:t xml:space="preserve">Duh (discharge) vagina abnormal, biasanya mukopurulen atau purulen, berbau atau tidak berbau</w:t>
      </w:r>
    </w:p>
    <w:p>
      <w:pPr>
        <w:pStyle w:val="ListParagraph"/>
        <w:numPr>
          <w:ilvl w:val="0"/>
          <w:numId w:val="2"/>
        </w:numPr>
        <w:spacing w:after="100" w:line="290"/>
      </w:pPr>
      <w:r>
        <w:rPr>
          <w:rFonts w:ascii="IBM Plex Sans" w:cs="IBM Plex Sans" w:eastAsia="IBM Plex Sans" w:hAnsi="IBM Plex Sans"/>
          <w:color w:val="334155"/>
          <w:sz w:val="21"/>
          <w:szCs w:val="21"/>
        </w:rPr>
        <w:t xml:space="preserve">Perdarahan intermenstrual atau perdarahan pascakoitus (postcoital bleeding)</w:t>
      </w:r>
    </w:p>
    <w:p>
      <w:pPr>
        <w:pStyle w:val="ListParagraph"/>
        <w:numPr>
          <w:ilvl w:val="0"/>
          <w:numId w:val="2"/>
        </w:numPr>
        <w:spacing w:after="100" w:line="290"/>
      </w:pPr>
      <w:r>
        <w:rPr>
          <w:rFonts w:ascii="IBM Plex Sans" w:cs="IBM Plex Sans" w:eastAsia="IBM Plex Sans" w:hAnsi="IBM Plex Sans"/>
          <w:color w:val="334155"/>
          <w:sz w:val="21"/>
          <w:szCs w:val="21"/>
        </w:rPr>
        <w:t xml:space="preserve">Disuria tanpa disertai frekuensi/urgensi berat (membedakan dari infeksi saluran kemih murni)</w:t>
      </w:r>
    </w:p>
    <w:p>
      <w:pPr>
        <w:pStyle w:val="ListParagraph"/>
        <w:numPr>
          <w:ilvl w:val="0"/>
          <w:numId w:val="2"/>
        </w:numPr>
        <w:spacing w:after="100" w:line="290"/>
      </w:pPr>
      <w:r>
        <w:rPr>
          <w:rFonts w:ascii="IBM Plex Sans" w:cs="IBM Plex Sans" w:eastAsia="IBM Plex Sans" w:hAnsi="IBM Plex Sans"/>
          <w:color w:val="334155"/>
          <w:sz w:val="21"/>
          <w:szCs w:val="21"/>
        </w:rPr>
        <w:t xml:space="preserve">Dispareunia atau rasa tidak nyaman pada panggul bawah yang ringan</w:t>
      </w:r>
    </w:p>
    <w:p>
      <w:pPr>
        <w:pStyle w:val="ListParagraph"/>
        <w:numPr>
          <w:ilvl w:val="0"/>
          <w:numId w:val="2"/>
        </w:numPr>
        <w:spacing w:after="100" w:line="290"/>
      </w:pPr>
      <w:r>
        <w:rPr>
          <w:rFonts w:ascii="IBM Plex Sans" w:cs="IBM Plex Sans" w:eastAsia="IBM Plex Sans" w:hAnsi="IBM Plex Sans"/>
          <w:color w:val="334155"/>
          <w:sz w:val="21"/>
          <w:szCs w:val="21"/>
        </w:rPr>
        <w:t xml:space="preserve">Riwayat faktor risiko: pasangan seksual baru atau multipel dalam 60 hari terakhir, riwayat IMS sebelumnya pada pasien atau pasangan, hubungan seksual tanpa kondom, usia aktif seksual di bawah 25 tahun</w:t>
      </w:r>
    </w:p>
    <w:p>
      <w:pPr>
        <w:pStyle w:val="ListParagraph"/>
        <w:numPr>
          <w:ilvl w:val="0"/>
          <w:numId w:val="2"/>
        </w:numPr>
        <w:spacing w:after="100" w:line="290"/>
      </w:pPr>
      <w:r>
        <w:rPr>
          <w:rFonts w:ascii="IBM Plex Sans" w:cs="IBM Plex Sans" w:eastAsia="IBM Plex Sans" w:hAnsi="IBM Plex Sans"/>
          <w:color w:val="334155"/>
          <w:sz w:val="21"/>
          <w:szCs w:val="21"/>
        </w:rPr>
        <w:t xml:space="preserve">Riwayat obstetri-ginekologi: siklus haid, metode kontrasepsi yang digunakan, riwayat prosedur instrumentasi serviks, riwayat douching atau penggunaan produk intravagina</w:t>
      </w:r>
    </w:p>
    <w:p>
      <w:pPr>
        <w:pStyle w:val="ListParagraph"/>
        <w:numPr>
          <w:ilvl w:val="0"/>
          <w:numId w:val="2"/>
        </w:numPr>
        <w:spacing w:after="100" w:line="290"/>
      </w:pPr>
      <w:r>
        <w:rPr>
          <w:rFonts w:ascii="IBM Plex Sans" w:cs="IBM Plex Sans" w:eastAsia="IBM Plex Sans" w:hAnsi="IBM Plex Sans"/>
          <w:color w:val="334155"/>
          <w:sz w:val="21"/>
          <w:szCs w:val="21"/>
        </w:rPr>
        <w:t xml:space="preserve">Status kehamilan saat ini atau kemungkinan hamil, karena memengaruhi pilihan regimen farmakologis (Bagian 7.2)</w:t>
      </w:r>
    </w:p>
    <w:p>
      <w:pPr>
        <w:pStyle w:val="ListParagraph"/>
        <w:numPr>
          <w:ilvl w:val="0"/>
          <w:numId w:val="2"/>
        </w:numPr>
        <w:spacing w:after="100" w:line="290"/>
      </w:pPr>
      <w:r>
        <w:rPr>
          <w:rFonts w:ascii="IBM Plex Sans" w:cs="IBM Plex Sans" w:eastAsia="IBM Plex Sans" w:hAnsi="IBM Plex Sans"/>
          <w:color w:val="334155"/>
          <w:sz w:val="21"/>
          <w:szCs w:val="21"/>
        </w:rPr>
        <w:t xml:space="preserve">Gejala penyerta yang mengarah ke penyakit radang panggul (nyeri perut bawah berat, demam, mual-muntah) yang WAJIB disingkirkan sebagai diagnosis banding prioritas</w:t>
      </w:r>
    </w:p>
    <w:p>
      <w:pPr>
        <w:pStyle w:val="ListParagraph"/>
        <w:numPr>
          <w:ilvl w:val="0"/>
          <w:numId w:val="2"/>
        </w:numPr>
        <w:spacing w:after="100" w:line="290"/>
      </w:pPr>
      <w:r>
        <w:rPr>
          <w:rFonts w:ascii="IBM Plex Sans" w:cs="IBM Plex Sans" w:eastAsia="IBM Plex Sans" w:hAnsi="IBM Plex Sans"/>
          <w:color w:val="334155"/>
          <w:sz w:val="21"/>
          <w:szCs w:val="21"/>
        </w:rPr>
        <w:t xml:space="preserve">Populasi dengan indikasi skrining proaktif meskipun asimtomatik: perempuan hamil, remaja dan dewasa muda aktif seksual, pekerja seks, serta kelompok dengan prevalensi IMS lokal tinggi — sesuai arah kebijakan skrining IMS asimtomatik terkini.</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3. </w:t>
      </w:r>
      <w:r>
        <w:rPr>
          <w:rFonts w:ascii="Source Serif 4" w:cs="Source Serif 4" w:eastAsia="Source Serif 4" w:hAnsi="Source Serif 4"/>
          <w:b/>
          <w:bCs/>
          <w:color w:val="4F46E5"/>
          <w:sz w:val="27"/>
          <w:szCs w:val="27"/>
        </w:rPr>
        <w:t xml:space="preserve">Pemeriksaan Fisik</w:t>
      </w:r>
    </w:p>
    <w:tbl>
      <w:tblPr>
        <w:tblW w:type="dxa" w:w="9350"/>
        <w:tblBorders>
          <w:top w:val="single" w:color="4F46E5" w:sz="4"/>
          <w:left w:val="single" w:color="4F46E5" w:sz="24"/>
          <w:bottom w:val="single" w:color="4F46E5" w:sz="4"/>
          <w:right w:val="single" w:color="4F46E5" w:sz="4"/>
          <w:insideH w:val="single" w:color="auto" w:sz="4"/>
          <w:insideV w:val="single" w:color="auto" w:sz="4"/>
        </w:tblBorders>
      </w:tblPr>
      <w:tblGrid>
        <w:gridCol w:w="9350"/>
      </w:tblGrid>
      <w:tr>
        <w:tc>
          <w:tcPr>
            <w:tcW w:type="dxa" w:w="9350"/>
            <w:shd w:fill="EEF2FF" w:val="clear"/>
            <w:tcMar>
              <w:top w:type="dxa" w:w="140"/>
              <w:left w:type="dxa" w:w="220"/>
              <w:bottom w:type="dxa" w:w="140"/>
              <w:right w:type="dxa" w:w="220"/>
            </w:tcMar>
          </w:tcPr>
          <w:p>
            <w:pPr>
              <w:spacing w:after="60"/>
            </w:pPr>
            <w:r>
              <w:rPr>
                <w:rFonts w:ascii="IBM Plex Sans" w:cs="IBM Plex Sans" w:eastAsia="IBM Plex Sans" w:hAnsi="IBM Plex Sans"/>
                <w:b/>
                <w:bCs/>
                <w:color w:val="4F46E5"/>
                <w:sz w:val="18"/>
                <w:szCs w:val="18"/>
              </w:rPr>
              <w:t xml:space="preserve">Dasar Regulasi</w:t>
            </w:r>
          </w:p>
          <w:p>
            <w:r>
              <w:rPr>
                <w:rFonts w:ascii="IBM Plex Sans" w:cs="IBM Plex Sans" w:eastAsia="IBM Plex Sans" w:hAnsi="IBM Plex Sans"/>
                <w:color w:val="334155"/>
                <w:sz w:val="19"/>
                <w:szCs w:val="19"/>
              </w:rPr>
              <w:t xml:space="preserve">Tabel 7 No. 43 Kepkonsil</w:t>
            </w:r>
          </w:p>
        </w:tc>
      </w:tr>
    </w:tbl>
    <w:p>
      <w:pPr>
        <w:spacing w:after="160" w:line="300"/>
      </w:pPr>
      <w:r>
        <w:rPr>
          <w:rFonts w:ascii="IBM Plex Sans" w:cs="IBM Plex Sans" w:eastAsia="IBM Plex Sans" w:hAnsi="IBM Plex Sans"/>
          <w:color w:val="334155"/>
          <w:sz w:val="21"/>
          <w:szCs w:val="21"/>
        </w:rPr>
        <w:t xml:space="preserve">Pemeriksaan fisik ditujukan untuk mengonfirmasi tanda inflamasi lokal serviks dan menyingkirkan perluasan infeksi ke traktus genitalia atas.</w:t>
      </w:r>
    </w:p>
    <w:p>
      <w:pPr>
        <w:pStyle w:val="ListParagraph"/>
        <w:numPr>
          <w:ilvl w:val="0"/>
          <w:numId w:val="2"/>
        </w:numPr>
        <w:spacing w:after="100" w:line="290"/>
      </w:pPr>
      <w:r>
        <w:rPr>
          <w:rFonts w:ascii="IBM Plex Sans" w:cs="IBM Plex Sans" w:eastAsia="IBM Plex Sans" w:hAnsi="IBM Plex Sans"/>
          <w:color w:val="334155"/>
          <w:sz w:val="21"/>
          <w:szCs w:val="21"/>
        </w:rPr>
        <w:t xml:space="preserve">Tanda vital umum: biasanya dalam batas normal; demam mengarahkan kecurigaan ke penyakit radang panggul, bukan servisitis tanpa komplikasi</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abdomen: nyeri tekan suprapubik minimal atau tidak ada</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inspekulo: serviks tampak eritematosa, edema, rapuh (friable), dengan duh mukopurulen atau purulen keluar dari os eksterna endoserviks (mucopurulent cervicitis)</w:t>
      </w:r>
    </w:p>
    <w:p>
      <w:pPr>
        <w:pStyle w:val="ListParagraph"/>
        <w:numPr>
          <w:ilvl w:val="0"/>
          <w:numId w:val="2"/>
        </w:numPr>
        <w:spacing w:after="100" w:line="290"/>
      </w:pPr>
      <w:r>
        <w:rPr>
          <w:rFonts w:ascii="IBM Plex Sans" w:cs="IBM Plex Sans" w:eastAsia="IBM Plex Sans" w:hAnsi="IBM Plex Sans"/>
          <w:color w:val="334155"/>
          <w:sz w:val="21"/>
          <w:szCs w:val="21"/>
        </w:rPr>
        <w:t xml:space="preserve">Swab test (cotton swab test): swab kapas berwarna kuning-hijau setelah kontak dengan endoserviks menunjukkan duh mukopurulen</w:t>
      </w:r>
    </w:p>
    <w:p>
      <w:pPr>
        <w:pStyle w:val="ListParagraph"/>
        <w:numPr>
          <w:ilvl w:val="0"/>
          <w:numId w:val="2"/>
        </w:numPr>
        <w:spacing w:after="100" w:line="290"/>
      </w:pPr>
      <w:r>
        <w:rPr>
          <w:rFonts w:ascii="IBM Plex Sans" w:cs="IBM Plex Sans" w:eastAsia="IBM Plex Sans" w:hAnsi="IBM Plex Sans"/>
          <w:color w:val="334155"/>
          <w:sz w:val="21"/>
          <w:szCs w:val="21"/>
        </w:rPr>
        <w:t xml:space="preserve">Perdarahan kontak (contact bleeding/friability): perdarahan mudah timbul saat serviks disentuh lembut dengan swab atau spekulum</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bimanual: nyeri goyang serviks (cervical motion tenderness) dan nyeri adneksa umumnya minimal atau tidak ada pada servisitis tanpa komplikasi; bila ditemukan bermakna, arahkan evaluasi ke penyakit radang panggul (PPK No. 44)</w:t>
      </w:r>
    </w:p>
    <w:p>
      <w:pPr>
        <w:pStyle w:val="ListParagraph"/>
        <w:numPr>
          <w:ilvl w:val="0"/>
          <w:numId w:val="2"/>
        </w:numPr>
        <w:spacing w:after="100" w:line="290"/>
      </w:pPr>
      <w:r>
        <w:rPr>
          <w:rFonts w:ascii="IBM Plex Sans" w:cs="IBM Plex Sans" w:eastAsia="IBM Plex Sans" w:hAnsi="IBM Plex Sans"/>
          <w:color w:val="334155"/>
          <w:sz w:val="21"/>
          <w:szCs w:val="21"/>
        </w:rPr>
        <w:t xml:space="preserve">Pada servisitis akibat virus herpes simpleks, dapat ditemukan ulserasi atau vesikel pada ekto/endoserviks yang menyertai gambaran inflamasi umum</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4. </w:t>
      </w:r>
      <w:r>
        <w:rPr>
          <w:rFonts w:ascii="Source Serif 4" w:cs="Source Serif 4" w:eastAsia="Source Serif 4" w:hAnsi="Source Serif 4"/>
          <w:b/>
          <w:bCs/>
          <w:color w:val="4F46E5"/>
          <w:sz w:val="27"/>
          <w:szCs w:val="27"/>
        </w:rPr>
        <w:t xml:space="preserve">Kriteria Diagnosis</w:t>
      </w:r>
    </w:p>
    <w:tbl>
      <w:tblPr>
        <w:tblW w:type="dxa" w:w="9350"/>
        <w:tblBorders>
          <w:top w:val="single" w:color="4F46E5" w:sz="4"/>
          <w:left w:val="single" w:color="4F46E5" w:sz="24"/>
          <w:bottom w:val="single" w:color="4F46E5" w:sz="4"/>
          <w:right w:val="single" w:color="4F46E5" w:sz="4"/>
          <w:insideH w:val="single" w:color="auto" w:sz="4"/>
          <w:insideV w:val="single" w:color="auto" w:sz="4"/>
        </w:tblBorders>
      </w:tblPr>
      <w:tblGrid>
        <w:gridCol w:w="9350"/>
      </w:tblGrid>
      <w:tr>
        <w:tc>
          <w:tcPr>
            <w:tcW w:type="dxa" w:w="9350"/>
            <w:shd w:fill="EEF2FF" w:val="clear"/>
            <w:tcMar>
              <w:top w:type="dxa" w:w="140"/>
              <w:left w:type="dxa" w:w="220"/>
              <w:bottom w:type="dxa" w:w="140"/>
              <w:right w:type="dxa" w:w="220"/>
            </w:tcMar>
          </w:tcPr>
          <w:p>
            <w:pPr>
              <w:spacing w:after="60"/>
            </w:pPr>
            <w:r>
              <w:rPr>
                <w:rFonts w:ascii="IBM Plex Sans" w:cs="IBM Plex Sans" w:eastAsia="IBM Plex Sans" w:hAnsi="IBM Plex Sans"/>
                <w:b/>
                <w:bCs/>
                <w:color w:val="4F46E5"/>
                <w:sz w:val="18"/>
                <w:szCs w:val="18"/>
              </w:rPr>
              <w:t xml:space="preserve">Dasar Regulasi</w:t>
            </w:r>
          </w:p>
          <w:p>
            <w:r>
              <w:rPr>
                <w:rFonts w:ascii="IBM Plex Sans" w:cs="IBM Plex Sans" w:eastAsia="IBM Plex Sans" w:hAnsi="IBM Plex Sans"/>
                <w:color w:val="334155"/>
                <w:sz w:val="19"/>
                <w:szCs w:val="19"/>
              </w:rPr>
              <w:t xml:space="preserve">Tabel 7 No. 43 Kepkonsil — kode ICD-10 N72 dan ICD-11 GA04 diverifikasi ulang langsung dari sumber</w:t>
            </w:r>
          </w:p>
        </w:tc>
      </w:tr>
    </w:tbl>
    <w:p>
      <w:pPr>
        <w:spacing w:after="160" w:line="300"/>
      </w:pPr>
      <w:r>
        <w:rPr>
          <w:rFonts w:ascii="IBM Plex Sans" w:cs="IBM Plex Sans" w:eastAsia="IBM Plex Sans" w:hAnsi="IBM Plex Sans"/>
          <w:color w:val="334155"/>
          <w:sz w:val="21"/>
          <w:szCs w:val="21"/>
        </w:rPr>
        <w:t xml:space="preserve">Kode diagnosis: ICD-10 N72 (Servisitis/Cervicitis); ICD-11 GA04 (Cervicitis).</w:t>
      </w:r>
    </w:p>
    <w:p>
      <w:pPr>
        <w:spacing w:after="160" w:line="300"/>
      </w:pPr>
      <w:r>
        <w:rPr>
          <w:rFonts w:ascii="IBM Plex Sans" w:cs="IBM Plex Sans" w:eastAsia="IBM Plex Sans" w:hAnsi="IBM Plex Sans"/>
          <w:color w:val="334155"/>
          <w:sz w:val="21"/>
          <w:szCs w:val="21"/>
        </w:rPr>
        <w:t xml:space="preserve">Diagnosis servisitis ditegakkan berdasarkan kombinasi temuan klinis dan konfirmasi laboratorium berikut:</w:t>
      </w:r>
    </w:p>
    <w:p>
      <w:pPr>
        <w:pStyle w:val="ListParagraph"/>
        <w:numPr>
          <w:ilvl w:val="0"/>
          <w:numId w:val="2"/>
        </w:numPr>
        <w:spacing w:after="100" w:line="290"/>
      </w:pPr>
      <w:r>
        <w:rPr>
          <w:rFonts w:ascii="IBM Plex Sans" w:cs="IBM Plex Sans" w:eastAsia="IBM Plex Sans" w:hAnsi="IBM Plex Sans"/>
          <w:color w:val="334155"/>
          <w:sz w:val="21"/>
          <w:szCs w:val="21"/>
        </w:rPr>
        <w:t xml:space="preserve">Kriteria klinis mayor: tampak duh mukopurulen/purulen pada endoserviks dan/atau perdarahan kontak mudah pada swab endoserviks</w:t>
      </w:r>
    </w:p>
    <w:p>
      <w:pPr>
        <w:pStyle w:val="ListParagraph"/>
        <w:numPr>
          <w:ilvl w:val="0"/>
          <w:numId w:val="2"/>
        </w:numPr>
        <w:spacing w:after="100" w:line="290"/>
      </w:pPr>
      <w:r>
        <w:rPr>
          <w:rFonts w:ascii="IBM Plex Sans" w:cs="IBM Plex Sans" w:eastAsia="IBM Plex Sans" w:hAnsi="IBM Plex Sans"/>
          <w:color w:val="334155"/>
          <w:sz w:val="21"/>
          <w:szCs w:val="21"/>
        </w:rPr>
        <w:t xml:space="preserve">Kriteria laboratorium penunjang: leukosit polimorfonuklear meningkat pada sediaan hapus sekret endoserviks, dengan ambang yang dapat bervariasi menurut protokol laboratorium setempat</w:t>
      </w:r>
    </w:p>
    <w:p>
      <w:pPr>
        <w:pStyle w:val="ListParagraph"/>
        <w:numPr>
          <w:ilvl w:val="0"/>
          <w:numId w:val="2"/>
        </w:numPr>
        <w:spacing w:after="100" w:line="290"/>
      </w:pPr>
      <w:r>
        <w:rPr>
          <w:rFonts w:ascii="IBM Plex Sans" w:cs="IBM Plex Sans" w:eastAsia="IBM Plex Sans" w:hAnsi="IBM Plex Sans"/>
          <w:color w:val="334155"/>
          <w:sz w:val="21"/>
          <w:szCs w:val="21"/>
        </w:rPr>
        <w:t xml:space="preserve">Konfirmasi etiologi: hasil NAAT (nucleic acid amplification test) positif untuk Chlamydia trachomatis dan/atau Neisseria gonorrhoeae, atau identifikasi patogen lain (Trichomonas vaginalis, Mycoplasma genitalium, virus herpes simpleks)</w:t>
      </w:r>
    </w:p>
    <w:p>
      <w:pPr>
        <w:pStyle w:val="ListParagraph"/>
        <w:numPr>
          <w:ilvl w:val="0"/>
          <w:numId w:val="2"/>
        </w:numPr>
        <w:spacing w:after="100" w:line="290"/>
      </w:pPr>
      <w:r>
        <w:rPr>
          <w:rFonts w:ascii="IBM Plex Sans" w:cs="IBM Plex Sans" w:eastAsia="IBM Plex Sans" w:hAnsi="IBM Plex Sans"/>
          <w:color w:val="334155"/>
          <w:sz w:val="21"/>
          <w:szCs w:val="21"/>
        </w:rPr>
        <w:t xml:space="preserve">Diagnosis dapat ditegakkan secara klinis (presumtif) untuk memulai tata laksana segera pada kasus berisiko tinggi atau pada fasilitas dengan keterbatasan akses laboratorium, sambil menunggu hasil laboratorium definitif, sesuai prinsip tata laksana sindromik IMS yang direkomendasikan pada layanan primer dengan sumber daya terbatas</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5. </w:t>
      </w:r>
      <w:r>
        <w:rPr>
          <w:rFonts w:ascii="Source Serif 4" w:cs="Source Serif 4" w:eastAsia="Source Serif 4" w:hAnsi="Source Serif 4"/>
          <w:b/>
          <w:bCs/>
          <w:color w:val="4F46E5"/>
          <w:sz w:val="27"/>
          <w:szCs w:val="27"/>
        </w:rPr>
        <w:t xml:space="preserve">Diagnosis Kerja dan Diagnosis Banding</w:t>
      </w:r>
    </w:p>
    <w:p>
      <w:pPr>
        <w:spacing w:after="160" w:line="300"/>
      </w:pPr>
      <w:r>
        <w:rPr>
          <w:rFonts w:ascii="IBM Plex Sans" w:cs="IBM Plex Sans" w:eastAsia="IBM Plex Sans" w:hAnsi="IBM Plex Sans"/>
          <w:color w:val="334155"/>
          <w:sz w:val="21"/>
          <w:szCs w:val="21"/>
        </w:rPr>
        <w:t xml:space="preserve">Diagnosis kerja: Servisitis (Cervicitis) — ICD-10 N72; ICD-11 GA04.</w:t>
      </w:r>
    </w:p>
    <w:p>
      <w:pPr>
        <w:pStyle w:val="ListParagraph"/>
        <w:numPr>
          <w:ilvl w:val="0"/>
          <w:numId w:val="2"/>
        </w:numPr>
        <w:spacing w:after="100" w:line="290"/>
      </w:pPr>
      <w:r>
        <w:rPr>
          <w:rFonts w:ascii="IBM Plex Sans" w:cs="IBM Plex Sans" w:eastAsia="IBM Plex Sans" w:hAnsi="IBM Plex Sans"/>
          <w:color w:val="334155"/>
          <w:sz w:val="21"/>
          <w:szCs w:val="21"/>
        </w:rPr>
        <w:t xml:space="preserve">Vaginitis (Vaginitis) — ICD-10 N76.0; ICD-11 GA02 — inflamasi terbatas pada vagina tanpa keterlibatan endoserviks primer</w:t>
      </w:r>
    </w:p>
    <w:p>
      <w:pPr>
        <w:pStyle w:val="ListParagraph"/>
        <w:numPr>
          <w:ilvl w:val="0"/>
          <w:numId w:val="2"/>
        </w:numPr>
        <w:spacing w:after="100" w:line="290"/>
      </w:pPr>
      <w:r>
        <w:rPr>
          <w:rFonts w:ascii="IBM Plex Sans" w:cs="IBM Plex Sans" w:eastAsia="IBM Plex Sans" w:hAnsi="IBM Plex Sans"/>
          <w:color w:val="334155"/>
          <w:sz w:val="21"/>
          <w:szCs w:val="21"/>
        </w:rPr>
        <w:t xml:space="preserve">Penyakit radang panggul tanpa komplikasi (Pelvic inflammatory disease without complication) — ICD-10 N73.9; ICD-11 GA05.0 — infeksi telah meluas ke traktus genitalia atas, ditandai nyeri goyang serviks dan nyeri adneksa bermakna disertai tanda sistemik</w:t>
      </w:r>
    </w:p>
    <w:p>
      <w:pPr>
        <w:pStyle w:val="ListParagraph"/>
        <w:numPr>
          <w:ilvl w:val="0"/>
          <w:numId w:val="2"/>
        </w:numPr>
        <w:spacing w:after="100" w:line="290"/>
      </w:pPr>
      <w:r>
        <w:rPr>
          <w:rFonts w:ascii="IBM Plex Sans" w:cs="IBM Plex Sans" w:eastAsia="IBM Plex Sans" w:hAnsi="IBM Plex Sans"/>
          <w:color w:val="334155"/>
          <w:sz w:val="21"/>
          <w:szCs w:val="21"/>
        </w:rPr>
        <w:t xml:space="preserve">Ektropion serviks fisiologis — perubahan epitel kolumnar tervisualisasi tanpa tanda inflamasi aktif, umum pada pengguna kontrasepsi hormonal atau kehamilan</w:t>
      </w:r>
    </w:p>
    <w:p>
      <w:pPr>
        <w:pStyle w:val="ListParagraph"/>
        <w:numPr>
          <w:ilvl w:val="0"/>
          <w:numId w:val="2"/>
        </w:numPr>
        <w:spacing w:after="100" w:line="290"/>
      </w:pPr>
      <w:r>
        <w:rPr>
          <w:rFonts w:ascii="IBM Plex Sans" w:cs="IBM Plex Sans" w:eastAsia="IBM Plex Sans" w:hAnsi="IBM Plex Sans"/>
          <w:color w:val="334155"/>
          <w:sz w:val="21"/>
          <w:szCs w:val="21"/>
        </w:rPr>
        <w:t xml:space="preserve">Polip endoserviks — massa bertangkai jinak yang dapat menyebabkan perdarahan kontak tanpa infeksi aktif</w:t>
      </w:r>
    </w:p>
    <w:p>
      <w:pPr>
        <w:pStyle w:val="ListParagraph"/>
        <w:numPr>
          <w:ilvl w:val="0"/>
          <w:numId w:val="2"/>
        </w:numPr>
        <w:spacing w:after="100" w:line="290"/>
      </w:pPr>
      <w:r>
        <w:rPr>
          <w:rFonts w:ascii="IBM Plex Sans" w:cs="IBM Plex Sans" w:eastAsia="IBM Plex Sans" w:hAnsi="IBM Plex Sans"/>
          <w:color w:val="334155"/>
          <w:sz w:val="21"/>
          <w:szCs w:val="21"/>
        </w:rPr>
        <w:t xml:space="preserve">Keganasan serviks — perlu disingkirkan pada perdarahan kontak persisten, terutama pada populasi risiko atau tanpa faktor risiko IMS jelas; evaluasi lanjut dengan IVA/Pap smear atau kolposkopi sesuai indikasi</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6. </w:t>
      </w:r>
      <w:r>
        <w:rPr>
          <w:rFonts w:ascii="Source Serif 4" w:cs="Source Serif 4" w:eastAsia="Source Serif 4" w:hAnsi="Source Serif 4"/>
          <w:b/>
          <w:bCs/>
          <w:color w:val="4F46E5"/>
          <w:sz w:val="27"/>
          <w:szCs w:val="27"/>
        </w:rPr>
        <w:t xml:space="preserve">Pemeriksaan Penunjang</w:t>
      </w:r>
    </w:p>
    <w:p>
      <w:pPr>
        <w:spacing w:after="160" w:line="300"/>
      </w:pPr>
      <w:r>
        <w:rPr>
          <w:rFonts w:ascii="IBM Plex Sans" w:cs="IBM Plex Sans" w:eastAsia="IBM Plex Sans" w:hAnsi="IBM Plex Sans"/>
          <w:color w:val="334155"/>
          <w:sz w:val="21"/>
          <w:szCs w:val="21"/>
        </w:rPr>
        <w:t xml:space="preserve">Pemeriksaan penunjang diarahkan untuk konfirmasi etiologi infeksi, menyingkirkan diagnosis banding, dan skrining IMS penyerta.</w:t>
      </w:r>
    </w:p>
    <w:p>
      <w:pPr>
        <w:pStyle w:val="ListParagraph"/>
        <w:numPr>
          <w:ilvl w:val="0"/>
          <w:numId w:val="2"/>
        </w:numPr>
        <w:spacing w:after="100" w:line="290"/>
      </w:pPr>
      <w:r>
        <w:rPr>
          <w:rFonts w:ascii="IBM Plex Sans" w:cs="IBM Plex Sans" w:eastAsia="IBM Plex Sans" w:hAnsi="IBM Plex Sans"/>
          <w:color w:val="334155"/>
          <w:sz w:val="21"/>
          <w:szCs w:val="21"/>
        </w:rPr>
        <w:t xml:space="preserve">NAAT (nucleic acid amplification test) untuk Chlamydia trachomatis dan Neisseria gonorrhoeae — baku emas konfirmasi etiologi bila tersedia; dapat menggunakan spesimen swab endoserviks maupun swab vagina yang diambil sendiri oleh pasien (self-collected vaginal swab) bila memenuhi standar jaminan mutu</w:t>
      </w:r>
    </w:p>
    <w:p>
      <w:pPr>
        <w:pStyle w:val="ListParagraph"/>
        <w:numPr>
          <w:ilvl w:val="0"/>
          <w:numId w:val="2"/>
        </w:numPr>
        <w:spacing w:after="100" w:line="290"/>
      </w:pPr>
      <w:r>
        <w:rPr>
          <w:rFonts w:ascii="IBM Plex Sans" w:cs="IBM Plex Sans" w:eastAsia="IBM Plex Sans" w:hAnsi="IBM Plex Sans"/>
          <w:color w:val="334155"/>
          <w:sz w:val="21"/>
          <w:szCs w:val="21"/>
        </w:rPr>
        <w:t xml:space="preserve">Pewarnaan Gram sekret endoserviks untuk identifikasi diplokokus intraseluler gram negatif (mengarah ke gonore) dan hitung leukosit polimorfonuklear</w:t>
      </w:r>
    </w:p>
    <w:p>
      <w:pPr>
        <w:pStyle w:val="ListParagraph"/>
        <w:numPr>
          <w:ilvl w:val="0"/>
          <w:numId w:val="2"/>
        </w:numPr>
        <w:spacing w:after="100" w:line="290"/>
      </w:pPr>
      <w:r>
        <w:rPr>
          <w:rFonts w:ascii="IBM Plex Sans" w:cs="IBM Plex Sans" w:eastAsia="IBM Plex Sans" w:hAnsi="IBM Plex Sans"/>
          <w:color w:val="334155"/>
          <w:sz w:val="21"/>
          <w:szCs w:val="21"/>
        </w:rPr>
        <w:t xml:space="preserve">Sediaan basah (wet mount) saline dan KOH 10% untuk menyingkirkan vaginitis konkomitan (trikomoniasis, vaginosis bakterialis, kandidiasis)</w:t>
      </w:r>
    </w:p>
    <w:p>
      <w:pPr>
        <w:pStyle w:val="ListParagraph"/>
        <w:numPr>
          <w:ilvl w:val="0"/>
          <w:numId w:val="2"/>
        </w:numPr>
        <w:spacing w:after="100" w:line="290"/>
      </w:pPr>
      <w:r>
        <w:rPr>
          <w:rFonts w:ascii="IBM Plex Sans" w:cs="IBM Plex Sans" w:eastAsia="IBM Plex Sans" w:hAnsi="IBM Plex Sans"/>
          <w:color w:val="334155"/>
          <w:sz w:val="21"/>
          <w:szCs w:val="21"/>
        </w:rPr>
        <w:t xml:space="preserve">Pengukuran pH vagina</w:t>
      </w:r>
    </w:p>
    <w:p>
      <w:pPr>
        <w:pStyle w:val="ListParagraph"/>
        <w:numPr>
          <w:ilvl w:val="0"/>
          <w:numId w:val="2"/>
        </w:numPr>
        <w:spacing w:after="100" w:line="290"/>
      </w:pPr>
      <w:r>
        <w:rPr>
          <w:rFonts w:ascii="IBM Plex Sans" w:cs="IBM Plex Sans" w:eastAsia="IBM Plex Sans" w:hAnsi="IBM Plex Sans"/>
          <w:color w:val="334155"/>
          <w:sz w:val="21"/>
          <w:szCs w:val="21"/>
        </w:rPr>
        <w:t xml:space="preserve">Skrining IMS penyerta: sifilis (RPR/TPHA) dan HIV, sesuai prinsip tata laksana komprehensif IMS</w:t>
      </w:r>
    </w:p>
    <w:p>
      <w:pPr>
        <w:pStyle w:val="ListParagraph"/>
        <w:numPr>
          <w:ilvl w:val="0"/>
          <w:numId w:val="2"/>
        </w:numPr>
        <w:spacing w:after="100" w:line="290"/>
      </w:pPr>
      <w:r>
        <w:rPr>
          <w:rFonts w:ascii="IBM Plex Sans" w:cs="IBM Plex Sans" w:eastAsia="IBM Plex Sans" w:hAnsi="IBM Plex Sans"/>
          <w:color w:val="334155"/>
          <w:sz w:val="21"/>
          <w:szCs w:val="21"/>
        </w:rPr>
        <w:t xml:space="preserve">IVA (Inspeksi Visual Asam Asetat) atau Pap smear bila terdapat perdarahan kontak persisten pasca-terapi atau termasuk kelompok usia skrining kanker serviks</w:t>
      </w:r>
    </w:p>
    <w:p>
      <w:pPr>
        <w:pStyle w:val="ListParagraph"/>
        <w:numPr>
          <w:ilvl w:val="0"/>
          <w:numId w:val="2"/>
        </w:numPr>
        <w:spacing w:after="100" w:line="290"/>
      </w:pPr>
      <w:r>
        <w:rPr>
          <w:rFonts w:ascii="IBM Plex Sans" w:cs="IBM Plex Sans" w:eastAsia="IBM Plex Sans" w:hAnsi="IBM Plex Sans"/>
          <w:color w:val="334155"/>
          <w:sz w:val="21"/>
          <w:szCs w:val="21"/>
        </w:rPr>
        <w:t xml:space="preserve">Kultur atau NAAT Mycoplasma genitalium serta pemeriksaan virologi herpes simpleks pada kasus servisitis persisten yang tidak berespons terhadap terapi lini pertama</w:t>
      </w:r>
    </w:p>
    <w:p>
      <w:pPr>
        <w:pStyle w:val="ListParagraph"/>
        <w:numPr>
          <w:ilvl w:val="0"/>
          <w:numId w:val="2"/>
        </w:numPr>
        <w:spacing w:after="100" w:line="290"/>
      </w:pPr>
      <w:r>
        <w:rPr>
          <w:rFonts w:ascii="IBM Plex Sans" w:cs="IBM Plex Sans" w:eastAsia="IBM Plex Sans" w:hAnsi="IBM Plex Sans"/>
          <w:color w:val="334155"/>
          <w:sz w:val="21"/>
          <w:szCs w:val="21"/>
        </w:rPr>
        <w:t xml:space="preserve">Skrining etiologi asimtomatik dipertimbangkan proaktif pada perempuan hamil, remaja dan dewasa muda aktif seksual, pekerja seks, dan populasi dengan prevalensi IMS lokal tinggi, sejalan dengan arah kebijakan skrining IMS asimtomatik terkini</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7. </w:t>
      </w:r>
      <w:r>
        <w:rPr>
          <w:rFonts w:ascii="Source Serif 4" w:cs="Source Serif 4" w:eastAsia="Source Serif 4" w:hAnsi="Source Serif 4"/>
          <w:b/>
          <w:bCs/>
          <w:color w:val="4F46E5"/>
          <w:sz w:val="27"/>
          <w:szCs w:val="27"/>
        </w:rPr>
        <w:t xml:space="preserve">Tata Laksana</w:t>
      </w:r>
    </w:p>
    <w:p>
      <w:pPr>
        <w:spacing w:after="160" w:line="300"/>
      </w:pPr>
      <w:r>
        <w:rPr>
          <w:rFonts w:ascii="IBM Plex Sans" w:cs="IBM Plex Sans" w:eastAsia="IBM Plex Sans" w:hAnsi="IBM Plex Sans"/>
          <w:color w:val="334155"/>
          <w:sz w:val="21"/>
          <w:szCs w:val="21"/>
        </w:rPr>
        <w:t xml:space="preserve">Tata laksana servisitis mengikuti pendekatan bertahap: eliminasi patogen penyebab, pencegahan komplikasi dan penularan, serta tata laksana pasangan seksual. Mengingat kecenderungan peningkatan resistensi antimikroba pada Neisseria gonorrhoeae secara global, pemilihan regimen wajib mengacu pada pedoman nasional terkini dan pola kepekaan antimikroba setempat.</w:t>
      </w:r>
    </w:p>
    <w:p>
      <w:pPr>
        <w:pStyle w:val="Heading2"/>
        <w:spacing w:after="140" w:before="260"/>
      </w:pPr>
      <w:r>
        <w:rPr>
          <w:rFonts w:ascii="Source Serif 4" w:cs="Source Serif 4" w:eastAsia="Source Serif 4" w:hAnsi="Source Serif 4"/>
          <w:b/>
          <w:bCs/>
          <w:color w:val="B45309"/>
          <w:sz w:val="23"/>
          <w:szCs w:val="23"/>
        </w:rPr>
        <w:t xml:space="preserve">7.1. </w:t>
      </w:r>
      <w:r>
        <w:rPr>
          <w:rFonts w:ascii="Source Serif 4" w:cs="Source Serif 4" w:eastAsia="Source Serif 4" w:hAnsi="Source Serif 4"/>
          <w:b/>
          <w:bCs/>
          <w:color w:val="B45309"/>
          <w:sz w:val="23"/>
          <w:szCs w:val="23"/>
        </w:rPr>
        <w:t xml:space="preserve">Tata Laksana Non-Farmakologis</w:t>
      </w:r>
    </w:p>
    <w:p>
      <w:pPr>
        <w:pStyle w:val="ListParagraph"/>
        <w:numPr>
          <w:ilvl w:val="0"/>
          <w:numId w:val="2"/>
        </w:numPr>
        <w:spacing w:after="100" w:line="290"/>
      </w:pPr>
      <w:r>
        <w:rPr>
          <w:rFonts w:ascii="IBM Plex Sans" w:cs="IBM Plex Sans" w:eastAsia="IBM Plex Sans" w:hAnsi="IBM Plex Sans"/>
          <w:color w:val="334155"/>
          <w:sz w:val="21"/>
          <w:szCs w:val="21"/>
        </w:rPr>
        <w:t xml:space="preserve">Edukasi abstinensia hubungan seksual sampai terapi tuntas (minimal 7 hari setelah dosis tunggal atau sampai regimen multi-hari selesai) dan sampai pasangan juga selesai diterapi</w:t>
      </w:r>
    </w:p>
    <w:p>
      <w:pPr>
        <w:pStyle w:val="ListParagraph"/>
        <w:numPr>
          <w:ilvl w:val="0"/>
          <w:numId w:val="2"/>
        </w:numPr>
        <w:spacing w:after="100" w:line="290"/>
      </w:pPr>
      <w:r>
        <w:rPr>
          <w:rFonts w:ascii="IBM Plex Sans" w:cs="IBM Plex Sans" w:eastAsia="IBM Plex Sans" w:hAnsi="IBM Plex Sans"/>
          <w:color w:val="334155"/>
          <w:sz w:val="21"/>
          <w:szCs w:val="21"/>
        </w:rPr>
        <w:t xml:space="preserve">Konseling perilaku seksual aman: penggunaan kondom konsisten dan benar, pembatasan jumlah pasangan seksual</w:t>
      </w:r>
    </w:p>
    <w:p>
      <w:pPr>
        <w:pStyle w:val="ListParagraph"/>
        <w:numPr>
          <w:ilvl w:val="0"/>
          <w:numId w:val="2"/>
        </w:numPr>
        <w:spacing w:after="100" w:line="290"/>
      </w:pPr>
      <w:r>
        <w:rPr>
          <w:rFonts w:ascii="IBM Plex Sans" w:cs="IBM Plex Sans" w:eastAsia="IBM Plex Sans" w:hAnsi="IBM Plex Sans"/>
          <w:color w:val="334155"/>
          <w:sz w:val="21"/>
          <w:szCs w:val="21"/>
        </w:rPr>
        <w:t xml:space="preserve">Penghentian paparan iritan lokal (douching, produk kimia intravagina) bila diduga berkontribusi pada servisitis non-infeksi</w:t>
      </w:r>
    </w:p>
    <w:p>
      <w:pPr>
        <w:pStyle w:val="ListParagraph"/>
        <w:numPr>
          <w:ilvl w:val="0"/>
          <w:numId w:val="2"/>
        </w:numPr>
        <w:spacing w:after="100" w:line="290"/>
      </w:pPr>
      <w:r>
        <w:rPr>
          <w:rFonts w:ascii="IBM Plex Sans" w:cs="IBM Plex Sans" w:eastAsia="IBM Plex Sans" w:hAnsi="IBM Plex Sans"/>
          <w:color w:val="334155"/>
          <w:sz w:val="21"/>
          <w:szCs w:val="21"/>
        </w:rPr>
        <w:t xml:space="preserve">Edukasi pentingnya notifikasi dan pengobatan pasangan (partner notification and treatment) sebagai bagian tidak terpisahkan dari keberhasilan terapi</w:t>
      </w:r>
    </w:p>
    <w:p>
      <w:pPr>
        <w:pStyle w:val="Heading2"/>
        <w:spacing w:after="140" w:before="260"/>
      </w:pPr>
      <w:r>
        <w:rPr>
          <w:rFonts w:ascii="Source Serif 4" w:cs="Source Serif 4" w:eastAsia="Source Serif 4" w:hAnsi="Source Serif 4"/>
          <w:b/>
          <w:bCs/>
          <w:color w:val="B45309"/>
          <w:sz w:val="23"/>
          <w:szCs w:val="23"/>
        </w:rPr>
        <w:t xml:space="preserve">7.2. </w:t>
      </w:r>
      <w:r>
        <w:rPr>
          <w:rFonts w:ascii="Source Serif 4" w:cs="Source Serif 4" w:eastAsia="Source Serif 4" w:hAnsi="Source Serif 4"/>
          <w:b/>
          <w:bCs/>
          <w:color w:val="B45309"/>
          <w:sz w:val="23"/>
          <w:szCs w:val="23"/>
        </w:rPr>
        <w:t xml:space="preserve">Tata Laksana Farmakologis</w:t>
      </w:r>
    </w:p>
    <w:p>
      <w:pPr>
        <w:spacing w:after="160" w:line="300"/>
      </w:pPr>
      <w:r>
        <w:rPr>
          <w:rFonts w:ascii="IBM Plex Sans" w:cs="IBM Plex Sans" w:eastAsia="IBM Plex Sans" w:hAnsi="IBM Plex Sans"/>
          <w:color w:val="334155"/>
          <w:sz w:val="21"/>
          <w:szCs w:val="21"/>
        </w:rPr>
        <w:t xml:space="preserve">Pada kasus dengan risiko tinggi putus kontrol atau prevalensi IMS lokal tinggi, tata laksana empirik dapat dimulai sebelum hasil laboratorium definitif tersedia, mencakup cakupan ganda terhadap Chlamydia trachomatis dan Neisseria gonorrhoeae sesuai pendekatan sindromik yang direkomendasikan pada layanan dengan akses laboratorium terbatas.</w:t>
      </w:r>
    </w:p>
    <w:p>
      <w:pPr>
        <w:pStyle w:val="ListParagraph"/>
        <w:numPr>
          <w:ilvl w:val="0"/>
          <w:numId w:val="2"/>
        </w:numPr>
        <w:spacing w:after="100" w:line="290"/>
      </w:pPr>
      <w:r>
        <w:rPr>
          <w:rFonts w:ascii="IBM Plex Sans" w:cs="IBM Plex Sans" w:eastAsia="IBM Plex Sans" w:hAnsi="IBM Plex Sans"/>
          <w:color w:val="334155"/>
          <w:sz w:val="21"/>
          <w:szCs w:val="21"/>
        </w:rPr>
        <w:t xml:space="preserve">Terapi Chlamydia trachomatis: doksisiklin 100 mg per oral 2 kali sehari selama 7 hari (regimen lini pertama pada pasien tidak hamil), atau azitromisin 1 gram per oral dosis tunggal sebagai alternatif bila kepatuhan multi-hari diragukan</w:t>
      </w:r>
    </w:p>
    <w:p>
      <w:pPr>
        <w:pStyle w:val="ListParagraph"/>
        <w:numPr>
          <w:ilvl w:val="0"/>
          <w:numId w:val="2"/>
        </w:numPr>
        <w:spacing w:after="100" w:line="290"/>
      </w:pPr>
      <w:r>
        <w:rPr>
          <w:rFonts w:ascii="IBM Plex Sans" w:cs="IBM Plex Sans" w:eastAsia="IBM Plex Sans" w:hAnsi="IBM Plex Sans"/>
          <w:color w:val="334155"/>
          <w:sz w:val="21"/>
          <w:szCs w:val="21"/>
        </w:rPr>
        <w:t xml:space="preserve">Terapi Neisseria gonorrhoeae: seftriakson dosis tunggal intramuskular sesuai regimen dan dosis nasional yang berlaku, ditambahkan bila hasil pemeriksaan mengarah ke gonore atau pada tata laksana empirik risiko tinggi; pemantauan pola resistensi antimikroba setempat penting karena seftriakson merupakan salah satu pilihan efektif terakhir yang tersisa terhadap gonore di banyak negara</w:t>
      </w:r>
    </w:p>
    <w:p>
      <w:pPr>
        <w:pStyle w:val="ListParagraph"/>
        <w:numPr>
          <w:ilvl w:val="0"/>
          <w:numId w:val="2"/>
        </w:numPr>
        <w:spacing w:after="100" w:line="290"/>
      </w:pPr>
      <w:r>
        <w:rPr>
          <w:rFonts w:ascii="IBM Plex Sans" w:cs="IBM Plex Sans" w:eastAsia="IBM Plex Sans" w:hAnsi="IBM Plex Sans"/>
          <w:color w:val="334155"/>
          <w:sz w:val="21"/>
          <w:szCs w:val="21"/>
        </w:rPr>
        <w:t xml:space="preserve">Kehamilan: hindari doksisiklin; azitromisin 1 gram per oral dosis tunggal menjadi pilihan lini pertama untuk Chlamydia pada kehamilan</w:t>
      </w:r>
    </w:p>
    <w:p>
      <w:pPr>
        <w:pStyle w:val="ListParagraph"/>
        <w:numPr>
          <w:ilvl w:val="0"/>
          <w:numId w:val="2"/>
        </w:numPr>
        <w:spacing w:after="100" w:line="290"/>
      </w:pPr>
      <w:r>
        <w:rPr>
          <w:rFonts w:ascii="IBM Plex Sans" w:cs="IBM Plex Sans" w:eastAsia="IBM Plex Sans" w:hAnsi="IBM Plex Sans"/>
          <w:color w:val="334155"/>
          <w:sz w:val="21"/>
          <w:szCs w:val="21"/>
        </w:rPr>
        <w:t xml:space="preserve">Trikomoniasis bila terkonfirmasi: metronidazol atau tinidazol sesuai regimen standar</w:t>
      </w:r>
    </w:p>
    <w:p>
      <w:pPr>
        <w:pStyle w:val="ListParagraph"/>
        <w:numPr>
          <w:ilvl w:val="0"/>
          <w:numId w:val="2"/>
        </w:numPr>
        <w:spacing w:after="100" w:line="290"/>
      </w:pPr>
      <w:r>
        <w:rPr>
          <w:rFonts w:ascii="IBM Plex Sans" w:cs="IBM Plex Sans" w:eastAsia="IBM Plex Sans" w:hAnsi="IBM Plex Sans"/>
          <w:color w:val="334155"/>
          <w:sz w:val="21"/>
          <w:szCs w:val="21"/>
        </w:rPr>
        <w:t xml:space="preserve">Servisitis persisten tanpa etiologi infeksi teridentifikasi setelah terapi adekuat: evaluasi ulang penyebab non-infeksi dan pertimbangkan peran Mycoplasma genitalium sebelum pemberian antimikroba tambahan</w:t>
      </w:r>
    </w:p>
    <w:p>
      <w:pPr>
        <w:pStyle w:val="Heading2"/>
        <w:spacing w:after="140" w:before="260"/>
      </w:pPr>
      <w:r>
        <w:rPr>
          <w:rFonts w:ascii="Source Serif 4" w:cs="Source Serif 4" w:eastAsia="Source Serif 4" w:hAnsi="Source Serif 4"/>
          <w:b/>
          <w:bCs/>
          <w:color w:val="B45309"/>
          <w:sz w:val="23"/>
          <w:szCs w:val="23"/>
        </w:rPr>
        <w:t xml:space="preserve">7.3. </w:t>
      </w:r>
      <w:r>
        <w:rPr>
          <w:rFonts w:ascii="Source Serif 4" w:cs="Source Serif 4" w:eastAsia="Source Serif 4" w:hAnsi="Source Serif 4"/>
          <w:b/>
          <w:bCs/>
          <w:color w:val="B45309"/>
          <w:sz w:val="23"/>
          <w:szCs w:val="23"/>
        </w:rPr>
        <w:t xml:space="preserve">Tata Laksana Bedah/Prosedural (bila relevan)</w:t>
      </w:r>
    </w:p>
    <w:p>
      <w:pPr>
        <w:pStyle w:val="ListParagraph"/>
        <w:numPr>
          <w:ilvl w:val="0"/>
          <w:numId w:val="2"/>
        </w:numPr>
        <w:spacing w:after="100" w:line="290"/>
      </w:pPr>
      <w:r>
        <w:rPr>
          <w:rFonts w:ascii="IBM Plex Sans" w:cs="IBM Plex Sans" w:eastAsia="IBM Plex Sans" w:hAnsi="IBM Plex Sans"/>
          <w:color w:val="334155"/>
          <w:sz w:val="21"/>
          <w:szCs w:val="21"/>
        </w:rPr>
        <w:t xml:space="preserve">Krioterapi atau kauterisasi elektro (electrocautery) dipertimbangkan pada servisitis kronik non-infeksi persisten dengan ektropion simtomatik, setelah etiologi infeksi disingkirkan secara meyakinkan</w:t>
      </w:r>
    </w:p>
    <w:p>
      <w:pPr>
        <w:pStyle w:val="ListParagraph"/>
        <w:numPr>
          <w:ilvl w:val="0"/>
          <w:numId w:val="2"/>
        </w:numPr>
        <w:spacing w:after="100" w:line="290"/>
      </w:pPr>
      <w:r>
        <w:rPr>
          <w:rFonts w:ascii="IBM Plex Sans" w:cs="IBM Plex Sans" w:eastAsia="IBM Plex Sans" w:hAnsi="IBM Plex Sans"/>
          <w:color w:val="334155"/>
          <w:sz w:val="21"/>
          <w:szCs w:val="21"/>
        </w:rPr>
        <w:t xml:space="preserve">Biopsi serviks terarah kolposkopi diindikasikan bila ditemukan lesi mencurigakan keganasan atau perdarahan kontak yang tidak membaik pasca-terapi adekuat</w:t>
      </w:r>
    </w:p>
    <w:p>
      <w:pPr>
        <w:pStyle w:val="Heading2"/>
        <w:spacing w:after="140" w:before="260"/>
      </w:pPr>
      <w:r>
        <w:rPr>
          <w:rFonts w:ascii="Source Serif 4" w:cs="Source Serif 4" w:eastAsia="Source Serif 4" w:hAnsi="Source Serif 4"/>
          <w:b/>
          <w:bCs/>
          <w:color w:val="B45309"/>
          <w:sz w:val="23"/>
          <w:szCs w:val="23"/>
        </w:rPr>
        <w:t xml:space="preserve">7.4. </w:t>
      </w:r>
      <w:r>
        <w:rPr>
          <w:rFonts w:ascii="Source Serif 4" w:cs="Source Serif 4" w:eastAsia="Source Serif 4" w:hAnsi="Source Serif 4"/>
          <w:b/>
          <w:bCs/>
          <w:color w:val="B45309"/>
          <w:sz w:val="23"/>
          <w:szCs w:val="23"/>
        </w:rPr>
        <w:t xml:space="preserve">Kriteria Rujukan ke Subspesialis Obstetri Ginekologi Sosial</w:t>
      </w:r>
    </w:p>
    <w:p>
      <w:pPr>
        <w:spacing w:after="160" w:line="300"/>
      </w:pPr>
      <w:r>
        <w:rPr>
          <w:rFonts w:ascii="IBM Plex Sans" w:cs="IBM Plex Sans" w:eastAsia="IBM Plex Sans" w:hAnsi="IBM Plex Sans"/>
          <w:color w:val="334155"/>
          <w:sz w:val="21"/>
          <w:szCs w:val="21"/>
        </w:rPr>
        <w:t xml:space="preserve">Rujukan lintas divisi ke perspektif Obstetri Ginekologi Sosial dipertimbangkan pada kondisi berikut, sesuai pemetaan kontribusi divisi pengampu.</w:t>
      </w:r>
    </w:p>
    <w:p>
      <w:pPr>
        <w:pStyle w:val="ListParagraph"/>
        <w:numPr>
          <w:ilvl w:val="0"/>
          <w:numId w:val="2"/>
        </w:numPr>
        <w:spacing w:after="100" w:line="290"/>
      </w:pPr>
      <w:r>
        <w:rPr>
          <w:rFonts w:ascii="IBM Plex Sans" w:cs="IBM Plex Sans" w:eastAsia="IBM Plex Sans" w:hAnsi="IBM Plex Sans"/>
          <w:color w:val="334155"/>
          <w:sz w:val="21"/>
          <w:szCs w:val="21"/>
        </w:rPr>
        <w:t xml:space="preserve">Servisitis berulang yang berkaitan dengan perilaku risiko tinggi menetap dan memerlukan konseling perilaku terstruktur</w:t>
      </w:r>
    </w:p>
    <w:p>
      <w:pPr>
        <w:pStyle w:val="ListParagraph"/>
        <w:numPr>
          <w:ilvl w:val="0"/>
          <w:numId w:val="2"/>
        </w:numPr>
        <w:spacing w:after="100" w:line="290"/>
      </w:pPr>
      <w:r>
        <w:rPr>
          <w:rFonts w:ascii="IBM Plex Sans" w:cs="IBM Plex Sans" w:eastAsia="IBM Plex Sans" w:hAnsi="IBM Plex Sans"/>
          <w:color w:val="334155"/>
          <w:sz w:val="21"/>
          <w:szCs w:val="21"/>
        </w:rPr>
        <w:t xml:space="preserve">Kasus pada populasi rentan (pekerja seks, orang dengan HIV/AIDS, kelompok dengan akses layanan kesehatan terbatas) yang memerlukan pendekatan promosi kesehatan berbasis komunitas</w:t>
      </w:r>
    </w:p>
    <w:p>
      <w:pPr>
        <w:pStyle w:val="ListParagraph"/>
        <w:numPr>
          <w:ilvl w:val="0"/>
          <w:numId w:val="2"/>
        </w:numPr>
        <w:spacing w:after="100" w:line="290"/>
      </w:pPr>
      <w:r>
        <w:rPr>
          <w:rFonts w:ascii="IBM Plex Sans" w:cs="IBM Plex Sans" w:eastAsia="IBM Plex Sans" w:hAnsi="IBM Plex Sans"/>
          <w:color w:val="334155"/>
          <w:sz w:val="21"/>
          <w:szCs w:val="21"/>
        </w:rPr>
        <w:t xml:space="preserve">Servisitis yang teridentifikasi dalam konteks kekerasan seksual, memerlukan pendampingan psikososial dan koordinasi lintas sektor</w:t>
      </w:r>
    </w:p>
    <w:p>
      <w:pPr>
        <w:pStyle w:val="ListParagraph"/>
        <w:numPr>
          <w:ilvl w:val="0"/>
          <w:numId w:val="2"/>
        </w:numPr>
        <w:spacing w:after="100" w:line="290"/>
      </w:pPr>
      <w:r>
        <w:rPr>
          <w:rFonts w:ascii="IBM Plex Sans" w:cs="IBM Plex Sans" w:eastAsia="IBM Plex Sans" w:hAnsi="IBM Plex Sans"/>
          <w:color w:val="334155"/>
          <w:sz w:val="21"/>
          <w:szCs w:val="21"/>
        </w:rPr>
        <w:t xml:space="preserve">Kebutuhan edukasi dan tata laksana pasangan yang tidak dapat diakses melalui jalur layanan individu standar</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8. </w:t>
      </w:r>
      <w:r>
        <w:rPr>
          <w:rFonts w:ascii="Source Serif 4" w:cs="Source Serif 4" w:eastAsia="Source Serif 4" w:hAnsi="Source Serif 4"/>
          <w:b/>
          <w:bCs/>
          <w:color w:val="4F46E5"/>
          <w:sz w:val="27"/>
          <w:szCs w:val="27"/>
        </w:rPr>
        <w:t xml:space="preserve">Edukasi Pasien dan Keluarga</w:t>
      </w:r>
    </w:p>
    <w:p>
      <w:pPr>
        <w:pStyle w:val="ListParagraph"/>
        <w:numPr>
          <w:ilvl w:val="0"/>
          <w:numId w:val="2"/>
        </w:numPr>
        <w:spacing w:after="100" w:line="290"/>
      </w:pPr>
      <w:r>
        <w:rPr>
          <w:rFonts w:ascii="IBM Plex Sans" w:cs="IBM Plex Sans" w:eastAsia="IBM Plex Sans" w:hAnsi="IBM Plex Sans"/>
          <w:color w:val="334155"/>
          <w:sz w:val="21"/>
          <w:szCs w:val="21"/>
        </w:rPr>
        <w:t xml:space="preserve">Pentingnya menyelesaikan seluruh regimen terapi meskipun gejala membaik lebih awal</w:t>
      </w:r>
    </w:p>
    <w:p>
      <w:pPr>
        <w:pStyle w:val="ListParagraph"/>
        <w:numPr>
          <w:ilvl w:val="0"/>
          <w:numId w:val="2"/>
        </w:numPr>
        <w:spacing w:after="100" w:line="290"/>
      </w:pPr>
      <w:r>
        <w:rPr>
          <w:rFonts w:ascii="IBM Plex Sans" w:cs="IBM Plex Sans" w:eastAsia="IBM Plex Sans" w:hAnsi="IBM Plex Sans"/>
          <w:color w:val="334155"/>
          <w:sz w:val="21"/>
          <w:szCs w:val="21"/>
        </w:rPr>
        <w:t xml:space="preserve">Notifikasi dan pengobatan pasangan seksual dalam 60 hari terakhir untuk mencegah reinfeksi</w:t>
      </w:r>
    </w:p>
    <w:p>
      <w:pPr>
        <w:pStyle w:val="ListParagraph"/>
        <w:numPr>
          <w:ilvl w:val="0"/>
          <w:numId w:val="2"/>
        </w:numPr>
        <w:spacing w:after="100" w:line="290"/>
      </w:pPr>
      <w:r>
        <w:rPr>
          <w:rFonts w:ascii="IBM Plex Sans" w:cs="IBM Plex Sans" w:eastAsia="IBM Plex Sans" w:hAnsi="IBM Plex Sans"/>
          <w:color w:val="334155"/>
          <w:sz w:val="21"/>
          <w:szCs w:val="21"/>
        </w:rPr>
        <w:t xml:space="preserve">Abstinensia hubungan seksual sampai terapi tuntas pada pasien dan pasangan</w:t>
      </w:r>
    </w:p>
    <w:p>
      <w:pPr>
        <w:pStyle w:val="ListParagraph"/>
        <w:numPr>
          <w:ilvl w:val="0"/>
          <w:numId w:val="2"/>
        </w:numPr>
        <w:spacing w:after="100" w:line="290"/>
      </w:pPr>
      <w:r>
        <w:rPr>
          <w:rFonts w:ascii="IBM Plex Sans" w:cs="IBM Plex Sans" w:eastAsia="IBM Plex Sans" w:hAnsi="IBM Plex Sans"/>
          <w:color w:val="334155"/>
          <w:sz w:val="21"/>
          <w:szCs w:val="21"/>
        </w:rPr>
        <w:t xml:space="preserve">Pemeriksaan ulang (rescreening) dianjurkan sekitar 3 bulan pasca-terapi Chlamydia trachomatis pada populasi berisiko, oleh karena tingginya kemungkinan reinfeksi dari pasangan yang belum diobati; hal ini berbeda dari uji sembuh (test of cure) yang secara rutin baru diindikasikan pada kehamilan sekitar 3-4 minggu pasca-terapi</w:t>
      </w:r>
    </w:p>
    <w:p>
      <w:pPr>
        <w:pStyle w:val="ListParagraph"/>
        <w:numPr>
          <w:ilvl w:val="0"/>
          <w:numId w:val="2"/>
        </w:numPr>
        <w:spacing w:after="100" w:line="290"/>
      </w:pPr>
      <w:r>
        <w:rPr>
          <w:rFonts w:ascii="IBM Plex Sans" w:cs="IBM Plex Sans" w:eastAsia="IBM Plex Sans" w:hAnsi="IBM Plex Sans"/>
          <w:color w:val="334155"/>
          <w:sz w:val="21"/>
          <w:szCs w:val="21"/>
        </w:rPr>
        <w:t xml:space="preserve">Skrining IMS berkala pada individu dengan faktor risiko menetap, termasuk skrining HIV dan sifilis</w:t>
      </w:r>
    </w:p>
    <w:p>
      <w:pPr>
        <w:pStyle w:val="ListParagraph"/>
        <w:numPr>
          <w:ilvl w:val="0"/>
          <w:numId w:val="2"/>
        </w:numPr>
        <w:spacing w:after="100" w:line="290"/>
      </w:pPr>
      <w:r>
        <w:rPr>
          <w:rFonts w:ascii="IBM Plex Sans" w:cs="IBM Plex Sans" w:eastAsia="IBM Plex Sans" w:hAnsi="IBM Plex Sans"/>
          <w:color w:val="334155"/>
          <w:sz w:val="21"/>
          <w:szCs w:val="21"/>
        </w:rPr>
        <w:t xml:space="preserve">Edukasi tanda bahaya yang memerlukan evaluasi ulang segera: nyeri perut bawah berat, demam, atau perdarahan banyak yang mengarah ke penyakit radang panggul</w:t>
      </w:r>
    </w:p>
    <w:p>
      <w:pPr>
        <w:pStyle w:val="ListParagraph"/>
        <w:numPr>
          <w:ilvl w:val="0"/>
          <w:numId w:val="2"/>
        </w:numPr>
        <w:spacing w:after="100" w:line="290"/>
      </w:pPr>
      <w:r>
        <w:rPr>
          <w:rFonts w:ascii="IBM Plex Sans" w:cs="IBM Plex Sans" w:eastAsia="IBM Plex Sans" w:hAnsi="IBM Plex Sans"/>
          <w:color w:val="334155"/>
          <w:sz w:val="21"/>
          <w:szCs w:val="21"/>
        </w:rPr>
        <w:t xml:space="preserve">Edukasi kontrasepsi dan proteksi ganda (dual protection) bagi pasien yang aktif secara seksual dengan faktor risiko IMS</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9. </w:t>
      </w:r>
      <w:r>
        <w:rPr>
          <w:rFonts w:ascii="Source Serif 4" w:cs="Source Serif 4" w:eastAsia="Source Serif 4" w:hAnsi="Source Serif 4"/>
          <w:b/>
          <w:bCs/>
          <w:color w:val="4F46E5"/>
          <w:sz w:val="27"/>
          <w:szCs w:val="27"/>
        </w:rPr>
        <w:t xml:space="preserve">Prognosis</w:t>
      </w:r>
    </w:p>
    <w:p>
      <w:pPr>
        <w:spacing w:after="160" w:line="300"/>
      </w:pPr>
      <w:r>
        <w:rPr>
          <w:rFonts w:ascii="IBM Plex Sans" w:cs="IBM Plex Sans" w:eastAsia="IBM Plex Sans" w:hAnsi="IBM Plex Sans"/>
          <w:color w:val="334155"/>
          <w:sz w:val="21"/>
          <w:szCs w:val="21"/>
        </w:rPr>
        <w:t xml:space="preserve">Prognosis servisitis pada umumnya baik apabila diagnosis ditegakkan tepat waktu, terapi antimikroba adekuat diberikan, dan pasangan seksual turut diterapi.</w:t>
      </w:r>
    </w:p>
    <w:p>
      <w:pPr>
        <w:spacing w:after="160" w:line="300"/>
      </w:pPr>
      <w:r>
        <w:rPr>
          <w:rFonts w:ascii="IBM Plex Sans" w:cs="IBM Plex Sans" w:eastAsia="IBM Plex Sans" w:hAnsi="IBM Plex Sans"/>
          <w:color w:val="334155"/>
          <w:sz w:val="21"/>
          <w:szCs w:val="21"/>
        </w:rPr>
        <w:t xml:space="preserve">Ad vitam: bonam. Ad functionam: bonam pada tata laksana adekuat dan kepatuhan baik. Ad sanationam: bonam, dengan risiko rekurensi bila faktor risiko perilaku seksual tidak dimodifikasi atau pasangan tidak diterapi.</w:t>
      </w:r>
    </w:p>
    <w:p>
      <w:pPr>
        <w:spacing w:after="160" w:line="300"/>
      </w:pPr>
      <w:r>
        <w:rPr>
          <w:rFonts w:ascii="IBM Plex Sans" w:cs="IBM Plex Sans" w:eastAsia="IBM Plex Sans" w:hAnsi="IBM Plex Sans"/>
          <w:color w:val="334155"/>
          <w:sz w:val="21"/>
          <w:szCs w:val="21"/>
        </w:rPr>
        <w:t xml:space="preserve">Servisitis yang tidak diobati atau diobati tidak adekuat berisiko berkembang menjadi penyakit radang panggul, dengan potensi komplikasi jangka panjang berupa infertilitas faktor tuba, kehamilan ektopik, dan nyeri panggul kronik. Data insidens komplikasi pada populasi Indonesia belum tersedia secara nasional dan terpadu; layanan dianjurkan merujuk pembaruan data epidemiologi terbaru dari Kementerian Kesehatan, BKKBN, POGI, atau WHO pada saat penyusunan kebijakan lokal.</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10. </w:t>
      </w:r>
      <w:r>
        <w:rPr>
          <w:rFonts w:ascii="Source Serif 4" w:cs="Source Serif 4" w:eastAsia="Source Serif 4" w:hAnsi="Source Serif 4"/>
          <w:b/>
          <w:bCs/>
          <w:color w:val="4F46E5"/>
          <w:sz w:val="27"/>
          <w:szCs w:val="27"/>
        </w:rPr>
        <w:t xml:space="preserve">Tingkat Evidens dan Rekomendasi</w:t>
      </w:r>
    </w:p>
    <w:p>
      <w:pPr>
        <w:spacing w:after="160" w:line="300"/>
      </w:pPr>
      <w:r>
        <w:rPr>
          <w:rFonts w:ascii="IBM Plex Sans" w:cs="IBM Plex Sans" w:eastAsia="IBM Plex Sans" w:hAnsi="IBM Plex Sans"/>
          <w:color w:val="334155"/>
          <w:sz w:val="21"/>
          <w:szCs w:val="21"/>
        </w:rPr>
        <w:t xml:space="preserve">Tingkat evidens dan kekuatan rekomendasi tata laksana servisitis dalam PPK ini mengacu pada skala evidens standar yang digunakan pada rangkaian pedoman IMS dan kesehatan reproduksi (level evidens I-IV, rekomendasi kelas A-C), diselaraskan dengan pendekatan GRADE yang digunakan pada pedoman WHO rujukan.</w:t>
      </w:r>
    </w:p>
    <w:p>
      <w:pPr>
        <w:pStyle w:val="ListParagraph"/>
        <w:numPr>
          <w:ilvl w:val="0"/>
          <w:numId w:val="2"/>
        </w:numPr>
        <w:spacing w:after="100" w:line="290"/>
      </w:pPr>
      <w:r>
        <w:rPr>
          <w:rFonts w:ascii="IBM Plex Sans" w:cs="IBM Plex Sans" w:eastAsia="IBM Plex Sans" w:hAnsi="IBM Plex Sans"/>
          <w:color w:val="334155"/>
          <w:sz w:val="21"/>
          <w:szCs w:val="21"/>
        </w:rPr>
        <w:t xml:space="preserve">Terapi antimikroba dual coverage untuk Chlamydia trachomatis dan Neisseria gonorrhoeae pada tata laksana empirik risiko tinggi: Evidens Level I, Rekomendasi A</w:t>
      </w:r>
    </w:p>
    <w:p>
      <w:pPr>
        <w:pStyle w:val="ListParagraph"/>
        <w:numPr>
          <w:ilvl w:val="0"/>
          <w:numId w:val="2"/>
        </w:numPr>
        <w:spacing w:after="100" w:line="290"/>
      </w:pPr>
      <w:r>
        <w:rPr>
          <w:rFonts w:ascii="IBM Plex Sans" w:cs="IBM Plex Sans" w:eastAsia="IBM Plex Sans" w:hAnsi="IBM Plex Sans"/>
          <w:color w:val="334155"/>
          <w:sz w:val="21"/>
          <w:szCs w:val="21"/>
        </w:rPr>
        <w:t xml:space="preserve">Notifikasi dan tata laksana pasangan seksual sebagai bagian tata laksana wajib: Evidens Level II, Rekomendasi A</w:t>
      </w:r>
    </w:p>
    <w:p>
      <w:pPr>
        <w:pStyle w:val="ListParagraph"/>
        <w:numPr>
          <w:ilvl w:val="0"/>
          <w:numId w:val="2"/>
        </w:numPr>
        <w:spacing w:after="100" w:line="290"/>
      </w:pPr>
      <w:r>
        <w:rPr>
          <w:rFonts w:ascii="IBM Plex Sans" w:cs="IBM Plex Sans" w:eastAsia="IBM Plex Sans" w:hAnsi="IBM Plex Sans"/>
          <w:color w:val="334155"/>
          <w:sz w:val="21"/>
          <w:szCs w:val="21"/>
        </w:rPr>
        <w:t xml:space="preserve">Penggunaan NAAT sebagai baku emas konfirmasi etiologi, termasuk pada spesimen swab vagina yang diambil sendiri oleh pasien: Evidens Level I, Rekomendasi A</w:t>
      </w:r>
    </w:p>
    <w:p>
      <w:pPr>
        <w:pStyle w:val="ListParagraph"/>
        <w:numPr>
          <w:ilvl w:val="0"/>
          <w:numId w:val="2"/>
        </w:numPr>
        <w:spacing w:after="100" w:line="290"/>
      </w:pPr>
      <w:r>
        <w:rPr>
          <w:rFonts w:ascii="IBM Plex Sans" w:cs="IBM Plex Sans" w:eastAsia="IBM Plex Sans" w:hAnsi="IBM Plex Sans"/>
          <w:color w:val="334155"/>
          <w:sz w:val="21"/>
          <w:szCs w:val="21"/>
        </w:rPr>
        <w:t xml:space="preserve">Rescreening 3 bulan pasca-terapi Chlamydia pada populasi berisiko sebagai strategi pencegahan reinfeksi: Evidens Level II, Rekomendasi B</w:t>
      </w:r>
    </w:p>
    <w:p>
      <w:pPr>
        <w:pStyle w:val="ListParagraph"/>
        <w:numPr>
          <w:ilvl w:val="0"/>
          <w:numId w:val="2"/>
        </w:numPr>
        <w:spacing w:after="100" w:line="290"/>
      </w:pPr>
      <w:r>
        <w:rPr>
          <w:rFonts w:ascii="IBM Plex Sans" w:cs="IBM Plex Sans" w:eastAsia="IBM Plex Sans" w:hAnsi="IBM Plex Sans"/>
          <w:color w:val="334155"/>
          <w:sz w:val="21"/>
          <w:szCs w:val="21"/>
        </w:rPr>
        <w:t xml:space="preserve">Krioterapi/kauterisasi pada servisitis kronik non-infeksi persisten: Evidens Level III, Rekomendasi B (berbasis konsensus ahli dan studi observasional)</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11. </w:t>
      </w:r>
      <w:r>
        <w:rPr>
          <w:rFonts w:ascii="Source Serif 4" w:cs="Source Serif 4" w:eastAsia="Source Serif 4" w:hAnsi="Source Serif 4"/>
          <w:b/>
          <w:bCs/>
          <w:color w:val="4F46E5"/>
          <w:sz w:val="27"/>
          <w:szCs w:val="27"/>
        </w:rPr>
        <w:t xml:space="preserve">Indikator Medis</w:t>
      </w:r>
    </w:p>
    <w:p>
      <w:pPr>
        <w:pStyle w:val="ListParagraph"/>
        <w:numPr>
          <w:ilvl w:val="0"/>
          <w:numId w:val="2"/>
        </w:numPr>
        <w:spacing w:after="100" w:line="290"/>
      </w:pPr>
      <w:r>
        <w:rPr>
          <w:rFonts w:ascii="IBM Plex Sans" w:cs="IBM Plex Sans" w:eastAsia="IBM Plex Sans" w:hAnsi="IBM Plex Sans"/>
          <w:color w:val="334155"/>
          <w:sz w:val="21"/>
          <w:szCs w:val="21"/>
        </w:rPr>
        <w:t xml:space="preserve">Resolusi tanda klinis (duh mukopurulen, perdarahan kontak) dalam 7-14 hari pasca-penyelesaian terapi</w:t>
      </w:r>
    </w:p>
    <w:p>
      <w:pPr>
        <w:pStyle w:val="ListParagraph"/>
        <w:numPr>
          <w:ilvl w:val="0"/>
          <w:numId w:val="2"/>
        </w:numPr>
        <w:spacing w:after="100" w:line="290"/>
      </w:pPr>
      <w:r>
        <w:rPr>
          <w:rFonts w:ascii="IBM Plex Sans" w:cs="IBM Plex Sans" w:eastAsia="IBM Plex Sans" w:hAnsi="IBM Plex Sans"/>
          <w:color w:val="334155"/>
          <w:sz w:val="21"/>
          <w:szCs w:val="21"/>
        </w:rPr>
        <w:t xml:space="preserve">Proporsi pasangan seksual yang menerima notifikasi dan terapi</w:t>
      </w:r>
    </w:p>
    <w:p>
      <w:pPr>
        <w:pStyle w:val="ListParagraph"/>
        <w:numPr>
          <w:ilvl w:val="0"/>
          <w:numId w:val="2"/>
        </w:numPr>
        <w:spacing w:after="100" w:line="290"/>
      </w:pPr>
      <w:r>
        <w:rPr>
          <w:rFonts w:ascii="IBM Plex Sans" w:cs="IBM Plex Sans" w:eastAsia="IBM Plex Sans" w:hAnsi="IBM Plex Sans"/>
          <w:color w:val="334155"/>
          <w:sz w:val="21"/>
          <w:szCs w:val="21"/>
        </w:rPr>
        <w:t xml:space="preserve">Kepatuhan pelaksanaan pemeriksaan penunjang konfirmasi etiologi (NAAT/Gram) sebelum atau bersamaan dengan inisiasi terapi empirik</w:t>
      </w:r>
    </w:p>
    <w:p>
      <w:pPr>
        <w:pStyle w:val="ListParagraph"/>
        <w:numPr>
          <w:ilvl w:val="0"/>
          <w:numId w:val="2"/>
        </w:numPr>
        <w:spacing w:after="100" w:line="290"/>
      </w:pPr>
      <w:r>
        <w:rPr>
          <w:rFonts w:ascii="IBM Plex Sans" w:cs="IBM Plex Sans" w:eastAsia="IBM Plex Sans" w:hAnsi="IBM Plex Sans"/>
          <w:color w:val="334155"/>
          <w:sz w:val="21"/>
          <w:szCs w:val="21"/>
        </w:rPr>
        <w:t xml:space="preserve">Pelaksanaan uji sembuh (test of cure) pada kehamilan sekitar 3-4 minggu pasca-terapi, dan rescreening pada populasi berisiko sekitar 3 bulan pasca-terapi</w:t>
      </w:r>
    </w:p>
    <w:p>
      <w:pPr>
        <w:pStyle w:val="ListParagraph"/>
        <w:numPr>
          <w:ilvl w:val="0"/>
          <w:numId w:val="2"/>
        </w:numPr>
        <w:spacing w:after="100" w:line="290"/>
      </w:pPr>
      <w:r>
        <w:rPr>
          <w:rFonts w:ascii="IBM Plex Sans" w:cs="IBM Plex Sans" w:eastAsia="IBM Plex Sans" w:hAnsi="IBM Plex Sans"/>
          <w:color w:val="334155"/>
          <w:sz w:val="21"/>
          <w:szCs w:val="21"/>
        </w:rPr>
        <w:t xml:space="preserve">Tidak ada progresi menjadi penyakit radang panggul dalam masa pemantauan pasca-terapi</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12. </w:t>
      </w:r>
      <w:r>
        <w:rPr>
          <w:rFonts w:ascii="Source Serif 4" w:cs="Source Serif 4" w:eastAsia="Source Serif 4" w:hAnsi="Source Serif 4"/>
          <w:b/>
          <w:bCs/>
          <w:color w:val="4F46E5"/>
          <w:sz w:val="27"/>
          <w:szCs w:val="27"/>
        </w:rPr>
        <w:t xml:space="preserve">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menempatkan servisitis (N72/GA04) sebagai entri tersendiri dalam Tabel 7 dengan tata laksana berbasis identifikasi etiologi dan/atau pendekatan empirik pada populasi risiko tinggi.</w:t>
      </w:r>
    </w:p>
    <w:p>
      <w:pPr>
        <w:spacing w:after="160" w:line="300"/>
      </w:pPr>
      <w:r>
        <w:rPr>
          <w:rFonts w:ascii="IBM Plex Sans" w:cs="IBM Plex Sans" w:eastAsia="IBM Plex Sans" w:hAnsi="IBM Plex Sans"/>
          <w:color w:val="334155"/>
          <w:sz w:val="21"/>
          <w:szCs w:val="21"/>
        </w:rPr>
        <w:t xml:space="preserve">World Health Organization (WHO) dalam Guidelines for the Management of Symptomatic Sexually Transmitted Infections (2021) merekomendasikan pendekatan tata laksana sindromik (syndromic management) untuk duh vagina dan servisitis pada layanan kesehatan primer dengan akses laboratorium terbatas, yaitu terapi empirik ganda terhadap Chlamydia trachomatis dan Neisseria gonorrhoeae berdasarkan gejala dan faktor risiko tanpa menunggu konfirmasi laboratorium; standar nasional mengikuti prinsip yang sejalan namun tetap mendorong konfirmasi NAAT bila fasilitas tersedia.</w:t>
      </w:r>
    </w:p>
    <w:p>
      <w:pPr>
        <w:spacing w:after="160" w:line="300"/>
      </w:pPr>
      <w:r>
        <w:rPr>
          <w:rFonts w:ascii="IBM Plex Sans" w:cs="IBM Plex Sans" w:eastAsia="IBM Plex Sans" w:hAnsi="IBM Plex Sans"/>
          <w:color w:val="334155"/>
          <w:sz w:val="21"/>
          <w:szCs w:val="21"/>
        </w:rPr>
        <w:t xml:space="preserve">WHO memperbarui arah kebijakan skrining melalui Guidelines for the Management of Asymptomatic Sexually Transmitted Infections (2025), yang merekomendasikan skrining aktif Neisseria gonorrhoeae dan Chlamydia trachomatis pada perempuan hamil, remaja dan dewasa muda aktif seksual, pekerja seks, dan laki-laki yang berhubungan seks dengan laki-laki, meskipun tanpa gejala; standar nasional saat ini menitikberatkan tata laksana kasus simtomatik dan populasi berisiko tinggi yang datang berobat, sehingga penerapan skrining populasi asimtomatik secara luas di Indonesia memerlukan penyesuaian bertahap terhadap kapasitas laboratorium dan pembiayaan layanan.</w:t>
      </w:r>
    </w:p>
    <w:p>
      <w:pPr>
        <w:spacing w:after="160" w:line="300"/>
      </w:pPr>
      <w:r>
        <w:rPr>
          <w:rFonts w:ascii="IBM Plex Sans" w:cs="IBM Plex Sans" w:eastAsia="IBM Plex Sans" w:hAnsi="IBM Plex Sans"/>
          <w:color w:val="334155"/>
          <w:sz w:val="21"/>
          <w:szCs w:val="21"/>
        </w:rPr>
        <w:t xml:space="preserve">Tinjauan sistematis Cochrane oleh Low dkk. (2016) mengenai skrining infeksi Chlamydia genital menyimpulkan bahwa bukti manfaat skrining rutin pada populasi asimtomatik terhadap pencegahan penyakit radang panggul masih terbatas dan memerlukan uji klinis lanjutan berkualitas tinggi; temuan ini menjadi dasar kehati-hatian standar nasional dalam memprioritaskan tata laksana kasus simtomatik dan populasi risiko tinggi yang jelas, dibandingkan skrining populasi umum secara luas.</w:t>
      </w:r>
    </w:p>
    <w:p>
      <w:pPr>
        <w:spacing w:after="160" w:line="300"/>
      </w:pPr>
      <w:r>
        <w:rPr>
          <w:rFonts w:ascii="IBM Plex Sans" w:cs="IBM Plex Sans" w:eastAsia="IBM Plex Sans" w:hAnsi="IBM Plex Sans"/>
          <w:color w:val="334155"/>
          <w:sz w:val="21"/>
          <w:szCs w:val="21"/>
        </w:rPr>
        <w:t xml:space="preserve">American College of Obstetricians and Gynecologists (ACOG), dalam Practice Bulletin No. 215 tentang Vaginitis in Nonpregnant Patients (2020), menekankan pentingnya membedakan servisitis dari vaginitis melalui pemeriksaan spekulum yang cermat serta evaluasi diagnosis banding, termasuk keganasan serviks, pada perdarahan kontak yang tidak membaik; prinsip ini konsisten dengan kriteria diagnosis banding pada PPK ini (Bagian 5) dan diadopsi sebagai bagian pengayaan tanpa menggantikan alur nasional.</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13. </w:t>
      </w:r>
      <w:r>
        <w:rPr>
          <w:rFonts w:ascii="Source Serif 4" w:cs="Source Serif 4" w:eastAsia="Source Serif 4" w:hAnsi="Source Serif 4"/>
          <w:b/>
          <w:bCs/>
          <w:color w:val="4F46E5"/>
          <w:sz w:val="27"/>
          <w:szCs w:val="27"/>
        </w:rPr>
        <w:t xml:space="preserve">Kepustakaan</w:t>
      </w:r>
    </w:p>
    <w:p>
      <w:pPr>
        <w:pStyle w:val="ListParagraph"/>
        <w:numPr>
          <w:ilvl w:val="0"/>
          <w:numId w:val="2"/>
        </w:numPr>
        <w:spacing w:after="100" w:line="290"/>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Tabel 7 Nomor 43 dan Lampiran Istilah/Deskripsi.</w:t>
      </w:r>
    </w:p>
    <w:p>
      <w:pPr>
        <w:pStyle w:val="ListParagraph"/>
        <w:numPr>
          <w:ilvl w:val="0"/>
          <w:numId w:val="2"/>
        </w:numPr>
        <w:spacing w:after="100" w:line="290"/>
      </w:pPr>
      <w:r>
        <w:rPr>
          <w:rFonts w:ascii="IBM Plex Sans" w:cs="IBM Plex Sans" w:eastAsia="IBM Plex Sans" w:hAnsi="IBM Plex Sans"/>
          <w:color w:val="334155"/>
          <w:sz w:val="21"/>
          <w:szCs w:val="21"/>
        </w:rPr>
        <w:t xml:space="preserve">World Health Organization. Guidelines for the Management of Symptomatic Sexually Transmitted Infections. Geneva: WHO; 2021. Tersedia pada: https://www.who.int/publications/i/item/9789240024168</w:t>
      </w:r>
    </w:p>
    <w:p>
      <w:pPr>
        <w:pStyle w:val="ListParagraph"/>
        <w:numPr>
          <w:ilvl w:val="0"/>
          <w:numId w:val="2"/>
        </w:numPr>
        <w:spacing w:after="100" w:line="290"/>
      </w:pPr>
      <w:r>
        <w:rPr>
          <w:rFonts w:ascii="IBM Plex Sans" w:cs="IBM Plex Sans" w:eastAsia="IBM Plex Sans" w:hAnsi="IBM Plex Sans"/>
          <w:color w:val="334155"/>
          <w:sz w:val="21"/>
          <w:szCs w:val="21"/>
        </w:rPr>
        <w:t xml:space="preserve">World Health Organization. Guidelines for the Management of Asymptomatic Sexually Transmitted Infections. Geneva: WHO; 2025. Tersedia pada: https://www.who.int/publications/i/item/9789240104907</w:t>
      </w:r>
    </w:p>
    <w:p>
      <w:pPr>
        <w:pStyle w:val="ListParagraph"/>
        <w:numPr>
          <w:ilvl w:val="0"/>
          <w:numId w:val="2"/>
        </w:numPr>
        <w:spacing w:after="100" w:line="290"/>
      </w:pPr>
      <w:r>
        <w:rPr>
          <w:rFonts w:ascii="IBM Plex Sans" w:cs="IBM Plex Sans" w:eastAsia="IBM Plex Sans" w:hAnsi="IBM Plex Sans"/>
          <w:color w:val="334155"/>
          <w:sz w:val="21"/>
          <w:szCs w:val="21"/>
        </w:rPr>
        <w:t xml:space="preserve">Low N, Redmond S, Uuskula A, van Bergen J, Ward H, Andersen B, Herrmann B. Screening for genital chlamydia infection. Cochrane Database of Systematic Reviews. 2016;(9):CD010866. Tersedia pada: https://www.cochrane.org/CD010866/STI_effects-screening-sexually-transmitted-chlamydia-infection</w:t>
      </w:r>
    </w:p>
    <w:p>
      <w:pPr>
        <w:pStyle w:val="ListParagraph"/>
        <w:numPr>
          <w:ilvl w:val="0"/>
          <w:numId w:val="2"/>
        </w:numPr>
        <w:spacing w:after="100" w:line="290"/>
      </w:pPr>
      <w:r>
        <w:rPr>
          <w:rFonts w:ascii="IBM Plex Sans" w:cs="IBM Plex Sans" w:eastAsia="IBM Plex Sans" w:hAnsi="IBM Plex Sans"/>
          <w:color w:val="334155"/>
          <w:sz w:val="21"/>
          <w:szCs w:val="21"/>
        </w:rPr>
        <w:t xml:space="preserve">American College of Obstetricians and Gynecologists. Vaginitis in Nonpregnant Patients: ACOG Practice Bulletin Number 215. Obstetrics &amp; Gynecology. 2020;135(1):e1-e17. Tersedia pada: https://pubmed.ncbi.nlm.nih.gov/31856123/</w:t>
      </w:r>
    </w:p>
    <w:p>
      <w:pPr>
        <w:pStyle w:val="Heading1"/>
        <w:pBdr>
          <w:bottom w:val="single" w:color="E2E8F0" w:sz="6" w:space="6"/>
        </w:pBdr>
        <w:spacing w:after="140" w:before="360"/>
      </w:pPr>
      <w:r>
        <w:rPr>
          <w:rFonts w:ascii="Source Serif 4" w:cs="Source Serif 4" w:eastAsia="Source Serif 4" w:hAnsi="Source Serif 4"/>
          <w:b/>
          <w:bCs/>
          <w:color w:val="4F46E5"/>
          <w:sz w:val="27"/>
          <w:szCs w:val="27"/>
        </w:rPr>
        <w:t xml:space="preserve"/>
      </w:r>
      <w:r>
        <w:rPr>
          <w:rFonts w:ascii="Source Serif 4" w:cs="Source Serif 4" w:eastAsia="Source Serif 4" w:hAnsi="Source Serif 4"/>
          <w:b/>
          <w:bCs/>
          <w:color w:val="4F46E5"/>
          <w:sz w:val="27"/>
          <w:szCs w:val="27"/>
        </w:rPr>
        <w:t xml:space="preserve">Glosarium</w:t>
      </w:r>
    </w:p>
    <w:p>
      <w:pPr>
        <w:spacing w:after="160" w:line="300"/>
      </w:pPr>
      <w:r>
        <w:rPr>
          <w:rFonts w:ascii="IBM Plex Sans" w:cs="IBM Plex Sans" w:eastAsia="IBM Plex Sans" w:hAnsi="IBM Plex Sans"/>
          <w:color w:val="334155"/>
          <w:sz w:val="21"/>
          <w:szCs w:val="21"/>
        </w:rPr>
        <w:t xml:space="preserve">Daftar istilah berikut disusun untuk memudahkan pembaca lintas profesi memahami istilah teknis yang digunakan dalam PPK ini.</w:t>
      </w:r>
    </w:p>
    <w:tbl>
      <w:tblPr>
        <w:tblW w:type="dxa" w:w="9350"/>
        <w:tblBorders>
          <w:top w:val="single" w:color="E2E8F0" w:sz="4"/>
          <w:left w:val="single" w:color="E2E8F0" w:sz="4"/>
          <w:bottom w:val="single" w:color="E2E8F0" w:sz="4"/>
          <w:right w:val="single" w:color="E2E8F0" w:sz="4"/>
          <w:insideH w:val="single" w:color="E2E8F0" w:sz="4"/>
          <w:insideV w:val="single" w:color="E2E8F0" w:sz="4"/>
        </w:tblBorders>
      </w:tblPr>
      <w:tblGrid>
        <w:gridCol w:w="2800"/>
        <w:gridCol w:w="6550"/>
      </w:tblGrid>
      <w:tr>
        <w:tc>
          <w:tcPr>
            <w:tcW w:type="dxa" w:w="2800"/>
            <w:shd w:fill="FFFBEB" w:val="clear"/>
            <w:tcMar>
              <w:top w:type="dxa" w:w="100"/>
              <w:left w:type="dxa" w:w="160"/>
              <w:bottom w:type="dxa" w:w="100"/>
              <w:right w:type="dxa" w:w="120"/>
            </w:tcMar>
          </w:tcPr>
          <w:p>
            <w:r>
              <w:rPr>
                <w:rFonts w:ascii="IBM Plex Sans" w:cs="IBM Plex Sans" w:eastAsia="IBM Plex Sans" w:hAnsi="IBM Plex Sans"/>
                <w:b/>
                <w:bCs/>
                <w:color w:val="B45309"/>
                <w:sz w:val="19"/>
                <w:szCs w:val="19"/>
              </w:rPr>
              <w:t xml:space="preserve">Servisitis (Cervicitis)</w:t>
            </w:r>
          </w:p>
        </w:tc>
        <w:tc>
          <w:tcPr>
            <w:tcW w:type="dxa" w:w="6550"/>
            <w:tcMar>
              <w:top w:type="dxa" w:w="100"/>
              <w:left w:type="dxa" w:w="160"/>
              <w:bottom w:type="dxa" w:w="100"/>
              <w:right w:type="dxa" w:w="120"/>
            </w:tcMar>
          </w:tcPr>
          <w:p>
            <w:r>
              <w:rPr>
                <w:rFonts w:ascii="IBM Plex Sans" w:cs="IBM Plex Sans" w:eastAsia="IBM Plex Sans" w:hAnsi="IBM Plex Sans"/>
                <w:color w:val="334155"/>
                <w:sz w:val="19"/>
                <w:szCs w:val="19"/>
              </w:rPr>
              <w:t xml:space="preserve">Peradangan pada serviks uteri, dapat disebabkan oleh infeksi menular seksual maupun penyebab non-infeksi.</w:t>
            </w:r>
          </w:p>
        </w:tc>
      </w:tr>
      <w:tr>
        <w:tc>
          <w:tcPr>
            <w:tcW w:type="dxa" w:w="2800"/>
            <w:shd w:fill="FFFBEB" w:val="clear"/>
            <w:tcMar>
              <w:top w:type="dxa" w:w="100"/>
              <w:left w:type="dxa" w:w="160"/>
              <w:bottom w:type="dxa" w:w="100"/>
              <w:right w:type="dxa" w:w="120"/>
            </w:tcMar>
          </w:tcPr>
          <w:p>
            <w:r>
              <w:rPr>
                <w:rFonts w:ascii="IBM Plex Sans" w:cs="IBM Plex Sans" w:eastAsia="IBM Plex Sans" w:hAnsi="IBM Plex Sans"/>
                <w:b/>
                <w:bCs/>
                <w:color w:val="B45309"/>
                <w:sz w:val="19"/>
                <w:szCs w:val="19"/>
              </w:rPr>
              <w:t xml:space="preserve">Duh mukopurulen (Mucopurulent discharge)</w:t>
            </w:r>
          </w:p>
        </w:tc>
        <w:tc>
          <w:tcPr>
            <w:tcW w:type="dxa" w:w="6550"/>
            <w:tcMar>
              <w:top w:type="dxa" w:w="100"/>
              <w:left w:type="dxa" w:w="160"/>
              <w:bottom w:type="dxa" w:w="100"/>
              <w:right w:type="dxa" w:w="120"/>
            </w:tcMar>
          </w:tcPr>
          <w:p>
            <w:r>
              <w:rPr>
                <w:rFonts w:ascii="IBM Plex Sans" w:cs="IBM Plex Sans" w:eastAsia="IBM Plex Sans" w:hAnsi="IBM Plex Sans"/>
                <w:color w:val="334155"/>
                <w:sz w:val="19"/>
                <w:szCs w:val="19"/>
              </w:rPr>
              <w:t xml:space="preserve">Cairan sekret bercampur lendir dan nanah yang keluar dari saluran genital sebagai tanda inflamasi aktif.</w:t>
            </w:r>
          </w:p>
        </w:tc>
      </w:tr>
      <w:tr>
        <w:tc>
          <w:tcPr>
            <w:tcW w:type="dxa" w:w="2800"/>
            <w:shd w:fill="FFFBEB" w:val="clear"/>
            <w:tcMar>
              <w:top w:type="dxa" w:w="100"/>
              <w:left w:type="dxa" w:w="160"/>
              <w:bottom w:type="dxa" w:w="100"/>
              <w:right w:type="dxa" w:w="120"/>
            </w:tcMar>
          </w:tcPr>
          <w:p>
            <w:r>
              <w:rPr>
                <w:rFonts w:ascii="IBM Plex Sans" w:cs="IBM Plex Sans" w:eastAsia="IBM Plex Sans" w:hAnsi="IBM Plex Sans"/>
                <w:b/>
                <w:bCs/>
                <w:color w:val="B45309"/>
                <w:sz w:val="19"/>
                <w:szCs w:val="19"/>
              </w:rPr>
              <w:t xml:space="preserve">Perdarahan kontak (Contact bleeding/friability)</w:t>
            </w:r>
          </w:p>
        </w:tc>
        <w:tc>
          <w:tcPr>
            <w:tcW w:type="dxa" w:w="6550"/>
            <w:tcMar>
              <w:top w:type="dxa" w:w="100"/>
              <w:left w:type="dxa" w:w="160"/>
              <w:bottom w:type="dxa" w:w="100"/>
              <w:right w:type="dxa" w:w="120"/>
            </w:tcMar>
          </w:tcPr>
          <w:p>
            <w:r>
              <w:rPr>
                <w:rFonts w:ascii="IBM Plex Sans" w:cs="IBM Plex Sans" w:eastAsia="IBM Plex Sans" w:hAnsi="IBM Plex Sans"/>
                <w:color w:val="334155"/>
                <w:sz w:val="19"/>
                <w:szCs w:val="19"/>
              </w:rPr>
              <w:t xml:space="preserve">Perdarahan ringan yang mudah timbul saat jaringan serviks tersentuh, menandakan kerapuhan pembuluh darah akibat inflamasi.</w:t>
            </w:r>
          </w:p>
        </w:tc>
      </w:tr>
      <w:tr>
        <w:tc>
          <w:tcPr>
            <w:tcW w:type="dxa" w:w="2800"/>
            <w:shd w:fill="FFFBEB" w:val="clear"/>
            <w:tcMar>
              <w:top w:type="dxa" w:w="100"/>
              <w:left w:type="dxa" w:w="160"/>
              <w:bottom w:type="dxa" w:w="100"/>
              <w:right w:type="dxa" w:w="120"/>
            </w:tcMar>
          </w:tcPr>
          <w:p>
            <w:r>
              <w:rPr>
                <w:rFonts w:ascii="IBM Plex Sans" w:cs="IBM Plex Sans" w:eastAsia="IBM Plex Sans" w:hAnsi="IBM Plex Sans"/>
                <w:b/>
                <w:bCs/>
                <w:color w:val="B45309"/>
                <w:sz w:val="19"/>
                <w:szCs w:val="19"/>
              </w:rPr>
              <w:t xml:space="preserve">NAAT (Nucleic Acid Amplification Test)</w:t>
            </w:r>
          </w:p>
        </w:tc>
        <w:tc>
          <w:tcPr>
            <w:tcW w:type="dxa" w:w="6550"/>
            <w:tcMar>
              <w:top w:type="dxa" w:w="100"/>
              <w:left w:type="dxa" w:w="160"/>
              <w:bottom w:type="dxa" w:w="100"/>
              <w:right w:type="dxa" w:w="120"/>
            </w:tcMar>
          </w:tcPr>
          <w:p>
            <w:r>
              <w:rPr>
                <w:rFonts w:ascii="IBM Plex Sans" w:cs="IBM Plex Sans" w:eastAsia="IBM Plex Sans" w:hAnsi="IBM Plex Sans"/>
                <w:color w:val="334155"/>
                <w:sz w:val="19"/>
                <w:szCs w:val="19"/>
              </w:rPr>
              <w:t xml:space="preserve">Metode pemeriksaan laboratorium berbasis amplifikasi materi genetik untuk mendeteksi patogen secara sangat sensitif dan spesifik, digunakan sebagai baku emas diagnosis Chlamydia trachomatis dan Neisseria gonorrhoeae.</w:t>
            </w:r>
          </w:p>
        </w:tc>
      </w:tr>
      <w:tr>
        <w:tc>
          <w:tcPr>
            <w:tcW w:type="dxa" w:w="2800"/>
            <w:shd w:fill="FFFBEB" w:val="clear"/>
            <w:tcMar>
              <w:top w:type="dxa" w:w="100"/>
              <w:left w:type="dxa" w:w="160"/>
              <w:bottom w:type="dxa" w:w="100"/>
              <w:right w:type="dxa" w:w="120"/>
            </w:tcMar>
          </w:tcPr>
          <w:p>
            <w:r>
              <w:rPr>
                <w:rFonts w:ascii="IBM Plex Sans" w:cs="IBM Plex Sans" w:eastAsia="IBM Plex Sans" w:hAnsi="IBM Plex Sans"/>
                <w:b/>
                <w:bCs/>
                <w:color w:val="B45309"/>
                <w:sz w:val="19"/>
                <w:szCs w:val="19"/>
              </w:rPr>
              <w:t xml:space="preserve">Tata laksana sindromik (Syndromic management)</w:t>
            </w:r>
          </w:p>
        </w:tc>
        <w:tc>
          <w:tcPr>
            <w:tcW w:type="dxa" w:w="6550"/>
            <w:tcMar>
              <w:top w:type="dxa" w:w="100"/>
              <w:left w:type="dxa" w:w="160"/>
              <w:bottom w:type="dxa" w:w="100"/>
              <w:right w:type="dxa" w:w="120"/>
            </w:tcMar>
          </w:tcPr>
          <w:p>
            <w:r>
              <w:rPr>
                <w:rFonts w:ascii="IBM Plex Sans" w:cs="IBM Plex Sans" w:eastAsia="IBM Plex Sans" w:hAnsi="IBM Plex Sans"/>
                <w:color w:val="334155"/>
                <w:sz w:val="19"/>
                <w:szCs w:val="19"/>
              </w:rPr>
              <w:t xml:space="preserve">Pendekatan pengobatan infeksi menular seksual berdasarkan kumpulan gejala dan tanda klinis tanpa menunggu hasil laboratorium, umum diterapkan pada layanan dengan akses laboratorium terbatas.</w:t>
            </w:r>
          </w:p>
        </w:tc>
      </w:tr>
      <w:tr>
        <w:tc>
          <w:tcPr>
            <w:tcW w:type="dxa" w:w="2800"/>
            <w:shd w:fill="FFFBEB" w:val="clear"/>
            <w:tcMar>
              <w:top w:type="dxa" w:w="100"/>
              <w:left w:type="dxa" w:w="160"/>
              <w:bottom w:type="dxa" w:w="100"/>
              <w:right w:type="dxa" w:w="120"/>
            </w:tcMar>
          </w:tcPr>
          <w:p>
            <w:r>
              <w:rPr>
                <w:rFonts w:ascii="IBM Plex Sans" w:cs="IBM Plex Sans" w:eastAsia="IBM Plex Sans" w:hAnsi="IBM Plex Sans"/>
                <w:b/>
                <w:bCs/>
                <w:color w:val="B45309"/>
                <w:sz w:val="19"/>
                <w:szCs w:val="19"/>
              </w:rPr>
              <w:t xml:space="preserve">Notifikasi pasangan (Partner notification)</w:t>
            </w:r>
          </w:p>
        </w:tc>
        <w:tc>
          <w:tcPr>
            <w:tcW w:type="dxa" w:w="6550"/>
            <w:tcMar>
              <w:top w:type="dxa" w:w="100"/>
              <w:left w:type="dxa" w:w="160"/>
              <w:bottom w:type="dxa" w:w="100"/>
              <w:right w:type="dxa" w:w="120"/>
            </w:tcMar>
          </w:tcPr>
          <w:p>
            <w:r>
              <w:rPr>
                <w:rFonts w:ascii="IBM Plex Sans" w:cs="IBM Plex Sans" w:eastAsia="IBM Plex Sans" w:hAnsi="IBM Plex Sans"/>
                <w:color w:val="334155"/>
                <w:sz w:val="19"/>
                <w:szCs w:val="19"/>
              </w:rPr>
              <w:t xml:space="preserve">Proses pemberitahuan kepada pasangan seksual pasien mengenai kemungkinan paparan infeksi menular seksual agar turut menjalani pemeriksaan dan pengobatan.</w:t>
            </w:r>
          </w:p>
        </w:tc>
      </w:tr>
      <w:tr>
        <w:tc>
          <w:tcPr>
            <w:tcW w:type="dxa" w:w="2800"/>
            <w:shd w:fill="FFFBEB" w:val="clear"/>
            <w:tcMar>
              <w:top w:type="dxa" w:w="100"/>
              <w:left w:type="dxa" w:w="160"/>
              <w:bottom w:type="dxa" w:w="100"/>
              <w:right w:type="dxa" w:w="120"/>
            </w:tcMar>
          </w:tcPr>
          <w:p>
            <w:r>
              <w:rPr>
                <w:rFonts w:ascii="IBM Plex Sans" w:cs="IBM Plex Sans" w:eastAsia="IBM Plex Sans" w:hAnsi="IBM Plex Sans"/>
                <w:b/>
                <w:bCs/>
                <w:color w:val="B45309"/>
                <w:sz w:val="19"/>
                <w:szCs w:val="19"/>
              </w:rPr>
              <w:t xml:space="preserve">Rescreening</w:t>
            </w:r>
          </w:p>
        </w:tc>
        <w:tc>
          <w:tcPr>
            <w:tcW w:type="dxa" w:w="6550"/>
            <w:tcMar>
              <w:top w:type="dxa" w:w="100"/>
              <w:left w:type="dxa" w:w="160"/>
              <w:bottom w:type="dxa" w:w="100"/>
              <w:right w:type="dxa" w:w="120"/>
            </w:tcMar>
          </w:tcPr>
          <w:p>
            <w:r>
              <w:rPr>
                <w:rFonts w:ascii="IBM Plex Sans" w:cs="IBM Plex Sans" w:eastAsia="IBM Plex Sans" w:hAnsi="IBM Plex Sans"/>
                <w:color w:val="334155"/>
                <w:sz w:val="19"/>
                <w:szCs w:val="19"/>
              </w:rPr>
              <w:t xml:space="preserve">Pemeriksaan ulang etiologi infeksi pada waktu tertentu pasca-terapi, umumnya sekitar 3 bulan, untuk mendeteksi kemungkinan reinfeksi, berbeda dengan uji sembuh.</w:t>
            </w:r>
          </w:p>
        </w:tc>
      </w:tr>
      <w:tr>
        <w:tc>
          <w:tcPr>
            <w:tcW w:type="dxa" w:w="2800"/>
            <w:shd w:fill="FFFBEB" w:val="clear"/>
            <w:tcMar>
              <w:top w:type="dxa" w:w="100"/>
              <w:left w:type="dxa" w:w="160"/>
              <w:bottom w:type="dxa" w:w="100"/>
              <w:right w:type="dxa" w:w="120"/>
            </w:tcMar>
          </w:tcPr>
          <w:p>
            <w:r>
              <w:rPr>
                <w:rFonts w:ascii="IBM Plex Sans" w:cs="IBM Plex Sans" w:eastAsia="IBM Plex Sans" w:hAnsi="IBM Plex Sans"/>
                <w:b/>
                <w:bCs/>
                <w:color w:val="B45309"/>
                <w:sz w:val="19"/>
                <w:szCs w:val="19"/>
              </w:rPr>
              <w:t xml:space="preserve">Uji sembuh (Test of cure)</w:t>
            </w:r>
          </w:p>
        </w:tc>
        <w:tc>
          <w:tcPr>
            <w:tcW w:type="dxa" w:w="6550"/>
            <w:tcMar>
              <w:top w:type="dxa" w:w="100"/>
              <w:left w:type="dxa" w:w="160"/>
              <w:bottom w:type="dxa" w:w="100"/>
              <w:right w:type="dxa" w:w="120"/>
            </w:tcMar>
          </w:tcPr>
          <w:p>
            <w:r>
              <w:rPr>
                <w:rFonts w:ascii="IBM Plex Sans" w:cs="IBM Plex Sans" w:eastAsia="IBM Plex Sans" w:hAnsi="IBM Plex Sans"/>
                <w:color w:val="334155"/>
                <w:sz w:val="19"/>
                <w:szCs w:val="19"/>
              </w:rPr>
              <w:t xml:space="preserve">Pemeriksaan konfirmasi eradikasi patogen pasca-terapi, diindikasikan secara rutin terutama pada kehamilan sekitar 3-4 minggu setelah pengobatan.</w:t>
            </w:r>
          </w:p>
        </w:tc>
      </w:tr>
      <w:tr>
        <w:tc>
          <w:tcPr>
            <w:tcW w:type="dxa" w:w="2800"/>
            <w:shd w:fill="FFFBEB" w:val="clear"/>
            <w:tcMar>
              <w:top w:type="dxa" w:w="100"/>
              <w:left w:type="dxa" w:w="160"/>
              <w:bottom w:type="dxa" w:w="100"/>
              <w:right w:type="dxa" w:w="120"/>
            </w:tcMar>
          </w:tcPr>
          <w:p>
            <w:r>
              <w:rPr>
                <w:rFonts w:ascii="IBM Plex Sans" w:cs="IBM Plex Sans" w:eastAsia="IBM Plex Sans" w:hAnsi="IBM Plex Sans"/>
                <w:b/>
                <w:bCs/>
                <w:color w:val="B45309"/>
                <w:sz w:val="19"/>
                <w:szCs w:val="19"/>
              </w:rPr>
              <w:t xml:space="preserve">Ektropion serviks</w:t>
            </w:r>
          </w:p>
        </w:tc>
        <w:tc>
          <w:tcPr>
            <w:tcW w:type="dxa" w:w="6550"/>
            <w:tcMar>
              <w:top w:type="dxa" w:w="100"/>
              <w:left w:type="dxa" w:w="160"/>
              <w:bottom w:type="dxa" w:w="100"/>
              <w:right w:type="dxa" w:w="120"/>
            </w:tcMar>
          </w:tcPr>
          <w:p>
            <w:r>
              <w:rPr>
                <w:rFonts w:ascii="IBM Plex Sans" w:cs="IBM Plex Sans" w:eastAsia="IBM Plex Sans" w:hAnsi="IBM Plex Sans"/>
                <w:color w:val="334155"/>
                <w:sz w:val="19"/>
                <w:szCs w:val="19"/>
              </w:rPr>
              <w:t xml:space="preserve">Kondisi di mana epitel kolumnar endoserviks tervisualisasi pada permukaan ektoserviks, dapat bersifat fisiologis tanpa disertai inflamasi aktif.</w:t>
            </w:r>
          </w:p>
        </w:tc>
      </w:tr>
      <w:tr>
        <w:tc>
          <w:tcPr>
            <w:tcW w:type="dxa" w:w="2800"/>
            <w:shd w:fill="FFFBEB" w:val="clear"/>
            <w:tcMar>
              <w:top w:type="dxa" w:w="100"/>
              <w:left w:type="dxa" w:w="160"/>
              <w:bottom w:type="dxa" w:w="100"/>
              <w:right w:type="dxa" w:w="120"/>
            </w:tcMar>
          </w:tcPr>
          <w:p>
            <w:r>
              <w:rPr>
                <w:rFonts w:ascii="IBM Plex Sans" w:cs="IBM Plex Sans" w:eastAsia="IBM Plex Sans" w:hAnsi="IBM Plex Sans"/>
                <w:b/>
                <w:bCs/>
                <w:color w:val="B45309"/>
                <w:sz w:val="19"/>
                <w:szCs w:val="19"/>
              </w:rPr>
              <w:t xml:space="preserve">Resistensi antimikroba (Antimicrobial resistance)</w:t>
            </w:r>
          </w:p>
        </w:tc>
        <w:tc>
          <w:tcPr>
            <w:tcW w:type="dxa" w:w="6550"/>
            <w:tcMar>
              <w:top w:type="dxa" w:w="100"/>
              <w:left w:type="dxa" w:w="160"/>
              <w:bottom w:type="dxa" w:w="100"/>
              <w:right w:type="dxa" w:w="120"/>
            </w:tcMar>
          </w:tcPr>
          <w:p>
            <w:r>
              <w:rPr>
                <w:rFonts w:ascii="IBM Plex Sans" w:cs="IBM Plex Sans" w:eastAsia="IBM Plex Sans" w:hAnsi="IBM Plex Sans"/>
                <w:color w:val="334155"/>
                <w:sz w:val="19"/>
                <w:szCs w:val="19"/>
              </w:rPr>
              <w:t xml:space="preserve">Kemampuan mikroorganisme untuk bertahan terhadap efek obat antimikroba yang seharusnya efektif, menjadi perhatian khusus pada tata laksana gonore.</w:t>
            </w:r>
          </w:p>
        </w:tc>
      </w:tr>
    </w:tbl>
    <w:p>
      <w:pPr>
        <w:spacing w:after="200"/>
      </w:pPr>
    </w:p>
    <w:p>
      <w:pPr>
        <w:pBdr>
          <w:top w:val="single" w:color="E2E8F0" w:sz="6" w:space="6"/>
        </w:pBdr>
        <w:spacing w:after="60" w:before="300"/>
      </w:pPr>
      <w:r>
        <w:rPr>
          <w:rFonts w:ascii="IBM Plex Sans" w:cs="IBM Plex Sans" w:eastAsia="IBM Plex Sans" w:hAnsi="IBM Plex Sans"/>
          <w:b/>
          <w:bCs/>
          <w:color w:val="334155"/>
          <w:sz w:val="19"/>
          <w:szCs w:val="19"/>
        </w:rPr>
        <w:t xml:space="preserve">Dr.dr. Budi Siswanto, Sp.OG., Subsp.Obginsos., SH., S.Kom.</w:t>
      </w:r>
    </w:p>
    <w:p>
      <w:pPr>
        <w:spacing w:after="20"/>
      </w:pPr>
      <w:r>
        <w:rPr>
          <w:rFonts w:ascii="IBM Plex Sans" w:cs="IBM Plex Sans" w:eastAsia="IBM Plex Sans" w:hAnsi="IBM Plex Sans"/>
          <w:color w:val="64748B"/>
          <w:sz w:val="17"/>
          <w:szCs w:val="17"/>
        </w:rPr>
        <w:t xml:space="preserve">Perpustakaan Digital ABBA — Jl. Kerinci Raya No. 9, Malang 65138</w:t>
      </w:r>
    </w:p>
    <w:p>
      <w:pPr>
        <w:spacing w:after="20"/>
      </w:pPr>
      <w:r>
        <w:rPr>
          <w:rFonts w:ascii="IBM Plex Sans" w:cs="IBM Plex Sans" w:eastAsia="IBM Plex Sans" w:hAnsi="IBM Plex Sans"/>
          <w:color w:val="64748B"/>
          <w:sz w:val="17"/>
          <w:szCs w:val="17"/>
        </w:rPr>
        <w:t xml:space="preserve">Edisi Agustus 2026</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5"/>
        <w:szCs w:val="15"/>
      </w:rPr>
      <w:t xml:space="preserve">Dokumen 43 dari 73 — PPK Sebelumnya: PPK-042 — Vaginitis (Vaginitis) | PPK Berikutnya: PPK-044 — Penyakit Radang Panggul Tanpa Komplikasi (Pelvic Inflammatory Disease without Complication)   |   Hal. </w:t>
    </w:r>
    <w:r>
      <w:rPr>
        <w:rFonts w:ascii="IBM Plex Mono" w:cs="IBM Plex Mono" w:eastAsia="IBM Plex Mono" w:hAnsi="IBM Plex Mono"/>
        <w:color w:val="64748B"/>
        <w:sz w:val="15"/>
        <w:szCs w:val="15"/>
      </w:rPr>
      <w:fldChar w:fldCharType="begin"/>
      <w:instrText xml:space="preserve">PAGE</w:instrText>
      <w:fldChar w:fldCharType="separate"/>
      <w:fldChar w:fldCharType="end"/>
    </w:r>
    <w:r>
      <w:rPr>
        <w:rFonts w:ascii="IBM Plex Mono" w:cs="IBM Plex Mono" w:eastAsia="IBM Plex Mono" w:hAnsi="IBM Plex Mono"/>
        <w:color w:val="64748B"/>
        <w:sz w:val="15"/>
        <w:szCs w:val="15"/>
      </w:rPr>
      <w:t xml:space="preserve"> / </w:t>
    </w:r>
    <w:r>
      <w:rPr>
        <w:rFonts w:ascii="IBM Plex Mono" w:cs="IBM Plex Mono" w:eastAsia="IBM Plex Mono" w:hAnsi="IBM Plex Mono"/>
        <w:color w:val="64748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space="4"/>
      </w:pBdr>
      <w:jc w:val="right"/>
    </w:pPr>
    <w:r>
      <w:rPr>
        <w:rFonts w:ascii="IBM Plex Mono" w:cs="IBM Plex Mono" w:eastAsia="IBM Plex Mono" w:hAnsi="IBM Plex Mono"/>
        <w:color w:val="64748B"/>
        <w:sz w:val="16"/>
        <w:szCs w:val="16"/>
      </w:rPr>
      <w:t xml:space="preserve">PPK-043 — Servisitis (Cervicitis)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2026-08-17T23:21:35.835Z</dcterms:created>
  <dcterms:modified xsi:type="dcterms:W3CDTF">2026-08-17T23:21:35.849Z</dcterms:modified>
</cp:coreProperties>
</file>

<file path=docProps/custom.xml><?xml version="1.0" encoding="utf-8"?>
<Properties xmlns="http://schemas.openxmlformats.org/officeDocument/2006/custom-properties" xmlns:vt="http://schemas.openxmlformats.org/officeDocument/2006/docPropsVTypes"/>
</file>