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0"/>
      </w:pPr>
    </w:p>
    <w:p>
      <w:pPr>
        <w:jc w:val="center"/>
      </w:pPr>
      <w:r>
        <w:rPr>
          <w:rFonts w:ascii="IBM Plex Mono" w:cs="IBM Plex Mono" w:eastAsia="IBM Plex Mono" w:hAnsi="IBM Plex Mono"/>
          <w:b/>
          <w:bCs/>
          <w:color w:val="B45309"/>
          <w:sz w:val="18"/>
          <w:szCs w:val="18"/>
        </w:rPr>
        <w:t xml:space="preserve">EKOSISTEM LITERATUR STANDAR SpOG</w:t>
      </w:r>
    </w:p>
    <w:p>
      <w:pPr>
        <w:spacing w:after="100"/>
      </w:pPr>
    </w:p>
    <w:p>
      <w:pPr>
        <w:jc w:val="center"/>
      </w:pPr>
      <w:r>
        <w:rPr>
          <w:rFonts w:ascii="IBM Plex Sans" w:cs="IBM Plex Sans" w:eastAsia="IBM Plex Sans" w:hAnsi="IBM Plex Sans"/>
          <w:color w:val="64748B"/>
          <w:sz w:val="22"/>
          <w:szCs w:val="22"/>
        </w:rPr>
        <w:t xml:space="preserve">PANDUAN PRAKTIK KLINIS (PPK)</w:t>
      </w:r>
    </w:p>
    <w:p>
      <w:pPr>
        <w:spacing w:after="400"/>
      </w:pPr>
    </w:p>
    <w:p>
      <w:pPr>
        <w:jc w:val="center"/>
      </w:pPr>
      <w:r>
        <w:rPr>
          <w:rFonts w:ascii="Source Serif 4" w:cs="Source Serif 4" w:eastAsia="Source Serif 4" w:hAnsi="Source Serif 4"/>
          <w:b/>
          <w:bCs/>
          <w:color w:val="3730A3"/>
          <w:sz w:val="44"/>
          <w:szCs w:val="44"/>
        </w:rPr>
        <w:t xml:space="preserve">Penyakit Radang Panggul Tanpa Komplikasi</w:t>
      </w:r>
    </w:p>
    <w:p>
      <w:pPr>
        <w:spacing w:after="80"/>
      </w:pPr>
    </w:p>
    <w:p>
      <w:pPr>
        <w:jc w:val="center"/>
      </w:pPr>
      <w:r>
        <w:rPr>
          <w:rFonts w:ascii="Source Serif 4" w:cs="Source Serif 4" w:eastAsia="Source Serif 4" w:hAnsi="Source Serif 4"/>
          <w:i/>
          <w:iCs/>
          <w:color w:val="64748B"/>
          <w:sz w:val="26"/>
          <w:szCs w:val="26"/>
        </w:rPr>
        <w:t xml:space="preserve">Pelvic Inflammatory Disease Without Complication</w:t>
      </w:r>
    </w:p>
    <w:p>
      <w:pPr>
        <w:spacing w:after="500"/>
      </w:pPr>
    </w:p>
    <w:p>
      <w:pPr>
        <w:jc w:val="center"/>
      </w:pPr>
      <w:r>
        <w:rPr>
          <w:rFonts w:ascii="IBM Plex Mono" w:cs="IBM Plex Mono" w:eastAsia="IBM Plex Mono" w:hAnsi="IBM Plex Mono"/>
          <w:color w:val="B45309"/>
          <w:sz w:val="20"/>
          <w:szCs w:val="20"/>
        </w:rPr>
        <w:t xml:space="preserve">PPK-044  ·  Dokumen 44 dari 73</w:t>
      </w:r>
    </w:p>
    <w:p>
      <w:pPr>
        <w:spacing w:after="60"/>
      </w:pPr>
    </w:p>
    <w:p>
      <w:pPr>
        <w:jc w:val="center"/>
      </w:pPr>
      <w:r>
        <w:rPr>
          <w:rFonts w:ascii="IBM Plex Mono" w:cs="IBM Plex Mono" w:eastAsia="IBM Plex Mono" w:hAnsi="IBM Plex Mono"/>
          <w:color w:val="334155"/>
          <w:sz w:val="18"/>
          <w:szCs w:val="18"/>
        </w:rPr>
        <w:t xml:space="preserve">ICD-10 N73.9   |   ICD-11 GA05.0</w:t>
      </w:r>
    </w:p>
    <w:p>
      <w:pPr>
        <w:spacing w:after="1000"/>
      </w:pPr>
    </w:p>
    <w:p>
      <w:pPr>
        <w:jc w:val="center"/>
      </w:pPr>
      <w:r>
        <w:rPr>
          <w:rFonts w:ascii="IBM Plex Sans" w:cs="IBM Plex Sans" w:eastAsia="IBM Plex Sans" w:hAnsi="IBM Plex Sans"/>
          <w:color w:val="64748B"/>
          <w:sz w:val="18"/>
          <w:szCs w:val="18"/>
        </w:rPr>
        <w:t xml:space="preserve">Rujukan induk: Buku Tematik B6 — Ginekologi Umum dan Infeksi Saluran Reproduksi</w:t>
      </w:r>
    </w:p>
    <w:p>
      <w:pPr>
        <w:jc w:val="center"/>
      </w:pPr>
      <w:r>
        <w:rPr>
          <w:rFonts w:ascii="IBM Plex Sans" w:cs="IBM Plex Sans" w:eastAsia="IBM Plex Sans" w:hAnsi="IBM Plex Sans"/>
          <w:color w:val="64748B"/>
          <w:sz w:val="18"/>
          <w:szCs w:val="18"/>
        </w:rPr>
        <w:t xml:space="preserve">Divisi Pengampu Pendukung: Obstetri Ginekologi Sosial</w:t>
      </w:r>
    </w:p>
    <w:p>
      <w:pPr>
        <w:spacing w:after="200"/>
      </w:pPr>
    </w:p>
    <w:p>
      <w:pPr>
        <w:jc w:val="center"/>
      </w:pPr>
      <w:r>
        <w:rPr>
          <w:rFonts w:ascii="IBM Plex Sans" w:cs="IBM Plex Sans" w:eastAsia="IBM Plex Sans" w:hAnsi="IBM Plex Sans"/>
          <w:color w:val="64748B"/>
          <w:sz w:val="16"/>
          <w:szCs w:val="16"/>
        </w:rPr>
        <w:t xml:space="preserve">Keputusan Ketua Konsil Kesehatan Indonesia No. HK.01.02/KKI/1318/2026, Lampiran Tabel 7 No. 44</w:t>
      </w:r>
    </w:p>
    <w:p>
      <w:pPr>
        <w:spacing w:after="700"/>
      </w:pPr>
    </w:p>
    <w:p>
      <w:pPr>
        <w:pBdr>
          <w:top w:val="single" w:color="C7D2FE" w:sz="4" w:space="8"/>
        </w:pBdr>
        <w:spacing w:before="200"/>
        <w:jc w:val="center"/>
      </w:pPr>
      <w:r>
        <w:rPr>
          <w:rFonts w:ascii="IBM Plex Sans" w:cs="IBM Plex Sans" w:eastAsia="IBM Plex Sans" w:hAnsi="IBM Plex Sans"/>
          <w:b/>
          <w:bCs/>
          <w:color w:val="334155"/>
          <w:sz w:val="18"/>
          <w:szCs w:val="18"/>
        </w:rPr>
        <w:t xml:space="preserve">Dr.dr. Budi Siswanto, Sp.OG., Subsp.Obginsos., SH., S.Kom.</w:t>
      </w:r>
    </w:p>
    <w:p>
      <w:pPr>
        <w:jc w:val="center"/>
      </w:pPr>
      <w:r>
        <w:rPr>
          <w:rFonts w:ascii="IBM Plex Sans" w:cs="IBM Plex Sans" w:eastAsia="IBM Plex Sans" w:hAnsi="IBM Plex Sans"/>
          <w:color w:val="64748B"/>
          <w:sz w:val="16"/>
          <w:szCs w:val="16"/>
        </w:rPr>
        <w:t xml:space="preserve">Perpustakaan Digital ABBA  ·  Jl. Kerinci Raya No. 9, Malang 65138</w:t>
      </w:r>
    </w:p>
    <w:p>
      <w:pPr>
        <w:jc w:val="center"/>
      </w:pPr>
      <w:r>
        <w:rPr>
          <w:rFonts w:ascii="IBM Plex Mono" w:cs="IBM Plex Mono" w:eastAsia="IBM Plex Mono" w:hAnsi="IBM Plex Mono"/>
          <w:color w:val="64748B"/>
          <w:sz w:val="14"/>
          <w:szCs w:val="14"/>
        </w:rPr>
        <w:t xml:space="preserve">Edisi Agustus 2026</w:t>
      </w:r>
    </w:p>
    <w:p>
      <w:r>
        <w:br w:type="page"/>
      </w:r>
    </w:p>
    <w:tbl>
      <w:tblPr>
        <w:tblW w:type="pct" w:w="100%"/>
        <w:tblBorders>
          <w:top w:val="single" w:color="C7D2FE" w:sz="4"/>
          <w:left w:val="single" w:color="C7D2FE" w:sz="4"/>
          <w:bottom w:val="single" w:color="C7D2FE" w:sz="4"/>
          <w:right w:val="single" w:color="C7D2FE" w:sz="4"/>
          <w:insideH w:val="single" w:color="auto" w:sz="4"/>
          <w:insideV w:val="single" w:color="auto" w:sz="4"/>
        </w:tblBorders>
      </w:tblPr>
      <w:tblGrid>
        <w:gridCol w:w="100"/>
        <w:gridCol w:w="100"/>
        <w:gridCol w:w="100"/>
      </w:tblGrid>
      <w:tr>
        <w:tc>
          <w:tcPr>
            <w:tcW w:type="pct" w:w="33%"/>
            <w:shd w:fill="EEF2FF" w:val="clear"/>
            <w:tcMar>
              <w:top w:type="dxa" w:w="120"/>
              <w:left w:type="dxa" w:w="160"/>
              <w:bottom w:type="dxa" w:w="120"/>
              <w:right w:type="dxa" w:w="160"/>
            </w:tcMar>
          </w:tcPr>
          <w:p>
            <w:r>
              <w:rPr>
                <w:rFonts w:ascii="IBM Plex Mono" w:cs="IBM Plex Mono" w:eastAsia="IBM Plex Mono" w:hAnsi="IBM Plex Mono"/>
                <w:color w:val="64748B"/>
                <w:sz w:val="14"/>
                <w:szCs w:val="14"/>
              </w:rPr>
              <w:t xml:space="preserve">ICD-10 / ICD-11</w:t>
            </w:r>
          </w:p>
          <w:p>
            <w:r>
              <w:rPr>
                <w:rFonts w:ascii="IBM Plex Mono" w:cs="IBM Plex Mono" w:eastAsia="IBM Plex Mono" w:hAnsi="IBM Plex Mono"/>
                <w:b/>
                <w:bCs/>
                <w:color w:val="3730A3"/>
                <w:sz w:val="20"/>
                <w:szCs w:val="20"/>
              </w:rPr>
              <w:t xml:space="preserve">N73.9  /  GA05.0</w:t>
            </w:r>
          </w:p>
        </w:tc>
        <w:tc>
          <w:tcPr>
            <w:tcW w:type="pct" w:w="34%"/>
            <w:shd w:fill="EEF2FF" w:val="clear"/>
            <w:tcMar>
              <w:top w:type="dxa" w:w="120"/>
              <w:left w:type="dxa" w:w="160"/>
              <w:bottom w:type="dxa" w:w="120"/>
              <w:right w:type="dxa" w:w="160"/>
            </w:tcMar>
          </w:tcPr>
          <w:p>
            <w:r>
              <w:rPr>
                <w:rFonts w:ascii="IBM Plex Mono" w:cs="IBM Plex Mono" w:eastAsia="IBM Plex Mono" w:hAnsi="IBM Plex Mono"/>
                <w:color w:val="64748B"/>
                <w:sz w:val="14"/>
                <w:szCs w:val="14"/>
              </w:rPr>
              <w:t xml:space="preserve">BUKU TEMATIK INDUK</w:t>
            </w:r>
          </w:p>
          <w:p>
            <w:r>
              <w:rPr>
                <w:rFonts w:ascii="IBM Plex Sans" w:cs="IBM Plex Sans" w:eastAsia="IBM Plex Sans" w:hAnsi="IBM Plex Sans"/>
                <w:b/>
                <w:bCs/>
                <w:color w:val="3730A3"/>
                <w:sz w:val="18"/>
                <w:szCs w:val="18"/>
              </w:rPr>
              <w:t xml:space="preserve">B6 — Ginekologi Umum dan Infeksi Saluran Reproduksi</w:t>
            </w:r>
          </w:p>
        </w:tc>
        <w:tc>
          <w:tcPr>
            <w:tcW w:type="pct" w:w="33%"/>
            <w:shd w:fill="EEF2FF" w:val="clear"/>
            <w:tcMar>
              <w:top w:type="dxa" w:w="120"/>
              <w:left w:type="dxa" w:w="160"/>
              <w:bottom w:type="dxa" w:w="120"/>
              <w:right w:type="dxa" w:w="160"/>
            </w:tcMar>
          </w:tcPr>
          <w:p>
            <w:r>
              <w:rPr>
                <w:rFonts w:ascii="IBM Plex Mono" w:cs="IBM Plex Mono" w:eastAsia="IBM Plex Mono" w:hAnsi="IBM Plex Mono"/>
                <w:color w:val="64748B"/>
                <w:sz w:val="14"/>
                <w:szCs w:val="14"/>
              </w:rPr>
              <w:t xml:space="preserve">DIVISI PENGAMPU</w:t>
            </w:r>
          </w:p>
          <w:p>
            <w:r>
              <w:rPr>
                <w:rFonts w:ascii="IBM Plex Sans" w:cs="IBM Plex Sans" w:eastAsia="IBM Plex Sans" w:hAnsi="IBM Plex Sans"/>
                <w:b/>
                <w:bCs/>
                <w:color w:val="3730A3"/>
                <w:sz w:val="18"/>
                <w:szCs w:val="18"/>
              </w:rPr>
              <w:t xml:space="preserve">Obstetri Ginekologi Sosial</w:t>
            </w:r>
          </w:p>
        </w:tc>
      </w:tr>
    </w:tbl>
    <w:p>
      <w:pPr>
        <w:spacing w:after="300"/>
      </w:pP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1. Pengertian/Definisi</w:t>
      </w:r>
    </w:p>
    <w:p>
      <w:pPr>
        <w:spacing w:after="160" w:line="276"/>
      </w:pPr>
      <w:r>
        <w:rPr>
          <w:rFonts w:ascii="IBM Plex Sans" w:cs="IBM Plex Sans" w:eastAsia="IBM Plex Sans" w:hAnsi="IBM Plex Sans"/>
          <w:color w:val="334155"/>
          <w:sz w:val="21"/>
          <w:szCs w:val="21"/>
        </w:rPr>
        <w:t xml:space="preserve">PPK ini merupakan turunan operasional dari Bab Infeksi Saluran Reproduksi Atas Buku Tematik B6 — Ginekologi Umum dan Infeksi Saluran Reproduksi.</w:t>
      </w:r>
    </w:p>
    <w:p>
      <w:pPr>
        <w:spacing w:after="160" w:line="276"/>
      </w:pPr>
      <w:r>
        <w:rPr>
          <w:rFonts w:ascii="IBM Plex Sans" w:cs="IBM Plex Sans" w:eastAsia="IBM Plex Sans" w:hAnsi="IBM Plex Sans"/>
          <w:color w:val="334155"/>
          <w:sz w:val="21"/>
          <w:szCs w:val="21"/>
        </w:rPr>
        <w:t xml:space="preserve">Penyakit radang panggul (Pelvic Inflammatory Disease, PID) tanpa komplikasi adalah infeksi naik (ascending infection) pada genitalia interna bagian atas — endometrium, tuba fallopii, dan ovarium — dengan kemungkinan perluasan ke peritoneum pelvis, tanpa disertai abses tubo-ovarium maupun sepsis.</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60"/>
              <w:left w:type="dxa" w:w="200"/>
              <w:bottom w:type="dxa" w:w="160"/>
              <w:right w:type="dxa" w:w="200"/>
            </w:tcMar>
          </w:tcPr>
          <w:p>
            <w:pPr>
              <w:spacing w:after="60"/>
            </w:pPr>
            <w:r>
              <w:rPr>
                <w:rFonts w:ascii="IBM Plex Mono" w:cs="IBM Plex Mono" w:eastAsia="IBM Plex Mono" w:hAnsi="IBM Plex Mono"/>
                <w:b/>
                <w:bCs/>
                <w:color w:val="3730A3"/>
                <w:sz w:val="16"/>
                <w:szCs w:val="16"/>
              </w:rPr>
              <w:t xml:space="preserve">DASAR REGULASI</w:t>
            </w:r>
          </w:p>
          <w:p>
            <w:r>
              <w:rPr>
                <w:rFonts w:ascii="IBM Plex Sans" w:cs="IBM Plex Sans" w:eastAsia="IBM Plex Sans" w:hAnsi="IBM Plex Sans"/>
                <w:color w:val="334155"/>
                <w:sz w:val="20"/>
                <w:szCs w:val="20"/>
              </w:rPr>
              <w:t xml:space="preserve">Definisi baku mengikuti Tabel 7 Keputusan Ketua Konsil Kesehatan Indonesia No. HK.01.02/KKI/1318/2026, Lampiran Tabel 7 No. 44: nama diagnosis "Penyakit radang panggul tanpa komplikasi" (Pelvic inflammatory disease without complication), kode ICD-10 N73.9, kode ICD-11 GA05.0, keterangan/populasi: "Infeksi pelvis; nyeri panggul kronis".</w:t>
            </w:r>
          </w:p>
        </w:tc>
      </w:tr>
    </w:tbl>
    <w:p>
      <w:pPr>
        <w:spacing w:after="200"/>
      </w:pPr>
    </w:p>
    <w:p>
      <w:pPr>
        <w:spacing w:after="160" w:line="276"/>
      </w:pPr>
      <w:r>
        <w:rPr>
          <w:rFonts w:ascii="IBM Plex Sans" w:cs="IBM Plex Sans" w:eastAsia="IBM Plex Sans" w:hAnsi="IBM Plex Sans"/>
          <w:color w:val="334155"/>
          <w:sz w:val="21"/>
          <w:szCs w:val="21"/>
        </w:rPr>
        <w:t xml:space="preserve">Diagnosis PID ditegakkan secara klinis karena tidak ada satu gejala, tanda, maupun pemeriksaan penunjang tunggal yang cukup sensitif dan spesifik. Nilai duga positif (positive predictive value) diagnosis klinis PID terhadap temuan laparoskopi berkisar 65–90%, bergantung pada karakteristik epidemiologis populasi yang diperiksa; nilai duga positif lebih tinggi dijumpai pada perempuan muda yang aktif secara seksual dan pada populasi dengan prevalensi gonore atau klamidia yang tinggi [2],[4].</w:t>
      </w:r>
    </w:p>
    <w:p>
      <w:pPr>
        <w:spacing w:after="160" w:line="276"/>
      </w:pPr>
      <w:r>
        <w:rPr>
          <w:rFonts w:ascii="IBM Plex Sans" w:cs="IBM Plex Sans" w:eastAsia="IBM Plex Sans" w:hAnsi="IBM Plex Sans"/>
          <w:color w:val="334155"/>
          <w:sz w:val="21"/>
          <w:szCs w:val="21"/>
        </w:rPr>
        <w:t xml:space="preserve">Secara etiologis, PID bersifat polimikrobial. Neisseria gonorrhoeae dan Chlamydia trachomatis telah lama diidentifikasi sebagai agen penyebab klasik, meskipun proporsi kasus PID yang terkait kedua organisme tersebut menunjukkan kecenderungan menurun pada dekade terakhir — sekitar separuh perempuan dengan diagnosis PID akut memiliki hasil uji positif untuk salah satu dari keduanya [2]. Mikroorganisme flora vagina endogen — termasuk anaerob, Gardnerella vaginalis, Haemophilus influenzae, batang gram negatif enterik, dan Streptococcus agalactiae — turut berperan, terutama pada kasus yang tidak menunjukkan hasil positif untuk N. gonorrhoeae/C. trachomatis (PID dengan hasil uji patogen negatif adalah temuan yang umum) [2],[4]. Mycoplasma genitalium juga diakui berperan dalam patogenesis sebagian kasus dan dikaitkan dengan gejala yang cenderung lebih ringan [2],[4].</w:t>
      </w:r>
    </w:p>
    <w:p>
      <w:pPr>
        <w:spacing w:after="160" w:line="276"/>
      </w:pPr>
      <w:r>
        <w:rPr>
          <w:rFonts w:ascii="IBM Plex Sans" w:cs="IBM Plex Sans" w:eastAsia="IBM Plex Sans" w:hAnsi="IBM Plex Sans"/>
          <w:color w:val="334155"/>
          <w:sz w:val="21"/>
          <w:szCs w:val="21"/>
        </w:rPr>
        <w:t xml:space="preserve">Populasi sasaran PPK ini adalah perempuan usia reproduksi yang aktif secara seksual dengan keluhan nyeri panggul akut atau subakut. Faktor risiko yang perlu ditelusuri pada anamnesis meliputi usia muda (di bawah 25 tahun), riwayat infeksi menular seksual (IMS) sebelumnya, berganti-ganti pasangan seksual atau pasangan baru, tidak menggunakan kontrasepsi barrier, pemasangan alat kontrasepsi dalam rahim (AKDR) dalam beberapa minggu pertama pascapemasangan (risiko tertinggi pada 3–6 minggu pertama, kemudian menurun), serta riwayat instrumentasi genital (kuretase, biopsi endometrium, histerosalpingografi) [2],[4].</w:t>
      </w: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2. Anamnesis</w:t>
      </w:r>
    </w:p>
    <w:p>
      <w:pPr>
        <w:spacing w:after="160" w:line="276"/>
      </w:pPr>
      <w:r>
        <w:rPr>
          <w:rFonts w:ascii="IBM Plex Sans" w:cs="IBM Plex Sans" w:eastAsia="IBM Plex Sans" w:hAnsi="IBM Plex Sans"/>
          <w:color w:val="334155"/>
          <w:sz w:val="21"/>
          <w:szCs w:val="21"/>
        </w:rPr>
        <w:t xml:space="preserve">Keluhan utama tersering adalah nyeri perut bagian bawah atau nyeri panggul, umumnya bilateral (dapat pula unilateral), bersifat tumpul hingga sedang, dan sering memburuk atau baru muncul segera setelah periode menstruasi. Penting dicatat bahwa PID kerap bergejala samar atau bahkan asimtomatik, sehingga kewaspadaan klinis harus tetap tinggi pada populasi berisiko meskipun keluhan tidak khas [2]. Anamnesis terstruktur mencakup:</w:t>
      </w:r>
    </w:p>
    <w:p>
      <w:pPr>
        <w:pStyle w:val="ListParagraph"/>
        <w:numPr>
          <w:ilvl w:val="0"/>
          <w:numId w:val="2"/>
        </w:numPr>
        <w:spacing w:after="80" w:line="264"/>
      </w:pPr>
      <w:r>
        <w:rPr>
          <w:rFonts w:ascii="IBM Plex Sans" w:cs="IBM Plex Sans" w:eastAsia="IBM Plex Sans" w:hAnsi="IBM Plex Sans"/>
          <w:color w:val="334155"/>
          <w:sz w:val="21"/>
          <w:szCs w:val="21"/>
        </w:rPr>
        <w:t xml:space="preserve">Onset, durasi, dan karakter nyeri perut bawah/panggul (unilateral atau bilateral).</w:t>
      </w:r>
    </w:p>
    <w:p>
      <w:pPr>
        <w:pStyle w:val="ListParagraph"/>
        <w:numPr>
          <w:ilvl w:val="0"/>
          <w:numId w:val="2"/>
        </w:numPr>
        <w:spacing w:after="80" w:line="264"/>
      </w:pPr>
      <w:r>
        <w:rPr>
          <w:rFonts w:ascii="IBM Plex Sans" w:cs="IBM Plex Sans" w:eastAsia="IBM Plex Sans" w:hAnsi="IBM Plex Sans"/>
          <w:color w:val="334155"/>
          <w:sz w:val="21"/>
          <w:szCs w:val="21"/>
        </w:rPr>
        <w:t xml:space="preserve">Duh vagina abnormal — jumlah, warna, bau; sering bersifat purulen.</w:t>
      </w:r>
    </w:p>
    <w:p>
      <w:pPr>
        <w:pStyle w:val="ListParagraph"/>
        <w:numPr>
          <w:ilvl w:val="0"/>
          <w:numId w:val="2"/>
        </w:numPr>
        <w:spacing w:after="80" w:line="264"/>
      </w:pPr>
      <w:r>
        <w:rPr>
          <w:rFonts w:ascii="IBM Plex Sans" w:cs="IBM Plex Sans" w:eastAsia="IBM Plex Sans" w:hAnsi="IBM Plex Sans"/>
          <w:color w:val="334155"/>
          <w:sz w:val="21"/>
          <w:szCs w:val="21"/>
        </w:rPr>
        <w:t xml:space="preserve">Perdarahan uterus abnormal: perdarahan intermenstrual, perdarahan pascasenggama, atau menoragia.</w:t>
      </w:r>
    </w:p>
    <w:p>
      <w:pPr>
        <w:pStyle w:val="ListParagraph"/>
        <w:numPr>
          <w:ilvl w:val="0"/>
          <w:numId w:val="2"/>
        </w:numPr>
        <w:spacing w:after="80" w:line="264"/>
      </w:pPr>
      <w:r>
        <w:rPr>
          <w:rFonts w:ascii="IBM Plex Sans" w:cs="IBM Plex Sans" w:eastAsia="IBM Plex Sans" w:hAnsi="IBM Plex Sans"/>
          <w:color w:val="334155"/>
          <w:sz w:val="21"/>
          <w:szCs w:val="21"/>
        </w:rPr>
        <w:t xml:space="preserve">Dispareunia dalam (deep dyspareunia).</w:t>
      </w:r>
    </w:p>
    <w:p>
      <w:pPr>
        <w:pStyle w:val="ListParagraph"/>
        <w:numPr>
          <w:ilvl w:val="0"/>
          <w:numId w:val="2"/>
        </w:numPr>
        <w:spacing w:after="80" w:line="264"/>
      </w:pPr>
      <w:r>
        <w:rPr>
          <w:rFonts w:ascii="IBM Plex Sans" w:cs="IBM Plex Sans" w:eastAsia="IBM Plex Sans" w:hAnsi="IBM Plex Sans"/>
          <w:color w:val="334155"/>
          <w:sz w:val="21"/>
          <w:szCs w:val="21"/>
        </w:rPr>
        <w:t xml:space="preserve">Dismenore sekunder yang baru muncul atau memberat.</w:t>
      </w:r>
    </w:p>
    <w:p>
      <w:pPr>
        <w:pStyle w:val="ListParagraph"/>
        <w:numPr>
          <w:ilvl w:val="0"/>
          <w:numId w:val="2"/>
        </w:numPr>
        <w:spacing w:after="80" w:line="264"/>
      </w:pPr>
      <w:r>
        <w:rPr>
          <w:rFonts w:ascii="IBM Plex Sans" w:cs="IBM Plex Sans" w:eastAsia="IBM Plex Sans" w:hAnsi="IBM Plex Sans"/>
          <w:color w:val="334155"/>
          <w:sz w:val="21"/>
          <w:szCs w:val="21"/>
        </w:rPr>
        <w:t xml:space="preserve">Demam, menggigil, mual, atau malaise — lebih sering dijumpai pada penyakit sedang-berat, dapat tidak ada pada bentuk ringan tanpa komplikasi.</w:t>
      </w:r>
    </w:p>
    <w:p>
      <w:pPr>
        <w:pStyle w:val="ListParagraph"/>
        <w:numPr>
          <w:ilvl w:val="0"/>
          <w:numId w:val="2"/>
        </w:numPr>
        <w:spacing w:after="80" w:line="264"/>
      </w:pPr>
      <w:r>
        <w:rPr>
          <w:rFonts w:ascii="IBM Plex Sans" w:cs="IBM Plex Sans" w:eastAsia="IBM Plex Sans" w:hAnsi="IBM Plex Sans"/>
          <w:color w:val="334155"/>
          <w:sz w:val="21"/>
          <w:szCs w:val="21"/>
        </w:rPr>
        <w:t xml:space="preserve">Gejala saluran kemih (disuria, frekuensi) untuk menyingkirkan infeksi saluran kemih.</w:t>
      </w:r>
    </w:p>
    <w:p>
      <w:pPr>
        <w:pStyle w:val="ListParagraph"/>
        <w:numPr>
          <w:ilvl w:val="0"/>
          <w:numId w:val="2"/>
        </w:numPr>
        <w:spacing w:after="80" w:line="264"/>
      </w:pPr>
      <w:r>
        <w:rPr>
          <w:rFonts w:ascii="IBM Plex Sans" w:cs="IBM Plex Sans" w:eastAsia="IBM Plex Sans" w:hAnsi="IBM Plex Sans"/>
          <w:color w:val="334155"/>
          <w:sz w:val="21"/>
          <w:szCs w:val="21"/>
        </w:rPr>
        <w:t xml:space="preserve">Riwayat menstruasi terakhir dan kemungkinan kehamilan.</w:t>
      </w:r>
    </w:p>
    <w:p>
      <w:pPr>
        <w:pStyle w:val="ListParagraph"/>
        <w:numPr>
          <w:ilvl w:val="0"/>
          <w:numId w:val="2"/>
        </w:numPr>
        <w:spacing w:after="80" w:line="264"/>
      </w:pPr>
      <w:r>
        <w:rPr>
          <w:rFonts w:ascii="IBM Plex Sans" w:cs="IBM Plex Sans" w:eastAsia="IBM Plex Sans" w:hAnsi="IBM Plex Sans"/>
          <w:color w:val="334155"/>
          <w:sz w:val="21"/>
          <w:szCs w:val="21"/>
        </w:rPr>
        <w:t xml:space="preserve">Riwayat aktivitas seksual: jumlah pasangan, pasangan baru, riwayat IMS pribadi maupun pasangan.</w:t>
      </w:r>
    </w:p>
    <w:p>
      <w:pPr>
        <w:pStyle w:val="ListParagraph"/>
        <w:numPr>
          <w:ilvl w:val="0"/>
          <w:numId w:val="2"/>
        </w:numPr>
        <w:spacing w:after="80" w:line="264"/>
      </w:pPr>
      <w:r>
        <w:rPr>
          <w:rFonts w:ascii="IBM Plex Sans" w:cs="IBM Plex Sans" w:eastAsia="IBM Plex Sans" w:hAnsi="IBM Plex Sans"/>
          <w:color w:val="334155"/>
          <w:sz w:val="21"/>
          <w:szCs w:val="21"/>
        </w:rPr>
        <w:t xml:space="preserve">Riwayat kontrasepsi, terutama pemasangan AKDR dalam beberapa minggu terakhir.</w:t>
      </w:r>
    </w:p>
    <w:p>
      <w:pPr>
        <w:pStyle w:val="ListParagraph"/>
        <w:numPr>
          <w:ilvl w:val="0"/>
          <w:numId w:val="2"/>
        </w:numPr>
        <w:spacing w:after="80" w:line="264"/>
      </w:pPr>
      <w:r>
        <w:rPr>
          <w:rFonts w:ascii="IBM Plex Sans" w:cs="IBM Plex Sans" w:eastAsia="IBM Plex Sans" w:hAnsi="IBM Plex Sans"/>
          <w:color w:val="334155"/>
          <w:sz w:val="21"/>
          <w:szCs w:val="21"/>
        </w:rPr>
        <w:t xml:space="preserve">Riwayat prosedur ginekologi invasif dalam beberapa minggu terakhir.</w:t>
      </w:r>
    </w:p>
    <w:p>
      <w:pPr>
        <w:spacing w:after="80"/>
      </w:pP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3. Pemeriksaan Fisik</w:t>
      </w:r>
    </w:p>
    <w:p>
      <w:pPr>
        <w:spacing w:after="160" w:line="276"/>
      </w:pPr>
      <w:r>
        <w:rPr>
          <w:rFonts w:ascii="IBM Plex Sans" w:cs="IBM Plex Sans" w:eastAsia="IBM Plex Sans" w:hAnsi="IBM Plex Sans"/>
          <w:color w:val="334155"/>
          <w:sz w:val="21"/>
          <w:szCs w:val="21"/>
        </w:rPr>
        <w:t xml:space="preserve">Pemeriksaan umum mencakup tanda vital — suhu tubuh dapat normal atau meningkat ringan hingga sedang pada bentuk tanpa komplikasi; suhu oral di atas 38°C lebih mengarah pada penyakit sedang-berat. Pemeriksaan abdomen menunjukkan nyeri tekan kuadran bawah, biasanya bilateral, tanpa tanda peritonitis generalisata atau massa teraba yang mengarah pada abses.</w:t>
      </w:r>
    </w:p>
    <w:p>
      <w:pPr>
        <w:spacing w:after="160" w:line="276"/>
      </w:pPr>
      <w:r>
        <w:rPr>
          <w:rFonts w:ascii="IBM Plex Sans" w:cs="IBM Plex Sans" w:eastAsia="IBM Plex Sans" w:hAnsi="IBM Plex Sans"/>
          <w:color w:val="334155"/>
          <w:sz w:val="21"/>
          <w:szCs w:val="21"/>
        </w:rPr>
        <w:t xml:space="preserve">Pemeriksaan genitalia dengan spekulum dan pemeriksaan bimanual merupakan komponen kunci penegakan diagnosis klinis:</w:t>
      </w:r>
    </w:p>
    <w:p>
      <w:pPr>
        <w:pStyle w:val="ListParagraph"/>
        <w:numPr>
          <w:ilvl w:val="0"/>
          <w:numId w:val="2"/>
        </w:numPr>
        <w:spacing w:after="80" w:line="264"/>
      </w:pPr>
      <w:r>
        <w:rPr>
          <w:rFonts w:ascii="IBM Plex Sans" w:cs="IBM Plex Sans" w:eastAsia="IBM Plex Sans" w:hAnsi="IBM Plex Sans"/>
          <w:color w:val="334155"/>
          <w:sz w:val="21"/>
          <w:szCs w:val="21"/>
        </w:rPr>
        <w:t xml:space="preserve">Inspeksi serviks dengan spekulum: dapat dijumpai duh mukopurulen dari os serviks dan/atau serviks yang mudah berdarah saat disentuh (friabilitas serviks), tanda servisitis penyerta.</w:t>
      </w:r>
    </w:p>
    <w:p>
      <w:pPr>
        <w:pStyle w:val="ListParagraph"/>
        <w:numPr>
          <w:ilvl w:val="0"/>
          <w:numId w:val="2"/>
        </w:numPr>
        <w:spacing w:after="80" w:line="264"/>
      </w:pPr>
      <w:r>
        <w:rPr>
          <w:rFonts w:ascii="IBM Plex Sans" w:cs="IBM Plex Sans" w:eastAsia="IBM Plex Sans" w:hAnsi="IBM Plex Sans"/>
          <w:color w:val="334155"/>
          <w:sz w:val="21"/>
          <w:szCs w:val="21"/>
        </w:rPr>
        <w:t xml:space="preserve">Nyeri goyang serviks (cervical motion tenderness) pada pemeriksaan bimanual — tanda kunci yang mendukung diagnosis.</w:t>
      </w:r>
    </w:p>
    <w:p>
      <w:pPr>
        <w:pStyle w:val="ListParagraph"/>
        <w:numPr>
          <w:ilvl w:val="0"/>
          <w:numId w:val="2"/>
        </w:numPr>
        <w:spacing w:after="80" w:line="264"/>
      </w:pPr>
      <w:r>
        <w:rPr>
          <w:rFonts w:ascii="IBM Plex Sans" w:cs="IBM Plex Sans" w:eastAsia="IBM Plex Sans" w:hAnsi="IBM Plex Sans"/>
          <w:color w:val="334155"/>
          <w:sz w:val="21"/>
          <w:szCs w:val="21"/>
        </w:rPr>
        <w:t xml:space="preserve">Nyeri tekan uterus pada palpasi bimanual.</w:t>
      </w:r>
    </w:p>
    <w:p>
      <w:pPr>
        <w:pStyle w:val="ListParagraph"/>
        <w:numPr>
          <w:ilvl w:val="0"/>
          <w:numId w:val="2"/>
        </w:numPr>
        <w:spacing w:after="80" w:line="264"/>
      </w:pPr>
      <w:r>
        <w:rPr>
          <w:rFonts w:ascii="IBM Plex Sans" w:cs="IBM Plex Sans" w:eastAsia="IBM Plex Sans" w:hAnsi="IBM Plex Sans"/>
          <w:color w:val="334155"/>
          <w:sz w:val="21"/>
          <w:szCs w:val="21"/>
        </w:rPr>
        <w:t xml:space="preserve">Nyeri tekan adneksa, umumnya bilateral, dengan atau tanpa teraba massa; bila teraba massa adneksa yang jelas, pertimbangkan abses tubo-ovarium dan klasifikasikan sebagai PID dengan komplikasi, di luar cakupan PPK ini.</w:t>
      </w:r>
    </w:p>
    <w:p>
      <w:pPr>
        <w:spacing w:after="80"/>
      </w:pP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4. Kriteria Diagnosis</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60"/>
              <w:left w:type="dxa" w:w="200"/>
              <w:bottom w:type="dxa" w:w="160"/>
              <w:right w:type="dxa" w:w="200"/>
            </w:tcMar>
          </w:tcPr>
          <w:p>
            <w:pPr>
              <w:spacing w:after="60"/>
            </w:pPr>
            <w:r>
              <w:rPr>
                <w:rFonts w:ascii="IBM Plex Mono" w:cs="IBM Plex Mono" w:eastAsia="IBM Plex Mono" w:hAnsi="IBM Plex Mono"/>
                <w:b/>
                <w:bCs/>
                <w:color w:val="3730A3"/>
                <w:sz w:val="16"/>
                <w:szCs w:val="16"/>
              </w:rPr>
              <w:t xml:space="preserve">DASAR REGULASI</w:t>
            </w:r>
          </w:p>
          <w:p>
            <w:r>
              <w:rPr>
                <w:rFonts w:ascii="IBM Plex Sans" w:cs="IBM Plex Sans" w:eastAsia="IBM Plex Sans" w:hAnsi="IBM Plex Sans"/>
                <w:color w:val="334155"/>
                <w:sz w:val="20"/>
                <w:szCs w:val="20"/>
              </w:rPr>
              <w:t xml:space="preserve">Kode diagnosis terverifikasi terhadap Tabel 7 Kepkonsil: ICD-10 N73.9 (Salpingitis and oophoritis, unspecified) dan ICD-11 GA05.0 (Pelvic inflammatory disease).</w:t>
            </w:r>
          </w:p>
        </w:tc>
      </w:tr>
    </w:tbl>
    <w:p>
      <w:pPr>
        <w:spacing w:after="200"/>
      </w:pPr>
    </w:p>
    <w:p>
      <w:pPr>
        <w:spacing w:after="160" w:line="276"/>
      </w:pPr>
      <w:r>
        <w:rPr>
          <w:rFonts w:ascii="IBM Plex Sans" w:cs="IBM Plex Sans" w:eastAsia="IBM Plex Sans" w:hAnsi="IBM Plex Sans"/>
          <w:color w:val="334155"/>
          <w:sz w:val="21"/>
          <w:szCs w:val="21"/>
        </w:rPr>
        <w:t xml:space="preserve">Diagnosis PID ditegakkan secara klinis karena tidak ada satu gejala, tanda, maupun pemeriksaan penunjang tunggal yang memiliki sensitivitas dan spesifisitas tinggi. Pendekatan klinis menggunakan kriteria minimal, kriteria tambahan, dan kriteria definitif berikut, mengikuti kriteria yang digunakan secara konsisten oleh CDC dan BASHH [2],[4].</w:t>
      </w:r>
    </w:p>
    <w:p>
      <w:pPr>
        <w:pStyle w:val="Heading2"/>
        <w:spacing w:after="120" w:before="200"/>
      </w:pPr>
      <w:r>
        <w:rPr>
          <w:rFonts w:ascii="Source Serif 4" w:cs="Source Serif 4" w:eastAsia="Source Serif 4" w:hAnsi="Source Serif 4"/>
          <w:b/>
          <w:bCs/>
          <w:color w:val="3730A3"/>
          <w:sz w:val="24"/>
          <w:szCs w:val="24"/>
        </w:rPr>
        <w:t xml:space="preserve">4.1 Kriteria Minimal</w:t>
      </w:r>
    </w:p>
    <w:p>
      <w:pPr>
        <w:spacing w:after="160" w:line="276"/>
      </w:pPr>
      <w:r>
        <w:rPr>
          <w:rFonts w:ascii="IBM Plex Sans" w:cs="IBM Plex Sans" w:eastAsia="IBM Plex Sans" w:hAnsi="IBM Plex Sans"/>
          <w:color w:val="334155"/>
          <w:sz w:val="21"/>
          <w:szCs w:val="21"/>
        </w:rPr>
        <w:t xml:space="preserve">Terapi empiris PID dipertimbangkan pada perempuan usia reproduksi aktif seksual dengan risiko IMS, yang mengalami nyeri perut bawah atau panggul tanpa penyebab lain yang dapat diidentifikasi, disertai minimal satu dari tanda berikut pada pemeriksaan bimanual:</w:t>
      </w:r>
    </w:p>
    <w:p>
      <w:pPr>
        <w:pStyle w:val="ListParagraph"/>
        <w:numPr>
          <w:ilvl w:val="0"/>
          <w:numId w:val="2"/>
        </w:numPr>
        <w:spacing w:after="80" w:line="264"/>
      </w:pPr>
      <w:r>
        <w:rPr>
          <w:rFonts w:ascii="IBM Plex Sans" w:cs="IBM Plex Sans" w:eastAsia="IBM Plex Sans" w:hAnsi="IBM Plex Sans"/>
          <w:color w:val="334155"/>
          <w:sz w:val="21"/>
          <w:szCs w:val="21"/>
        </w:rPr>
        <w:t xml:space="preserve">Nyeri goyang serviks, atau</w:t>
      </w:r>
    </w:p>
    <w:p>
      <w:pPr>
        <w:pStyle w:val="ListParagraph"/>
        <w:numPr>
          <w:ilvl w:val="0"/>
          <w:numId w:val="2"/>
        </w:numPr>
        <w:spacing w:after="80" w:line="264"/>
      </w:pPr>
      <w:r>
        <w:rPr>
          <w:rFonts w:ascii="IBM Plex Sans" w:cs="IBM Plex Sans" w:eastAsia="IBM Plex Sans" w:hAnsi="IBM Plex Sans"/>
          <w:color w:val="334155"/>
          <w:sz w:val="21"/>
          <w:szCs w:val="21"/>
        </w:rPr>
        <w:t xml:space="preserve">Nyeri tekan uterus, atau</w:t>
      </w:r>
    </w:p>
    <w:p>
      <w:pPr>
        <w:pStyle w:val="ListParagraph"/>
        <w:numPr>
          <w:ilvl w:val="0"/>
          <w:numId w:val="2"/>
        </w:numPr>
        <w:spacing w:after="80" w:line="264"/>
      </w:pPr>
      <w:r>
        <w:rPr>
          <w:rFonts w:ascii="IBM Plex Sans" w:cs="IBM Plex Sans" w:eastAsia="IBM Plex Sans" w:hAnsi="IBM Plex Sans"/>
          <w:color w:val="334155"/>
          <w:sz w:val="21"/>
          <w:szCs w:val="21"/>
        </w:rPr>
        <w:t xml:space="preserve">Nyeri tekan adneksa.</w:t>
      </w:r>
    </w:p>
    <w:p>
      <w:pPr>
        <w:spacing w:after="80"/>
      </w:pPr>
    </w:p>
    <w:p>
      <w:pPr>
        <w:spacing w:after="160" w:line="276"/>
      </w:pPr>
      <w:r>
        <w:rPr>
          <w:rFonts w:ascii="IBM Plex Sans" w:cs="IBM Plex Sans" w:eastAsia="IBM Plex Sans" w:hAnsi="IBM Plex Sans"/>
          <w:color w:val="334155"/>
          <w:sz w:val="21"/>
          <w:szCs w:val="21"/>
        </w:rPr>
        <w:t xml:space="preserve">Ambang diagnosis yang rendah ini sengaja dipilih karena konsekuensi keterlambatan terapi PID terhadap fertilitas jauh lebih besar dibandingkan risiko pemberian antibiotik empiris yang kemudian terbukti tidak diperlukan [2],[4].</w:t>
      </w:r>
    </w:p>
    <w:p>
      <w:pPr>
        <w:pStyle w:val="Heading2"/>
        <w:spacing w:after="120" w:before="200"/>
      </w:pPr>
      <w:r>
        <w:rPr>
          <w:rFonts w:ascii="Source Serif 4" w:cs="Source Serif 4" w:eastAsia="Source Serif 4" w:hAnsi="Source Serif 4"/>
          <w:b/>
          <w:bCs/>
          <w:color w:val="3730A3"/>
          <w:sz w:val="24"/>
          <w:szCs w:val="24"/>
        </w:rPr>
        <w:t xml:space="preserve">4.2 Kriteria Tambahan (Memperkuat Kepastian Diagnosis)</w:t>
      </w:r>
    </w:p>
    <w:p>
      <w:pPr>
        <w:pStyle w:val="ListParagraph"/>
        <w:numPr>
          <w:ilvl w:val="0"/>
          <w:numId w:val="2"/>
        </w:numPr>
        <w:spacing w:after="80" w:line="264"/>
      </w:pPr>
      <w:r>
        <w:rPr>
          <w:rFonts w:ascii="IBM Plex Sans" w:cs="IBM Plex Sans" w:eastAsia="IBM Plex Sans" w:hAnsi="IBM Plex Sans"/>
          <w:color w:val="334155"/>
          <w:sz w:val="21"/>
          <w:szCs w:val="21"/>
        </w:rPr>
        <w:t xml:space="preserve">Suhu oral di atas 38,3°C.</w:t>
      </w:r>
    </w:p>
    <w:p>
      <w:pPr>
        <w:pStyle w:val="ListParagraph"/>
        <w:numPr>
          <w:ilvl w:val="0"/>
          <w:numId w:val="2"/>
        </w:numPr>
        <w:spacing w:after="80" w:line="264"/>
      </w:pPr>
      <w:r>
        <w:rPr>
          <w:rFonts w:ascii="IBM Plex Sans" w:cs="IBM Plex Sans" w:eastAsia="IBM Plex Sans" w:hAnsi="IBM Plex Sans"/>
          <w:color w:val="334155"/>
          <w:sz w:val="21"/>
          <w:szCs w:val="21"/>
        </w:rPr>
        <w:t xml:space="preserve">Duh serviks atau vagina yang abnormal, mukopurulen, atau friabilitas serviks.</w:t>
      </w:r>
    </w:p>
    <w:p>
      <w:pPr>
        <w:pStyle w:val="ListParagraph"/>
        <w:numPr>
          <w:ilvl w:val="0"/>
          <w:numId w:val="2"/>
        </w:numPr>
        <w:spacing w:after="80" w:line="264"/>
      </w:pPr>
      <w:r>
        <w:rPr>
          <w:rFonts w:ascii="IBM Plex Sans" w:cs="IBM Plex Sans" w:eastAsia="IBM Plex Sans" w:hAnsi="IBM Plex Sans"/>
          <w:color w:val="334155"/>
          <w:sz w:val="21"/>
          <w:szCs w:val="21"/>
        </w:rPr>
        <w:t xml:space="preserve">Leukosit dalam jumlah banyak pada mikroskop saline duh vagina (wet mount); tidak dijumpainya leukosit pada wet mount memiliki nilai duga negatif yang baik terhadap diagnosis PID.</w:t>
      </w:r>
    </w:p>
    <w:p>
      <w:pPr>
        <w:pStyle w:val="ListParagraph"/>
        <w:numPr>
          <w:ilvl w:val="0"/>
          <w:numId w:val="2"/>
        </w:numPr>
        <w:spacing w:after="80" w:line="264"/>
      </w:pPr>
      <w:r>
        <w:rPr>
          <w:rFonts w:ascii="IBM Plex Sans" w:cs="IBM Plex Sans" w:eastAsia="IBM Plex Sans" w:hAnsi="IBM Plex Sans"/>
          <w:color w:val="334155"/>
          <w:sz w:val="21"/>
          <w:szCs w:val="21"/>
        </w:rPr>
        <w:t xml:space="preserve">Peningkatan laju endap darah (LED) atau protein C-reaktif (CRP).</w:t>
      </w:r>
    </w:p>
    <w:p>
      <w:pPr>
        <w:pStyle w:val="ListParagraph"/>
        <w:numPr>
          <w:ilvl w:val="0"/>
          <w:numId w:val="2"/>
        </w:numPr>
        <w:spacing w:after="80" w:line="264"/>
      </w:pPr>
      <w:r>
        <w:rPr>
          <w:rFonts w:ascii="IBM Plex Sans" w:cs="IBM Plex Sans" w:eastAsia="IBM Plex Sans" w:hAnsi="IBM Plex Sans"/>
          <w:color w:val="334155"/>
          <w:sz w:val="21"/>
          <w:szCs w:val="21"/>
        </w:rPr>
        <w:t xml:space="preserve">Konfirmasi laboratorium infeksi serviks oleh N. gonorrhoeae atau C. trachomatis.</w:t>
      </w:r>
    </w:p>
    <w:p>
      <w:pPr>
        <w:spacing w:after="80"/>
      </w:pPr>
    </w:p>
    <w:p>
      <w:pPr>
        <w:pStyle w:val="Heading2"/>
        <w:spacing w:after="120" w:before="200"/>
      </w:pPr>
      <w:r>
        <w:rPr>
          <w:rFonts w:ascii="Source Serif 4" w:cs="Source Serif 4" w:eastAsia="Source Serif 4" w:hAnsi="Source Serif 4"/>
          <w:b/>
          <w:bCs/>
          <w:color w:val="3730A3"/>
          <w:sz w:val="24"/>
          <w:szCs w:val="24"/>
        </w:rPr>
        <w:t xml:space="preserve">4.3 Kriteria Definitif (Bila Diperlukan Kepastian Lebih Tinggi)</w:t>
      </w:r>
    </w:p>
    <w:p>
      <w:pPr>
        <w:pStyle w:val="ListParagraph"/>
        <w:numPr>
          <w:ilvl w:val="0"/>
          <w:numId w:val="2"/>
        </w:numPr>
        <w:spacing w:after="80" w:line="264"/>
      </w:pPr>
      <w:r>
        <w:rPr>
          <w:rFonts w:ascii="IBM Plex Sans" w:cs="IBM Plex Sans" w:eastAsia="IBM Plex Sans" w:hAnsi="IBM Plex Sans"/>
          <w:color w:val="334155"/>
          <w:sz w:val="21"/>
          <w:szCs w:val="21"/>
        </w:rPr>
        <w:t xml:space="preserve">Bukti histopatologis endometritis pada biopsi endometrium.</w:t>
      </w:r>
    </w:p>
    <w:p>
      <w:pPr>
        <w:pStyle w:val="ListParagraph"/>
        <w:numPr>
          <w:ilvl w:val="0"/>
          <w:numId w:val="2"/>
        </w:numPr>
        <w:spacing w:after="80" w:line="264"/>
      </w:pPr>
      <w:r>
        <w:rPr>
          <w:rFonts w:ascii="IBM Plex Sans" w:cs="IBM Plex Sans" w:eastAsia="IBM Plex Sans" w:hAnsi="IBM Plex Sans"/>
          <w:color w:val="334155"/>
          <w:sz w:val="21"/>
          <w:szCs w:val="21"/>
        </w:rPr>
        <w:t xml:space="preserve">Gambaran ultrasonografi transvaginal (atau MRI bila tersedia) berupa tuba menebal, berisi cairan, dengan atau tanpa cairan bebas pelvis — tanpa gambaran abses tubo-ovarium.</w:t>
      </w:r>
    </w:p>
    <w:p>
      <w:pPr>
        <w:pStyle w:val="ListParagraph"/>
        <w:numPr>
          <w:ilvl w:val="0"/>
          <w:numId w:val="2"/>
        </w:numPr>
        <w:spacing w:after="80" w:line="264"/>
      </w:pPr>
      <w:r>
        <w:rPr>
          <w:rFonts w:ascii="IBM Plex Sans" w:cs="IBM Plex Sans" w:eastAsia="IBM Plex Sans" w:hAnsi="IBM Plex Sans"/>
          <w:color w:val="334155"/>
          <w:sz w:val="21"/>
          <w:szCs w:val="21"/>
        </w:rPr>
        <w:t xml:space="preserve">Temuan laparoskopi yang konsisten dengan PID.</w:t>
      </w:r>
    </w:p>
    <w:p>
      <w:pPr>
        <w:spacing w:after="80"/>
      </w:pPr>
    </w:p>
    <w:p>
      <w:pPr>
        <w:spacing w:after="160" w:line="276"/>
      </w:pPr>
      <w:r>
        <w:rPr>
          <w:rFonts w:ascii="IBM Plex Sans" w:cs="IBM Plex Sans" w:eastAsia="IBM Plex Sans" w:hAnsi="IBM Plex Sans"/>
          <w:color w:val="334155"/>
          <w:sz w:val="21"/>
          <w:szCs w:val="21"/>
        </w:rPr>
        <w:t xml:space="preserve">PPK ini secara spesifik mencakup PID tanpa komplikasi, yaitu tanpa bukti abses tubo-ovarium (teraba atau tervisualisasi) dan tanpa tanda sepsis atau peritonitis generalisata. Temuan tersebut mengarahkan klasifikasi ke PID dengan komplikasi dan memerlukan tata laksana rawat inap di luar cakupan dokumen ini.</w:t>
      </w: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5. Diagnosis Kerja dan Diagnosis Banding</w:t>
      </w:r>
    </w:p>
    <w:p>
      <w:pPr>
        <w:spacing w:after="160" w:line="276"/>
      </w:pPr>
      <w:r>
        <w:rPr>
          <w:rFonts w:ascii="IBM Plex Sans" w:cs="IBM Plex Sans" w:eastAsia="IBM Plex Sans" w:hAnsi="IBM Plex Sans"/>
          <w:color w:val="334155"/>
          <w:sz w:val="21"/>
          <w:szCs w:val="21"/>
        </w:rPr>
        <w:t xml:space="preserve">Diagnosis kerja: Penyakit radang panggul tanpa komplikasi (N73.9 / GA05.0).</w:t>
      </w:r>
    </w:p>
    <w:p>
      <w:pPr>
        <w:spacing w:after="160" w:line="276"/>
      </w:pPr>
      <w:r>
        <w:rPr>
          <w:rFonts w:ascii="IBM Plex Sans" w:cs="IBM Plex Sans" w:eastAsia="IBM Plex Sans" w:hAnsi="IBM Plex Sans"/>
          <w:color w:val="334155"/>
          <w:sz w:val="21"/>
          <w:szCs w:val="21"/>
        </w:rPr>
        <w:t xml:space="preserve">Diagnosis banding penting untuk disingkirkan mengingat tumpang tindih gejala nyeri panggul akut. Kehamilan harus disingkirkan pada seluruh perempuan usia reproduksi yang berpotensi hamil sebelum terapi PID dimulai [2],[4]:</w:t>
      </w:r>
    </w:p>
    <w:tbl>
      <w:tblPr>
        <w:tblW w:type="dxa" w:w="9020"/>
        <w:tblBorders>
          <w:top w:val="single" w:color="C7D2FE" w:sz="2"/>
          <w:left w:val="single" w:color="C7D2FE" w:sz="2"/>
          <w:bottom w:val="single" w:color="C7D2FE" w:sz="2"/>
          <w:right w:val="single" w:color="C7D2FE" w:sz="2"/>
          <w:insideH w:val="single" w:color="C7D2FE" w:sz="2"/>
          <w:insideV w:val="single" w:color="C7D2FE" w:sz="2"/>
        </w:tblBorders>
      </w:tblPr>
      <w:tblGrid>
        <w:gridCol w:w="4510"/>
        <w:gridCol w:w="4510"/>
      </w:tblGrid>
      <w:tr>
        <w:trPr>
          <w:tblHeader/>
        </w:trPr>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Diagnosis Banding</w:t>
            </w:r>
          </w:p>
        </w:tc>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Pembeda Klinis Kunci</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Kehamilan ektopik terganggu</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Uji kehamilan positif; nyeri unilateral mendadak; tanda hemodinamik tidak stabil pada kasus ruptur.</w:t>
            </w:r>
          </w:p>
        </w:tc>
      </w:tr>
      <w:tr>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Apendisitis akut</w:t>
            </w:r>
          </w:p>
        </w:tc>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bermigrasi ke kuadran kanan bawah; mual-muntah dijumpai pada mayoritas kasus apendisitis namun hanya sekitar separuh kasus PID; nyeri goyang serviks lebih jarang (sekitar seperempat kasus apendisitis).</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Kista ovarium terpuntir (torsi adneksa)</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unilateral mendadak dan hebat; massa adneksa pada USG dengan gangguan aliran darah pada Doppler.</w:t>
            </w:r>
          </w:p>
        </w:tc>
      </w:tr>
      <w:tr>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Ruptur atau perdarahan kista korpus luteum</w:t>
            </w:r>
          </w:p>
        </w:tc>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unilateral mendadak, sering pada pertengahan siklus; cairan bebas pada USG; tanpa demam maupun duh mukopurulen.</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Infeksi saluran kemih / sistitis</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Disuria dan frekuensi menonjol; nyeri suprapubik tanpa nyeri goyang serviks; urinalisis abnormal.</w:t>
            </w:r>
          </w:p>
        </w:tc>
      </w:tr>
      <w:tr>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Endometriosis</w:t>
            </w:r>
          </w:p>
        </w:tc>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Hubungan gejala dengan siklus menstruasi membantu penegakan diagnosis; tanpa demam maupun duh mukopurulen; riwayat berulang.</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Sindrom iritasi usus / gangguan gastrointestinal</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Perubahan pola buang air besar dan gejala yang menetap dalam jangka waktu lama; sering disertai gejala gastrointestinal lain.</w:t>
            </w:r>
          </w:p>
        </w:tc>
      </w:tr>
    </w:tbl>
    <w:p>
      <w:pPr>
        <w:spacing w:after="200"/>
      </w:pP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6. Pemeriksaan Penunjang</w:t>
      </w:r>
    </w:p>
    <w:p>
      <w:pPr>
        <w:pStyle w:val="ListParagraph"/>
        <w:numPr>
          <w:ilvl w:val="0"/>
          <w:numId w:val="2"/>
        </w:numPr>
        <w:spacing w:after="80" w:line="264"/>
      </w:pPr>
      <w:r>
        <w:rPr>
          <w:rFonts w:ascii="IBM Plex Sans" w:cs="IBM Plex Sans" w:eastAsia="IBM Plex Sans" w:hAnsi="IBM Plex Sans"/>
          <w:color w:val="334155"/>
          <w:sz w:val="21"/>
          <w:szCs w:val="21"/>
        </w:rPr>
        <w:t xml:space="preserve">Uji kehamilan (beta-hCG urin atau serum) — wajib pada seluruh kasus untuk menyingkirkan kehamilan ektopik sebelum memulai terapi.</w:t>
      </w:r>
    </w:p>
    <w:p>
      <w:pPr>
        <w:pStyle w:val="ListParagraph"/>
        <w:numPr>
          <w:ilvl w:val="0"/>
          <w:numId w:val="2"/>
        </w:numPr>
        <w:spacing w:after="80" w:line="264"/>
      </w:pPr>
      <w:r>
        <w:rPr>
          <w:rFonts w:ascii="IBM Plex Sans" w:cs="IBM Plex Sans" w:eastAsia="IBM Plex Sans" w:hAnsi="IBM Plex Sans"/>
          <w:color w:val="334155"/>
          <w:sz w:val="21"/>
          <w:szCs w:val="21"/>
        </w:rPr>
        <w:t xml:space="preserve">Mikroskopis saline wet mount duh vagina — menilai jumlah leukosit dan flora; dapat sekaligus mendeteksi infeksi penyerta seperti vaginosis bakterialis atau trikomoniasis.</w:t>
      </w:r>
    </w:p>
    <w:p>
      <w:pPr>
        <w:pStyle w:val="ListParagraph"/>
        <w:numPr>
          <w:ilvl w:val="0"/>
          <w:numId w:val="2"/>
        </w:numPr>
        <w:spacing w:after="80" w:line="264"/>
      </w:pPr>
      <w:r>
        <w:rPr>
          <w:rFonts w:ascii="IBM Plex Sans" w:cs="IBM Plex Sans" w:eastAsia="IBM Plex Sans" w:hAnsi="IBM Plex Sans"/>
          <w:color w:val="334155"/>
          <w:sz w:val="21"/>
          <w:szCs w:val="21"/>
        </w:rPr>
        <w:t xml:space="preserve">Nucleic Acid Amplification Test (NAAT) atau kultur untuk N. gonorrhoeae dan C. trachomatis dari swab endoserviks atau urin; pemeriksaan M. genitalium dilakukan bila fasilitas tersedia, karena hasil positif memengaruhi pilihan regimen terapi lini lanjut.</w:t>
      </w:r>
    </w:p>
    <w:p>
      <w:pPr>
        <w:pStyle w:val="ListParagraph"/>
        <w:numPr>
          <w:ilvl w:val="0"/>
          <w:numId w:val="2"/>
        </w:numPr>
        <w:spacing w:after="80" w:line="264"/>
      </w:pPr>
      <w:r>
        <w:rPr>
          <w:rFonts w:ascii="IBM Plex Sans" w:cs="IBM Plex Sans" w:eastAsia="IBM Plex Sans" w:hAnsi="IBM Plex Sans"/>
          <w:color w:val="334155"/>
          <w:sz w:val="21"/>
          <w:szCs w:val="21"/>
        </w:rPr>
        <w:t xml:space="preserve">Darah perifer lengkap, laju endap darah (LED), dan/atau protein C-reaktif (CRP) sebagai penanda inflamasi penunjang, umumnya hanya meningkat bermakna pada penyakit sedang-berat.</w:t>
      </w:r>
    </w:p>
    <w:p>
      <w:pPr>
        <w:pStyle w:val="ListParagraph"/>
        <w:numPr>
          <w:ilvl w:val="0"/>
          <w:numId w:val="2"/>
        </w:numPr>
        <w:spacing w:after="80" w:line="264"/>
      </w:pPr>
      <w:r>
        <w:rPr>
          <w:rFonts w:ascii="IBM Plex Sans" w:cs="IBM Plex Sans" w:eastAsia="IBM Plex Sans" w:hAnsi="IBM Plex Sans"/>
          <w:color w:val="334155"/>
          <w:sz w:val="21"/>
          <w:szCs w:val="21"/>
        </w:rPr>
        <w:t xml:space="preserve">Urinalisis untuk menyingkirkan infeksi saluran kemih.</w:t>
      </w:r>
    </w:p>
    <w:p>
      <w:pPr>
        <w:pStyle w:val="ListParagraph"/>
        <w:numPr>
          <w:ilvl w:val="0"/>
          <w:numId w:val="2"/>
        </w:numPr>
        <w:spacing w:after="80" w:line="264"/>
      </w:pPr>
      <w:r>
        <w:rPr>
          <w:rFonts w:ascii="IBM Plex Sans" w:cs="IBM Plex Sans" w:eastAsia="IBM Plex Sans" w:hAnsi="IBM Plex Sans"/>
          <w:color w:val="334155"/>
          <w:sz w:val="21"/>
          <w:szCs w:val="21"/>
        </w:rPr>
        <w:t xml:space="preserve">Ultrasonografi transvaginal — untuk menyingkirkan abses tubo-ovarium, kehamilan ektopik, dan torsi adneksa; hasil normal tidak menyingkirkan PID karena USG memiliki nilai terbatas pada kasus tanpa komplikasi.</w:t>
      </w:r>
    </w:p>
    <w:p>
      <w:pPr>
        <w:pStyle w:val="ListParagraph"/>
        <w:numPr>
          <w:ilvl w:val="0"/>
          <w:numId w:val="2"/>
        </w:numPr>
        <w:spacing w:after="80" w:line="264"/>
      </w:pPr>
      <w:r>
        <w:rPr>
          <w:rFonts w:ascii="IBM Plex Sans" w:cs="IBM Plex Sans" w:eastAsia="IBM Plex Sans" w:hAnsi="IBM Plex Sans"/>
          <w:color w:val="334155"/>
          <w:sz w:val="21"/>
          <w:szCs w:val="21"/>
        </w:rPr>
        <w:t xml:space="preserve">Skrining infeksi menular seksual komprehensif: seluruh perempuan dengan diagnosis PID diuji untuk gonore, klamidia, HIV, dan sifilis [2].</w:t>
      </w:r>
    </w:p>
    <w:p>
      <w:pPr>
        <w:spacing w:after="80"/>
      </w:pPr>
    </w:p>
    <w:p>
      <w:pPr>
        <w:spacing w:after="160" w:line="276"/>
      </w:pPr>
      <w:r>
        <w:rPr>
          <w:rFonts w:ascii="IBM Plex Sans" w:cs="IBM Plex Sans" w:eastAsia="IBM Plex Sans" w:hAnsi="IBM Plex Sans"/>
          <w:color w:val="334155"/>
          <w:sz w:val="21"/>
          <w:szCs w:val="21"/>
        </w:rPr>
        <w:t xml:space="preserve">[DATA: rujuk laporan/registri resmi terbaru — mis. Kemenkes, BKKBN, POGI, WHO] untuk data prevalensi PID, proporsi etiologi gonokokus/klamidia, dan pola resistensi antimikroba lokal di Indonesia, karena angka-angka tersebut bervariasi antarnegara dan memengaruhi pemilihan regimen empiris yang paling sesuai.</w:t>
      </w: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7. Tata Laksana</w:t>
      </w:r>
    </w:p>
    <w:p>
      <w:pPr>
        <w:spacing w:after="160" w:line="276"/>
      </w:pPr>
      <w:r>
        <w:rPr>
          <w:rFonts w:ascii="IBM Plex Sans" w:cs="IBM Plex Sans" w:eastAsia="IBM Plex Sans" w:hAnsi="IBM Plex Sans"/>
          <w:color w:val="334155"/>
          <w:sz w:val="21"/>
          <w:szCs w:val="21"/>
        </w:rPr>
        <w:t xml:space="preserve">Sebagian besar kasus PID tanpa komplikasi dengan gejala ringan-sedang dapat ditangani secara rawat jalan; luaran klinis terapi rawat jalan setara dengan rawat inap pada penyakit ringan-sedang, sebagaimana ditunjukkan oleh studi acak PEACH (PID Evaluation and Clinical Health) [2],[4]. Indikasi rawat inap dipertimbangkan bila diagnosis banding bedah akut (misalnya apendisitis) belum dapat disingkirkan, terdapat abses tubo-ovarium, kehamilan, tidak respons klinis terhadap terapi oral, ketidakmampuan mentoleransi/mematuhi regimen oral, atau penyakit berat (mual muntah hebat, demam tinggi di atas 38,5°C) [2].</w:t>
      </w:r>
    </w:p>
    <w:p>
      <w:pPr>
        <w:pStyle w:val="Heading2"/>
        <w:spacing w:after="120" w:before="200"/>
      </w:pPr>
      <w:r>
        <w:rPr>
          <w:rFonts w:ascii="Source Serif 4" w:cs="Source Serif 4" w:eastAsia="Source Serif 4" w:hAnsi="Source Serif 4"/>
          <w:b/>
          <w:bCs/>
          <w:color w:val="3730A3"/>
          <w:sz w:val="24"/>
          <w:szCs w:val="24"/>
        </w:rPr>
        <w:t xml:space="preserve">7.1 Tata Laksana Non-Farmakologis</w:t>
      </w:r>
    </w:p>
    <w:p>
      <w:pPr>
        <w:pStyle w:val="ListParagraph"/>
        <w:numPr>
          <w:ilvl w:val="0"/>
          <w:numId w:val="2"/>
        </w:numPr>
        <w:spacing w:after="80" w:line="264"/>
      </w:pPr>
      <w:r>
        <w:rPr>
          <w:rFonts w:ascii="IBM Plex Sans" w:cs="IBM Plex Sans" w:eastAsia="IBM Plex Sans" w:hAnsi="IBM Plex Sans"/>
          <w:color w:val="334155"/>
          <w:sz w:val="21"/>
          <w:szCs w:val="21"/>
        </w:rPr>
        <w:t xml:space="preserve">Istirahat relatif dan analgesia adekuat selama fase akut, khususnya pada penyakit yang lebih berat.</w:t>
      </w:r>
    </w:p>
    <w:p>
      <w:pPr>
        <w:pStyle w:val="ListParagraph"/>
        <w:numPr>
          <w:ilvl w:val="0"/>
          <w:numId w:val="2"/>
        </w:numPr>
        <w:spacing w:after="80" w:line="264"/>
      </w:pPr>
      <w:r>
        <w:rPr>
          <w:rFonts w:ascii="IBM Plex Sans" w:cs="IBM Plex Sans" w:eastAsia="IBM Plex Sans" w:hAnsi="IBM Plex Sans"/>
          <w:color w:val="334155"/>
          <w:sz w:val="21"/>
          <w:szCs w:val="21"/>
        </w:rPr>
        <w:t xml:space="preserve">Abstinensia hubungan seksual hingga terapi tuntas, gejala menghilang, dan pasangan seksual telah menyelesaikan terapi.</w:t>
      </w:r>
    </w:p>
    <w:p>
      <w:pPr>
        <w:pStyle w:val="ListParagraph"/>
        <w:numPr>
          <w:ilvl w:val="0"/>
          <w:numId w:val="2"/>
        </w:numPr>
        <w:spacing w:after="80" w:line="264"/>
      </w:pPr>
      <w:r>
        <w:rPr>
          <w:rFonts w:ascii="IBM Plex Sans" w:cs="IBM Plex Sans" w:eastAsia="IBM Plex Sans" w:hAnsi="IBM Plex Sans"/>
          <w:color w:val="334155"/>
          <w:sz w:val="21"/>
          <w:szCs w:val="21"/>
        </w:rPr>
        <w:t xml:space="preserve">AKDR tidak wajib dilepas pada saat diagnosis ditegakkan; keputusan pelepasan dipertimbangkan bila tidak ada perbaikan klinis bermakna dalam 48–72 jam setelah terapi antibiotik dimulai, dengan mempertimbangkan risiko kehamilan bila terdapat hubungan seksual tanpa proteksi dalam 7 hari sebelumnya [2],[4].</w:t>
      </w:r>
    </w:p>
    <w:p>
      <w:pPr>
        <w:pStyle w:val="ListParagraph"/>
        <w:numPr>
          <w:ilvl w:val="0"/>
          <w:numId w:val="2"/>
        </w:numPr>
        <w:spacing w:after="80" w:line="264"/>
      </w:pPr>
      <w:r>
        <w:rPr>
          <w:rFonts w:ascii="IBM Plex Sans" w:cs="IBM Plex Sans" w:eastAsia="IBM Plex Sans" w:hAnsi="IBM Plex Sans"/>
          <w:color w:val="334155"/>
          <w:sz w:val="21"/>
          <w:szCs w:val="21"/>
        </w:rPr>
        <w:t xml:space="preserve">Edukasi pencegahan reinfeksi dan penggunaan kondom konsisten pada hubungan seksual berikutnya.</w:t>
      </w:r>
    </w:p>
    <w:p>
      <w:pPr>
        <w:spacing w:after="80"/>
      </w:pPr>
    </w:p>
    <w:p>
      <w:pPr>
        <w:pStyle w:val="Heading2"/>
        <w:spacing w:after="120" w:before="200"/>
      </w:pPr>
      <w:r>
        <w:rPr>
          <w:rFonts w:ascii="Source Serif 4" w:cs="Source Serif 4" w:eastAsia="Source Serif 4" w:hAnsi="Source Serif 4"/>
          <w:b/>
          <w:bCs/>
          <w:color w:val="3730A3"/>
          <w:sz w:val="24"/>
          <w:szCs w:val="24"/>
        </w:rPr>
        <w:t xml:space="preserve">7.2 Tata Laksana Farmakologis</w:t>
      </w:r>
    </w:p>
    <w:p>
      <w:pPr>
        <w:spacing w:after="160" w:line="276"/>
      </w:pPr>
      <w:r>
        <w:rPr>
          <w:rFonts w:ascii="IBM Plex Sans" w:cs="IBM Plex Sans" w:eastAsia="IBM Plex Sans" w:hAnsi="IBM Plex Sans"/>
          <w:color w:val="334155"/>
          <w:sz w:val="21"/>
          <w:szCs w:val="21"/>
        </w:rPr>
        <w:t xml:space="preserve">Terapi antibiotik empiris dimulai segera setelah diagnosis klinis ditegakkan, tanpa menunggu hasil konfirmasi laboratorium, mengingat pencegahan sekuel jangka panjang bergantung pada kecepatan pemberian antimikroba yang tepat. Regimen harus mencakup N. gonorrhoeae, C. trachomatis, dan bakteri anaerob/fakultatif, karena data in vitro menunjukkan sebagian anaerob (misalnya Bacteroides fragilis) dapat menyebabkan kerusakan tuba dan epitel [2].</w:t>
      </w:r>
    </w:p>
    <w:tbl>
      <w:tblPr>
        <w:tblW w:type="dxa" w:w="9020"/>
        <w:tblBorders>
          <w:top w:val="single" w:color="C7D2FE" w:sz="2"/>
          <w:left w:val="single" w:color="C7D2FE" w:sz="2"/>
          <w:bottom w:val="single" w:color="C7D2FE" w:sz="2"/>
          <w:right w:val="single" w:color="C7D2FE" w:sz="2"/>
          <w:insideH w:val="single" w:color="C7D2FE" w:sz="2"/>
          <w:insideV w:val="single" w:color="C7D2FE" w:sz="2"/>
        </w:tblBorders>
      </w:tblPr>
      <w:tblGrid>
        <w:gridCol w:w="4510"/>
        <w:gridCol w:w="4510"/>
      </w:tblGrid>
      <w:tr>
        <w:trPr>
          <w:tblHeader/>
        </w:trPr>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Regimen</w:t>
            </w:r>
          </w:p>
        </w:tc>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Komponen dan Dosis</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Rawat jalan (IM/oral) — regimen lini pertama</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Ceftriakson 500 mg intramuskular dosis tunggal, DITAMBAH Doksisiklin 100 mg per oral 2 kali sehari selama 14 hari, DENGAN Metronidazol 500 mg per oral 2 kali sehari selama 14 hari.</w:t>
            </w:r>
          </w:p>
        </w:tc>
      </w:tr>
      <w:tr>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Alternatif rawat jalan</w:t>
            </w:r>
          </w:p>
        </w:tc>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Cefoxitin 2 g intramuskular dosis tunggal bersama Probenesid 1 g per oral dosis tunggal, DITAMBAH Doksisiklin 100 mg per oral 2 kali sehari selama 14 hari, DENGAN Metronidazol 500 mg per oral 2 kali sehari selama 14 hari.</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Bila alergi sefalosporin berat, prevalensi gonore lokal rendah, dan pemantauan lanjut memungkinkan</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Levofloksasin 500 mg per oral sekali sehari DITAMBAH Metronidazol 500 mg per oral 2 kali sehari selama 14 hari; ATAU Moksifloksasin 400 mg per oral sekali sehari selama 14 hari; ATAU regimen berbasis azitromisin sesuai penilaian klinis. Kultur gonore hendaknya diambil sebelum terapi dimulai.</w:t>
            </w:r>
          </w:p>
        </w:tc>
      </w:tr>
    </w:tbl>
    <w:p>
      <w:pPr>
        <w:spacing w:after="200"/>
      </w:pPr>
    </w:p>
    <w:p>
      <w:pPr>
        <w:spacing w:after="160" w:line="276"/>
      </w:pPr>
      <w:r>
        <w:rPr>
          <w:rFonts w:ascii="IBM Plex Sans" w:cs="IBM Plex Sans" w:eastAsia="IBM Plex Sans" w:hAnsi="IBM Plex Sans"/>
          <w:color w:val="334155"/>
          <w:sz w:val="21"/>
          <w:szCs w:val="21"/>
        </w:rPr>
        <w:t xml:space="preserve">Perlu dicatat bahwa regimen berbasis kuinolon (levofloksasin, moksifloksasin) bukan lagi pilihan lini pertama karena meningkatnya resistensi gonokokus terhadap kuinolon, dan karena tinjauan keamanan Badan Obat Eropa (European Medicines Agency, EMA) tahun 2019 mengidentifikasi risiko efek samping serius, melumpuhkan, dan berpotensi permanen pada tendon, otot, sendi, dan sistem saraf terkait golongan fluorokuinolon; regimen ini kini diposisikan sebagai lini kedua, kecuali pada PID terkait M. genitalium yang belum memiliki alternatif terapi lain [4],[6].</w:t>
      </w:r>
    </w:p>
    <w:p>
      <w:pPr>
        <w:spacing w:after="160" w:line="276"/>
      </w:pPr>
      <w:r>
        <w:rPr>
          <w:rFonts w:ascii="IBM Plex Sans" w:cs="IBM Plex Sans" w:eastAsia="IBM Plex Sans" w:hAnsi="IBM Plex Sans"/>
          <w:color w:val="334155"/>
          <w:sz w:val="21"/>
          <w:szCs w:val="21"/>
        </w:rPr>
        <w:t xml:space="preserve">Indikasi rawat inap dengan terapi parenteral meliputi kecurigaan abses tubo-ovarium, kehamilan, penyakit berat, ketidakmampuan mentoleransi terapi oral, atau kegagalan respons terhadap terapi oral; tata laksana parenteral tersebut berada di luar cakupan PPK rawat jalan tanpa komplikasi ini dan mengikuti alur rujukan pada bagian 7.4.</w:t>
      </w:r>
    </w:p>
    <w:p>
      <w:pPr>
        <w:spacing w:after="160" w:line="276"/>
      </w:pPr>
      <w:r>
        <w:rPr>
          <w:rFonts w:ascii="IBM Plex Sans" w:cs="IBM Plex Sans" w:eastAsia="IBM Plex Sans" w:hAnsi="IBM Plex Sans"/>
          <w:color w:val="334155"/>
          <w:sz w:val="21"/>
          <w:szCs w:val="21"/>
        </w:rPr>
        <w:t xml:space="preserve">Evaluasi ulang klinis wajib dilakukan dalam 72 jam sejak terapi dimulai, khususnya pada penyakit sedang-berat. Perbaikan klinis (penurunan nyeri tekan abdomen, nyeri goyang serviks, dan nyeri tekan adneksa, disertai penurunan demam bila ada) menunjukkan respons adekuat. Tidak ada perbaikan dalam 72 jam mengindikasikan perlunya evaluasi ulang diagnosis, pemeriksaan penunjang tambahan (termasuk USG ulang untuk menyingkirkan abses tubo-ovarium), dan pertimbangan rawat inap [2],[4].</w:t>
      </w:r>
    </w:p>
    <w:p>
      <w:pPr>
        <w:spacing w:after="160" w:line="276"/>
      </w:pPr>
      <w:r>
        <w:rPr>
          <w:rFonts w:ascii="IBM Plex Sans" w:cs="IBM Plex Sans" w:eastAsia="IBM Plex Sans" w:hAnsi="IBM Plex Sans"/>
          <w:color w:val="334155"/>
          <w:sz w:val="21"/>
          <w:szCs w:val="21"/>
        </w:rPr>
        <w:t xml:space="preserve">Seluruh pasien dengan diagnosis PID akibat klamidia atau gonore dianjurkan menjalani pengujian ulang (test of cure/reinfection) sekitar 3 bulan setelah terapi, terlepas dari status terapi pasangan; bila hal ini tidak memungkinkan, pengujian ulang dilakukan pada kunjungan berikutnya dalam 12 bulan pascaterapi [2].</w:t>
      </w:r>
    </w:p>
    <w:p>
      <w:pPr>
        <w:spacing w:after="160" w:line="276"/>
      </w:pPr>
      <w:r>
        <w:rPr>
          <w:rFonts w:ascii="IBM Plex Sans" w:cs="IBM Plex Sans" w:eastAsia="IBM Plex Sans" w:hAnsi="IBM Plex Sans"/>
          <w:color w:val="334155"/>
          <w:sz w:val="21"/>
          <w:szCs w:val="21"/>
        </w:rPr>
        <w:t xml:space="preserve">Pasangan seksual dalam 60 hari sebelum onset gejala perlu dirujuk untuk evaluasi, pengujian, dan terapi empiris terhadap gonore dan klamidia, terlepas dari hasil pemeriksaan pasangan, guna mencegah reinfeksi; bila kontak seksual terakhir terjadi lebih dari 60 hari sebelum onset, pasangan seksual terakhir tetap dianjurkan menjalani terapi [2].</w:t>
      </w:r>
    </w:p>
    <w:p>
      <w:pPr>
        <w:pStyle w:val="Heading2"/>
        <w:spacing w:after="120" w:before="200"/>
      </w:pPr>
      <w:r>
        <w:rPr>
          <w:rFonts w:ascii="Source Serif 4" w:cs="Source Serif 4" w:eastAsia="Source Serif 4" w:hAnsi="Source Serif 4"/>
          <w:b/>
          <w:bCs/>
          <w:color w:val="3730A3"/>
          <w:sz w:val="24"/>
          <w:szCs w:val="24"/>
        </w:rPr>
        <w:t xml:space="preserve">7.3 Tata Laksana Bedah/Prosedural (Bila Relevan)</w:t>
      </w:r>
    </w:p>
    <w:p>
      <w:pPr>
        <w:spacing w:after="160" w:line="276"/>
      </w:pPr>
      <w:r>
        <w:rPr>
          <w:rFonts w:ascii="IBM Plex Sans" w:cs="IBM Plex Sans" w:eastAsia="IBM Plex Sans" w:hAnsi="IBM Plex Sans"/>
          <w:color w:val="334155"/>
          <w:sz w:val="21"/>
          <w:szCs w:val="21"/>
        </w:rPr>
        <w:t xml:space="preserve">Tindakan bedah atau prosedural tidak rutin diperlukan pada PID tanpa komplikasi. Laparoskopi diagnostik dipertimbangkan hanya bila diagnosis tetap meragukan setelah evaluasi klinis dan penunjang awal, atau bila tidak terdapat perbaikan meskipun telah menjalani terapi antibiotik adekuat, untuk menyingkirkan diagnosis bedah akut lain maupun mengonfirmasi derajat keterlibatan tuba/ovarium. Bila intraoperatif ditemukan abses tubo-ovarium, kasus direklasifikasi sebagai PID dengan komplikasi dan tata laksana mengikuti PPK yang relevan di luar dokumen ini.</w:t>
      </w:r>
    </w:p>
    <w:p>
      <w:pPr>
        <w:pStyle w:val="Heading2"/>
        <w:spacing w:after="120" w:before="200"/>
      </w:pPr>
      <w:r>
        <w:rPr>
          <w:rFonts w:ascii="Source Serif 4" w:cs="Source Serif 4" w:eastAsia="Source Serif 4" w:hAnsi="Source Serif 4"/>
          <w:b/>
          <w:bCs/>
          <w:color w:val="3730A3"/>
          <w:sz w:val="24"/>
          <w:szCs w:val="24"/>
        </w:rPr>
        <w:t xml:space="preserve">7.4 Kriteria Rujukan ke Subspesialis Obstetri Ginekologi Sosial</w:t>
      </w:r>
    </w:p>
    <w:p>
      <w:pPr>
        <w:spacing w:after="160" w:line="276"/>
      </w:pPr>
      <w:r>
        <w:rPr>
          <w:rFonts w:ascii="IBM Plex Sans" w:cs="IBM Plex Sans" w:eastAsia="IBM Plex Sans" w:hAnsi="IBM Plex Sans"/>
          <w:color w:val="334155"/>
          <w:sz w:val="21"/>
          <w:szCs w:val="21"/>
        </w:rPr>
        <w:t xml:space="preserve">Rujukan lintas perspektif ke subspesialis Obstetri Ginekologi Sosial dipertimbangkan pada kondisi yang berada di luar kewenangan penanganan klinis murni, meliputi:</w:t>
      </w:r>
    </w:p>
    <w:p>
      <w:pPr>
        <w:pStyle w:val="ListParagraph"/>
        <w:numPr>
          <w:ilvl w:val="0"/>
          <w:numId w:val="2"/>
        </w:numPr>
        <w:spacing w:after="80" w:line="264"/>
      </w:pPr>
      <w:r>
        <w:rPr>
          <w:rFonts w:ascii="IBM Plex Sans" w:cs="IBM Plex Sans" w:eastAsia="IBM Plex Sans" w:hAnsi="IBM Plex Sans"/>
          <w:color w:val="334155"/>
          <w:sz w:val="21"/>
          <w:szCs w:val="21"/>
        </w:rPr>
        <w:t xml:space="preserve">Kecurigaan atau konfirmasi kasus PID akibat kekerasan seksual, memerlukan penanganan psikososial dan medikolegal terintegrasi.</w:t>
      </w:r>
    </w:p>
    <w:p>
      <w:pPr>
        <w:pStyle w:val="ListParagraph"/>
        <w:numPr>
          <w:ilvl w:val="0"/>
          <w:numId w:val="2"/>
        </w:numPr>
        <w:spacing w:after="80" w:line="264"/>
      </w:pPr>
      <w:r>
        <w:rPr>
          <w:rFonts w:ascii="IBM Plex Sans" w:cs="IBM Plex Sans" w:eastAsia="IBM Plex Sans" w:hAnsi="IBM Plex Sans"/>
          <w:color w:val="334155"/>
          <w:sz w:val="21"/>
          <w:szCs w:val="21"/>
        </w:rPr>
        <w:t xml:space="preserve">Pasien remaja dengan kebutuhan edukasi kesehatan reproduksi dan pendampingan keluarga.</w:t>
      </w:r>
    </w:p>
    <w:p>
      <w:pPr>
        <w:pStyle w:val="ListParagraph"/>
        <w:numPr>
          <w:ilvl w:val="0"/>
          <w:numId w:val="2"/>
        </w:numPr>
        <w:spacing w:after="80" w:line="264"/>
      </w:pPr>
      <w:r>
        <w:rPr>
          <w:rFonts w:ascii="IBM Plex Sans" w:cs="IBM Plex Sans" w:eastAsia="IBM Plex Sans" w:hAnsi="IBM Plex Sans"/>
          <w:color w:val="334155"/>
          <w:sz w:val="21"/>
          <w:szCs w:val="21"/>
        </w:rPr>
        <w:t xml:space="preserve">Ketidakpatuhan terapi berulang yang terkait hambatan sosial-ekonomi, akses layanan, atau stigma.</w:t>
      </w:r>
    </w:p>
    <w:p>
      <w:pPr>
        <w:pStyle w:val="ListParagraph"/>
        <w:numPr>
          <w:ilvl w:val="0"/>
          <w:numId w:val="2"/>
        </w:numPr>
        <w:spacing w:after="80" w:line="264"/>
      </w:pPr>
      <w:r>
        <w:rPr>
          <w:rFonts w:ascii="IBM Plex Sans" w:cs="IBM Plex Sans" w:eastAsia="IBM Plex Sans" w:hAnsi="IBM Plex Sans"/>
          <w:color w:val="334155"/>
          <w:sz w:val="21"/>
          <w:szCs w:val="21"/>
        </w:rPr>
        <w:t xml:space="preserve">Kebutuhan pelacakan dan notifikasi pasangan (partner notification) yang kompleks secara sosial.</w:t>
      </w:r>
    </w:p>
    <w:p>
      <w:pPr>
        <w:pStyle w:val="ListParagraph"/>
        <w:numPr>
          <w:ilvl w:val="0"/>
          <w:numId w:val="2"/>
        </w:numPr>
        <w:spacing w:after="80" w:line="264"/>
      </w:pPr>
      <w:r>
        <w:rPr>
          <w:rFonts w:ascii="IBM Plex Sans" w:cs="IBM Plex Sans" w:eastAsia="IBM Plex Sans" w:hAnsi="IBM Plex Sans"/>
          <w:color w:val="334155"/>
          <w:sz w:val="21"/>
          <w:szCs w:val="21"/>
        </w:rPr>
        <w:t xml:space="preserve">Konseling keluarga berencana dan kesehatan reproduksi pascainfeksi, termasuk edukasi risiko infertilitas tuba di masa mendatang.</w:t>
      </w:r>
    </w:p>
    <w:p>
      <w:pPr>
        <w:spacing w:after="80"/>
      </w:pP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40"/>
              <w:left w:type="dxa" w:w="200"/>
              <w:bottom w:type="dxa" w:w="100"/>
              <w:right w:type="dxa" w:w="200"/>
            </w:tcMar>
          </w:tcPr>
          <w:p>
            <w:r>
              <w:rPr>
                <w:rFonts w:ascii="IBM Plex Mono" w:cs="IBM Plex Mono" w:eastAsia="IBM Plex Mono" w:hAnsi="IBM Plex Mono"/>
                <w:b/>
                <w:bCs/>
                <w:color w:val="B45309"/>
                <w:sz w:val="16"/>
                <w:szCs w:val="16"/>
              </w:rPr>
              <w:t xml:space="preserve">KONTRIBUSI DIVISI PENGAMPU — OBSTETRI GINEKOLOGI SOSIAL</w:t>
            </w:r>
          </w:p>
        </w:tc>
      </w:tr>
      <w:tr>
        <w:tc>
          <w:tcPr>
            <w:shd w:fill="FFFBEB" w:val="clear"/>
            <w:tcMar>
              <w:top w:type="dxa" w:w="60"/>
              <w:left w:type="dxa" w:w="200"/>
              <w:bottom w:type="dxa" w:w="100"/>
              <w:right w:type="dxa" w:w="200"/>
            </w:tcMar>
          </w:tcPr>
          <w:p>
            <w:pPr>
              <w:spacing w:after="40"/>
            </w:pPr>
            <w:r>
              <w:rPr>
                <w:rFonts w:ascii="IBM Plex Sans" w:cs="IBM Plex Sans" w:eastAsia="IBM Plex Sans" w:hAnsi="IBM Plex Sans"/>
                <w:b/>
                <w:bCs/>
                <w:color w:val="334155"/>
                <w:sz w:val="20"/>
                <w:szCs w:val="20"/>
              </w:rPr>
              <w:t xml:space="preserve">A. Deskripsi</w:t>
            </w:r>
          </w:p>
          <w:p>
            <w:r>
              <w:rPr>
                <w:rFonts w:ascii="IBM Plex Sans" w:cs="IBM Plex Sans" w:eastAsia="IBM Plex Sans" w:hAnsi="IBM Plex Sans"/>
                <w:color w:val="334155"/>
                <w:sz w:val="20"/>
                <w:szCs w:val="20"/>
              </w:rPr>
              <w:t xml:space="preserve">Perspektif Obstetri Ginekologi Sosial relevan pada PID karena penyakit ini berakar pada determinan sosial dan perilaku — akses layanan kesehatan reproduksi, pendidikan kesehatan seksual, serta dinamika relasi kekuasaan dalam hubungan seksual — yang tidak sepenuhnya tertangani melalui pendekatan biomedis semata.</w:t>
            </w:r>
          </w:p>
        </w:tc>
      </w:tr>
      <w:tr>
        <w:tc>
          <w:tcPr>
            <w:shd w:fill="FFFBEB" w:val="clear"/>
            <w:tcMar>
              <w:top w:type="dxa" w:w="60"/>
              <w:left w:type="dxa" w:w="200"/>
              <w:bottom w:type="dxa" w:w="100"/>
              <w:right w:type="dxa" w:w="200"/>
            </w:tcMar>
          </w:tcPr>
          <w:p>
            <w:pPr>
              <w:spacing w:after="40"/>
            </w:pPr>
            <w:r>
              <w:rPr>
                <w:rFonts w:ascii="IBM Plex Sans" w:cs="IBM Plex Sans" w:eastAsia="IBM Plex Sans" w:hAnsi="IBM Plex Sans"/>
                <w:b/>
                <w:bCs/>
                <w:color w:val="334155"/>
                <w:sz w:val="20"/>
                <w:szCs w:val="20"/>
              </w:rPr>
              <w:t xml:space="preserve">B. Substansi</w:t>
            </w:r>
          </w:p>
          <w:p>
            <w:r>
              <w:rPr>
                <w:rFonts w:ascii="IBM Plex Sans" w:cs="IBM Plex Sans" w:eastAsia="IBM Plex Sans" w:hAnsi="IBM Plex Sans"/>
                <w:color w:val="334155"/>
                <w:sz w:val="20"/>
                <w:szCs w:val="20"/>
              </w:rPr>
              <w:t xml:space="preserve">Tata laksana PID yang berorientasi kesehatan masyarakat menekankan tiga pilar: (1) deteksi dini melalui skrining IMS proaktif pada populasi berisiko, bukan menunggu gejala; (2) notifikasi dan terapi pasangan yang sistematis untuk memutus rantai penularan; dan (3) edukasi berkelanjutan mengenai konsekuensi reproduksi jangka panjang agar kepatuhan terapi dan perilaku pencegahan meningkat. Pendekatan ini selaras dengan prinsip keadilan kesehatan reproduksi, khususnya bagi perempuan muda dan kelompok dengan akses layanan terbatas.</w:t>
            </w:r>
          </w:p>
        </w:tc>
      </w:tr>
      <w:tr>
        <w:tc>
          <w:tcPr>
            <w:shd w:fill="FFFBEB" w:val="clear"/>
            <w:tcMar>
              <w:top w:type="dxa" w:w="60"/>
              <w:left w:type="dxa" w:w="200"/>
              <w:bottom w:type="dxa" w:w="100"/>
              <w:right w:type="dxa" w:w="200"/>
            </w:tcMar>
          </w:tcPr>
          <w:p>
            <w:pPr>
              <w:spacing w:after="40"/>
            </w:pPr>
            <w:r>
              <w:rPr>
                <w:rFonts w:ascii="IBM Plex Sans" w:cs="IBM Plex Sans" w:eastAsia="IBM Plex Sans" w:hAnsi="IBM Plex Sans"/>
                <w:b/>
                <w:bCs/>
                <w:color w:val="334155"/>
                <w:sz w:val="20"/>
                <w:szCs w:val="20"/>
              </w:rPr>
              <w:t xml:space="preserve">C. Ilustrasi Kasus Lapangan</w:t>
            </w:r>
          </w:p>
          <w:p>
            <w:r>
              <w:rPr>
                <w:rFonts w:ascii="IBM Plex Sans" w:cs="IBM Plex Sans" w:eastAsia="IBM Plex Sans" w:hAnsi="IBM Plex Sans"/>
                <w:color w:val="334155"/>
                <w:sz w:val="20"/>
                <w:szCs w:val="20"/>
              </w:rPr>
              <w:t xml:space="preserve">Seorang perempuan berusia 19 tahun datang dengan nyeri panggul berulang, riwayat dua episode PID dalam satu tahun, dan enggan membawa pasangan untuk pemeriksaan karena alasan hubungan yang tidak setara. Selain terapi antibiotik standar, subspesialis Obstetri Ginekologi Sosial melakukan konseling individual mengenai negosiasi penggunaan kondom, menghubungkan pasien dengan layanan notifikasi pasangan yang menjaga kerahasiaan, dan menjadwalkan edukasi kesehatan reproduksi berkelanjutan untuk menurunkan risiko rekurensi dan sekuel infertilitas.</w:t>
            </w:r>
          </w:p>
        </w:tc>
      </w:tr>
    </w:tbl>
    <w:p>
      <w:pPr>
        <w:spacing w:after="200"/>
      </w:pP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8. Edukasi Pasien dan Keluarga</w:t>
      </w:r>
    </w:p>
    <w:p>
      <w:pPr>
        <w:pStyle w:val="ListParagraph"/>
        <w:numPr>
          <w:ilvl w:val="0"/>
          <w:numId w:val="2"/>
        </w:numPr>
        <w:spacing w:after="80" w:line="264"/>
      </w:pPr>
      <w:r>
        <w:rPr>
          <w:rFonts w:ascii="IBM Plex Sans" w:cs="IBM Plex Sans" w:eastAsia="IBM Plex Sans" w:hAnsi="IBM Plex Sans"/>
          <w:color w:val="334155"/>
          <w:sz w:val="21"/>
          <w:szCs w:val="21"/>
        </w:rPr>
        <w:t xml:space="preserve">Pentingnya kepatuhan menuntaskan seluruh regimen antibiotik selama 14 hari meskipun gejala membaik lebih awal.</w:t>
      </w:r>
    </w:p>
    <w:p>
      <w:pPr>
        <w:pStyle w:val="ListParagraph"/>
        <w:numPr>
          <w:ilvl w:val="0"/>
          <w:numId w:val="2"/>
        </w:numPr>
        <w:spacing w:after="80" w:line="264"/>
      </w:pPr>
      <w:r>
        <w:rPr>
          <w:rFonts w:ascii="IBM Plex Sans" w:cs="IBM Plex Sans" w:eastAsia="IBM Plex Sans" w:hAnsi="IBM Plex Sans"/>
          <w:color w:val="334155"/>
          <w:sz w:val="21"/>
          <w:szCs w:val="21"/>
        </w:rPr>
        <w:t xml:space="preserve">Kewajiban pasangan seksual dalam 60 hari terakhir untuk menjalani evaluasi dan terapi empiris guna mencegah reinfeksi.</w:t>
      </w:r>
    </w:p>
    <w:p>
      <w:pPr>
        <w:pStyle w:val="ListParagraph"/>
        <w:numPr>
          <w:ilvl w:val="0"/>
          <w:numId w:val="2"/>
        </w:numPr>
        <w:spacing w:after="80" w:line="264"/>
      </w:pPr>
      <w:r>
        <w:rPr>
          <w:rFonts w:ascii="IBM Plex Sans" w:cs="IBM Plex Sans" w:eastAsia="IBM Plex Sans" w:hAnsi="IBM Plex Sans"/>
          <w:color w:val="334155"/>
          <w:sz w:val="21"/>
          <w:szCs w:val="21"/>
        </w:rPr>
        <w:t xml:space="preserve">Abstinensia hubungan seksual hingga terapi tuntas pada kedua pihak dan gejala telah hilang.</w:t>
      </w:r>
    </w:p>
    <w:p>
      <w:pPr>
        <w:pStyle w:val="ListParagraph"/>
        <w:numPr>
          <w:ilvl w:val="0"/>
          <w:numId w:val="2"/>
        </w:numPr>
        <w:spacing w:after="80" w:line="264"/>
      </w:pPr>
      <w:r>
        <w:rPr>
          <w:rFonts w:ascii="IBM Plex Sans" w:cs="IBM Plex Sans" w:eastAsia="IBM Plex Sans" w:hAnsi="IBM Plex Sans"/>
          <w:color w:val="334155"/>
          <w:sz w:val="21"/>
          <w:szCs w:val="21"/>
        </w:rPr>
        <w:t xml:space="preserve">Penggunaan kondom konsisten sebagai pencegahan IMS di masa mendatang; risiko PID berulang menurun bermakna dengan penggunaan kontrasepsi barrier.</w:t>
      </w:r>
    </w:p>
    <w:p>
      <w:pPr>
        <w:pStyle w:val="ListParagraph"/>
        <w:numPr>
          <w:ilvl w:val="0"/>
          <w:numId w:val="2"/>
        </w:numPr>
        <w:spacing w:after="80" w:line="264"/>
      </w:pPr>
      <w:r>
        <w:rPr>
          <w:rFonts w:ascii="IBM Plex Sans" w:cs="IBM Plex Sans" w:eastAsia="IBM Plex Sans" w:hAnsi="IBM Plex Sans"/>
          <w:color w:val="334155"/>
          <w:sz w:val="21"/>
          <w:szCs w:val="21"/>
        </w:rPr>
        <w:t xml:space="preserve">Pengenalan tanda bahaya yang memerlukan kunjungan segera: demam tinggi, nyeri hebat yang memburuk, mual-muntah persisten, atau tidak ada perbaikan dalam 72 jam terapi.</w:t>
      </w:r>
    </w:p>
    <w:p>
      <w:pPr>
        <w:pStyle w:val="ListParagraph"/>
        <w:numPr>
          <w:ilvl w:val="0"/>
          <w:numId w:val="2"/>
        </w:numPr>
        <w:spacing w:after="80" w:line="264"/>
      </w:pPr>
      <w:r>
        <w:rPr>
          <w:rFonts w:ascii="IBM Plex Sans" w:cs="IBM Plex Sans" w:eastAsia="IBM Plex Sans" w:hAnsi="IBM Plex Sans"/>
          <w:color w:val="334155"/>
          <w:sz w:val="21"/>
          <w:szCs w:val="21"/>
        </w:rPr>
        <w:t xml:space="preserve">Informasi mengenai potensi konsekuensi jangka panjang bila infeksi tidak diobati adekuat atau berulang, yaitu nyeri panggul kronik, infertilitas tuba, dan risiko kehamilan ektopik di masa depan — episode PID berulang dikaitkan dengan peningkatan risiko infertilitas secara eksponensial — disampaikan secara suportif tanpa menimbulkan kecemasan berlebihan.</w:t>
      </w:r>
    </w:p>
    <w:p>
      <w:pPr>
        <w:pStyle w:val="ListParagraph"/>
        <w:numPr>
          <w:ilvl w:val="0"/>
          <w:numId w:val="2"/>
        </w:numPr>
        <w:spacing w:after="80" w:line="264"/>
      </w:pPr>
      <w:r>
        <w:rPr>
          <w:rFonts w:ascii="IBM Plex Sans" w:cs="IBM Plex Sans" w:eastAsia="IBM Plex Sans" w:hAnsi="IBM Plex Sans"/>
          <w:color w:val="334155"/>
          <w:sz w:val="21"/>
          <w:szCs w:val="21"/>
        </w:rPr>
        <w:t xml:space="preserve">Anjuran pengujian ulang sekitar 3 bulan setelah terapi, serta skrining IMS berkala bagi pasien dengan faktor risiko menetap.</w:t>
      </w:r>
    </w:p>
    <w:p>
      <w:pPr>
        <w:spacing w:after="80"/>
      </w:pP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9. Prognosis</w:t>
      </w:r>
    </w:p>
    <w:p>
      <w:pPr>
        <w:spacing w:after="160" w:line="276"/>
      </w:pPr>
      <w:r>
        <w:rPr>
          <w:rFonts w:ascii="IBM Plex Sans" w:cs="IBM Plex Sans" w:eastAsia="IBM Plex Sans" w:hAnsi="IBM Plex Sans"/>
          <w:color w:val="334155"/>
          <w:sz w:val="21"/>
          <w:szCs w:val="21"/>
        </w:rPr>
        <w:t xml:space="preserve">Prognosis PID tanpa komplikasi yang diobati secara dini dan adekuat umumnya baik; sebagian besar pasien menunjukkan perbaikan klinis dalam 72 jam terapi antibiotik, dan pemodelan matematis kontemporer mendukung rendahnya angka infertilitas serta kehamilan ektopik setelah terapi PID yang efektif [4]. Namun, keterlambatan diagnosis, keterlambatan terapi, atau episode berulang meningkatkan risiko sekuel jangka panjang berupa nyeri panggul kronik, infertilitas akibat kerusakan tuba, dan peningkatan risiko kehamilan ektopik pada kehamilan berikutnya. Edukasi dan tata laksana pasangan yang konsisten merupakan determinan penting keberhasilan jangka panjang.</w:t>
      </w: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10. Tingkat Evidens dan Rekomendasi</w:t>
      </w:r>
    </w:p>
    <w:p>
      <w:pPr>
        <w:spacing w:after="160" w:line="276"/>
      </w:pPr>
      <w:r>
        <w:rPr>
          <w:rFonts w:ascii="IBM Plex Sans" w:cs="IBM Plex Sans" w:eastAsia="IBM Plex Sans" w:hAnsi="IBM Plex Sans"/>
          <w:color w:val="334155"/>
          <w:sz w:val="21"/>
          <w:szCs w:val="21"/>
        </w:rPr>
        <w:t xml:space="preserve">Derajat rekomendasi berikut mengikuti sistem penilaian bukti yang digunakan pada pedoman BASHH (United Kingdom National Guideline for the Management of Pelvic Inflammatory Disease, 2019 Interim Update), dengan Grade 1 menunjukkan rekomendasi kuat dan Grade 2 menunjukkan rekomendasi bersyarat; huruf A–D mencerminkan tingkat kepastian bukti pendukung [4].</w:t>
      </w:r>
    </w:p>
    <w:tbl>
      <w:tblPr>
        <w:tblW w:type="dxa" w:w="9020"/>
        <w:tblBorders>
          <w:top w:val="single" w:color="C7D2FE" w:sz="2"/>
          <w:left w:val="single" w:color="C7D2FE" w:sz="2"/>
          <w:bottom w:val="single" w:color="C7D2FE" w:sz="2"/>
          <w:right w:val="single" w:color="C7D2FE" w:sz="2"/>
          <w:insideH w:val="single" w:color="C7D2FE" w:sz="2"/>
          <w:insideV w:val="single" w:color="C7D2FE" w:sz="2"/>
        </w:tblBorders>
      </w:tblPr>
      <w:tblGrid>
        <w:gridCol w:w="3006"/>
        <w:gridCol w:w="3006"/>
        <w:gridCol w:w="3006"/>
      </w:tblGrid>
      <w:tr>
        <w:trPr>
          <w:tblHeader/>
        </w:trPr>
        <w:tc>
          <w:tcPr>
            <w:tcW w:type="dxa" w:w="300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Aspek Tata Laksana</w:t>
            </w:r>
          </w:p>
        </w:tc>
        <w:tc>
          <w:tcPr>
            <w:tcW w:type="dxa" w:w="300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Derajat Rekomendasi</w:t>
            </w:r>
          </w:p>
        </w:tc>
        <w:tc>
          <w:tcPr>
            <w:tcW w:type="dxa" w:w="300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tcW w:type="dxa" w:w="300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Regimen antibiotik rawat jalan lini pertama (ceftriakson + doksisiklin + metronidazol)</w:t>
            </w:r>
          </w:p>
        </w:tc>
        <w:tc>
          <w:tcPr>
            <w:tcW w:type="dxa" w:w="300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Grade 1A</w:t>
            </w:r>
          </w:p>
        </w:tc>
        <w:tc>
          <w:tcPr>
            <w:tcW w:type="dxa" w:w="300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BASHH 2019 [4]; CDC 2021 [2]</w:t>
            </w:r>
          </w:p>
        </w:tc>
      </w:tr>
      <w:tr>
        <w:tc>
          <w:tcPr>
            <w:tcW w:type="dxa" w:w="300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Ambang diagnosis klinis yang rendah (kriteria minimal) untuk terapi empiris segera</w:t>
            </w:r>
          </w:p>
        </w:tc>
        <w:tc>
          <w:tcPr>
            <w:tcW w:type="dxa" w:w="300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Grade 1B</w:t>
            </w:r>
          </w:p>
        </w:tc>
        <w:tc>
          <w:tcPr>
            <w:tcW w:type="dxa" w:w="300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BASHH 2019 [4]; CDC 2021 [2]</w:t>
            </w:r>
          </w:p>
        </w:tc>
      </w:tr>
      <w:tr>
        <w:tc>
          <w:tcPr>
            <w:tcW w:type="dxa" w:w="300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Abstinensia seksual dan edukasi tertulis mengenai konsekuensi jangka panjang</w:t>
            </w:r>
          </w:p>
        </w:tc>
        <w:tc>
          <w:tcPr>
            <w:tcW w:type="dxa" w:w="300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Grade 1D</w:t>
            </w:r>
          </w:p>
        </w:tc>
        <w:tc>
          <w:tcPr>
            <w:tcW w:type="dxa" w:w="300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BASHH 2019 [4]</w:t>
            </w:r>
          </w:p>
        </w:tc>
      </w:tr>
      <w:tr>
        <w:tc>
          <w:tcPr>
            <w:tcW w:type="dxa" w:w="300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Notifikasi dan terapi empiris pasangan seksual</w:t>
            </w:r>
          </w:p>
        </w:tc>
        <w:tc>
          <w:tcPr>
            <w:tcW w:type="dxa" w:w="300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Grade 1D</w:t>
            </w:r>
          </w:p>
        </w:tc>
        <w:tc>
          <w:tcPr>
            <w:tcW w:type="dxa" w:w="300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BASHH 2019 [4]; CDC 2021 [2]</w:t>
            </w:r>
          </w:p>
        </w:tc>
      </w:tr>
      <w:tr>
        <w:tc>
          <w:tcPr>
            <w:tcW w:type="dxa" w:w="300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Evaluasi ulang klinis dalam 72 jam pada penyakit sedang-berat</w:t>
            </w:r>
          </w:p>
        </w:tc>
        <w:tc>
          <w:tcPr>
            <w:tcW w:type="dxa" w:w="300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Grade 2D</w:t>
            </w:r>
          </w:p>
        </w:tc>
        <w:tc>
          <w:tcPr>
            <w:tcW w:type="dxa" w:w="300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BASHH 2019 [4]</w:t>
            </w:r>
          </w:p>
        </w:tc>
      </w:tr>
      <w:tr>
        <w:tc>
          <w:tcPr>
            <w:tcW w:type="dxa" w:w="300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Regimen berbasis fluorokuinolon sebagai alternatif lini kedua (bukan lini pertama)</w:t>
            </w:r>
          </w:p>
        </w:tc>
        <w:tc>
          <w:tcPr>
            <w:tcW w:type="dxa" w:w="300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Grade 1B (sebagai alternatif)</w:t>
            </w:r>
          </w:p>
        </w:tc>
        <w:tc>
          <w:tcPr>
            <w:tcW w:type="dxa" w:w="300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BASHH 2019 [4]; EMA 2019 [6]</w:t>
            </w:r>
          </w:p>
        </w:tc>
      </w:tr>
    </w:tbl>
    <w:p>
      <w:pPr>
        <w:spacing w:after="200"/>
      </w:pP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11. Indikator Medis</w:t>
      </w:r>
    </w:p>
    <w:p>
      <w:pPr>
        <w:pStyle w:val="ListParagraph"/>
        <w:numPr>
          <w:ilvl w:val="0"/>
          <w:numId w:val="2"/>
        </w:numPr>
        <w:spacing w:after="80" w:line="264"/>
      </w:pPr>
      <w:r>
        <w:rPr>
          <w:rFonts w:ascii="IBM Plex Sans" w:cs="IBM Plex Sans" w:eastAsia="IBM Plex Sans" w:hAnsi="IBM Plex Sans"/>
          <w:color w:val="334155"/>
          <w:sz w:val="21"/>
          <w:szCs w:val="21"/>
        </w:rPr>
        <w:t xml:space="preserve">Persentase pasien dengan perbaikan klinis (penurunan nyeri tekan abdomen/adneksa dan demam) pada evaluasi 72 jam pascaterapi.</w:t>
      </w:r>
    </w:p>
    <w:p>
      <w:pPr>
        <w:pStyle w:val="ListParagraph"/>
        <w:numPr>
          <w:ilvl w:val="0"/>
          <w:numId w:val="2"/>
        </w:numPr>
        <w:spacing w:after="80" w:line="264"/>
      </w:pPr>
      <w:r>
        <w:rPr>
          <w:rFonts w:ascii="IBM Plex Sans" w:cs="IBM Plex Sans" w:eastAsia="IBM Plex Sans" w:hAnsi="IBM Plex Sans"/>
          <w:color w:val="334155"/>
          <w:sz w:val="21"/>
          <w:szCs w:val="21"/>
        </w:rPr>
        <w:t xml:space="preserve">Persentase pasien yang menuntaskan regimen antibiotik lengkap selama 14 hari sesuai resep.</w:t>
      </w:r>
    </w:p>
    <w:p>
      <w:pPr>
        <w:pStyle w:val="ListParagraph"/>
        <w:numPr>
          <w:ilvl w:val="0"/>
          <w:numId w:val="2"/>
        </w:numPr>
        <w:spacing w:after="80" w:line="264"/>
      </w:pPr>
      <w:r>
        <w:rPr>
          <w:rFonts w:ascii="IBM Plex Sans" w:cs="IBM Plex Sans" w:eastAsia="IBM Plex Sans" w:hAnsi="IBM Plex Sans"/>
          <w:color w:val="334155"/>
          <w:sz w:val="21"/>
          <w:szCs w:val="21"/>
        </w:rPr>
        <w:t xml:space="preserve">Persentase pasangan seksual yang berhasil dirujuk dan menjalani terapi empiris.</w:t>
      </w:r>
    </w:p>
    <w:p>
      <w:pPr>
        <w:pStyle w:val="ListParagraph"/>
        <w:numPr>
          <w:ilvl w:val="0"/>
          <w:numId w:val="2"/>
        </w:numPr>
        <w:spacing w:after="80" w:line="264"/>
      </w:pPr>
      <w:r>
        <w:rPr>
          <w:rFonts w:ascii="IBM Plex Sans" w:cs="IBM Plex Sans" w:eastAsia="IBM Plex Sans" w:hAnsi="IBM Plex Sans"/>
          <w:color w:val="334155"/>
          <w:sz w:val="21"/>
          <w:szCs w:val="21"/>
        </w:rPr>
        <w:t xml:space="preserve">Angka kejadian progresi menjadi PID dengan komplikasi (abses tubo-ovarium) selama masa tata laksana.</w:t>
      </w:r>
    </w:p>
    <w:p>
      <w:pPr>
        <w:pStyle w:val="ListParagraph"/>
        <w:numPr>
          <w:ilvl w:val="0"/>
          <w:numId w:val="2"/>
        </w:numPr>
        <w:spacing w:after="80" w:line="264"/>
      </w:pPr>
      <w:r>
        <w:rPr>
          <w:rFonts w:ascii="IBM Plex Sans" w:cs="IBM Plex Sans" w:eastAsia="IBM Plex Sans" w:hAnsi="IBM Plex Sans"/>
          <w:color w:val="334155"/>
          <w:sz w:val="21"/>
          <w:szCs w:val="21"/>
        </w:rPr>
        <w:t xml:space="preserve">Persentase pasien yang menjalani pengujian ulang gonore/klamidia sekitar 3 bulan pascaterapi.</w:t>
      </w:r>
    </w:p>
    <w:p>
      <w:pPr>
        <w:pStyle w:val="ListParagraph"/>
        <w:numPr>
          <w:ilvl w:val="0"/>
          <w:numId w:val="2"/>
        </w:numPr>
        <w:spacing w:after="80" w:line="264"/>
      </w:pPr>
      <w:r>
        <w:rPr>
          <w:rFonts w:ascii="IBM Plex Sans" w:cs="IBM Plex Sans" w:eastAsia="IBM Plex Sans" w:hAnsi="IBM Plex Sans"/>
          <w:color w:val="334155"/>
          <w:sz w:val="21"/>
          <w:szCs w:val="21"/>
        </w:rPr>
        <w:t xml:space="preserve">Angka kunjungan ulang/kontrol sesuai jadwal yang direncanakan.</w:t>
      </w:r>
    </w:p>
    <w:p>
      <w:pPr>
        <w:spacing w:after="80"/>
      </w:pP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12. Perbandingan dan Pengayaan Standar Internasional</w:t>
      </w:r>
    </w:p>
    <w:p>
      <w:pPr>
        <w:spacing w:after="160" w:line="276"/>
      </w:pPr>
      <w:r>
        <w:rPr>
          <w:rFonts w:ascii="IBM Plex Sans" w:cs="IBM Plex Sans" w:eastAsia="IBM Plex Sans" w:hAnsi="IBM Plex Sans"/>
          <w:color w:val="334155"/>
          <w:sz w:val="21"/>
          <w:szCs w:val="21"/>
        </w:rPr>
        <w:t xml:space="preserve">Standar nasional (Kepkonsil) menetapkan klasifikasi dan kode diagnosis PID tanpa komplikasi sebagaimana Tabel 7 di atas, dengan pendekatan tata laksana berbasis diagnosis klinis ambang rendah dan terapi antibiotik empiris segera — pendekatan ini konsisten dengan standar internasional berikut.</w:t>
      </w:r>
    </w:p>
    <w:p>
      <w:pPr>
        <w:pStyle w:val="ListParagraph"/>
        <w:numPr>
          <w:ilvl w:val="0"/>
          <w:numId w:val="2"/>
        </w:numPr>
        <w:spacing w:after="80" w:line="264"/>
      </w:pPr>
      <w:r>
        <w:rPr>
          <w:rFonts w:ascii="IBM Plex Sans" w:cs="IBM Plex Sans" w:eastAsia="IBM Plex Sans" w:hAnsi="IBM Plex Sans"/>
          <w:color w:val="334155"/>
          <w:sz w:val="21"/>
          <w:szCs w:val="21"/>
        </w:rPr>
        <w:t xml:space="preserve">Centers for Disease Control and Prevention (CDC) Sexually Transmitted Infections Treatment Guidelines, 2021, merekomendasikan ambang diagnosis klinis yang rendah (kriteria minimal) untuk memulai terapi empiris segera pada perempuan berisiko dengan nyeri panggul, serta regimen ceftriakson–doksisiklin–metronidazol sebagai lini pertama rawat jalan — pendekatan yang menjadi rujukan utama regimen farmakologis pada PPK ini [2].</w:t>
      </w:r>
    </w:p>
    <w:p>
      <w:pPr>
        <w:pStyle w:val="ListParagraph"/>
        <w:numPr>
          <w:ilvl w:val="0"/>
          <w:numId w:val="2"/>
        </w:numPr>
        <w:spacing w:after="80" w:line="264"/>
      </w:pPr>
      <w:r>
        <w:rPr>
          <w:rFonts w:ascii="IBM Plex Sans" w:cs="IBM Plex Sans" w:eastAsia="IBM Plex Sans" w:hAnsi="IBM Plex Sans"/>
          <w:color w:val="334155"/>
          <w:sz w:val="21"/>
          <w:szCs w:val="21"/>
        </w:rPr>
        <w:t xml:space="preserve">World Health Organization (WHO) Guidelines for the Management of Symptomatic Sexually Transmitted Infections, 2021, menekankan pendekatan sindromik dan terapi antibiotik kombinasi segera pada fasilitas dengan keterbatasan akses laboratorium konfirmasi, relevan bagi konteks layanan primer di Indonesia [3].</w:t>
      </w:r>
    </w:p>
    <w:p>
      <w:pPr>
        <w:pStyle w:val="ListParagraph"/>
        <w:numPr>
          <w:ilvl w:val="0"/>
          <w:numId w:val="2"/>
        </w:numPr>
        <w:spacing w:after="80" w:line="264"/>
      </w:pPr>
      <w:r>
        <w:rPr>
          <w:rFonts w:ascii="IBM Plex Sans" w:cs="IBM Plex Sans" w:eastAsia="IBM Plex Sans" w:hAnsi="IBM Plex Sans"/>
          <w:color w:val="334155"/>
          <w:sz w:val="21"/>
          <w:szCs w:val="21"/>
        </w:rPr>
        <w:t xml:space="preserve">British Association for Sexual Health and HIV (BASHH), United Kingdom National Guideline for the Management of Pelvic Inflammatory Disease (2019 Interim Update), memberikan penekanan tambahan pada evaluasi ulang dalam 72 jam untuk penyakit sedang-berat serta pertimbangan pelepasan AKDR bila tidak ada perbaikan dalam 48–72 jam — praktik ini diadopsi dalam bagian Tata Laksana Non-Farmakologis PPK ini [4].</w:t>
      </w:r>
    </w:p>
    <w:p>
      <w:pPr>
        <w:pStyle w:val="ListParagraph"/>
        <w:numPr>
          <w:ilvl w:val="0"/>
          <w:numId w:val="2"/>
        </w:numPr>
        <w:spacing w:after="80" w:line="264"/>
      </w:pPr>
      <w:r>
        <w:rPr>
          <w:rFonts w:ascii="IBM Plex Sans" w:cs="IBM Plex Sans" w:eastAsia="IBM Plex Sans" w:hAnsi="IBM Plex Sans"/>
          <w:color w:val="334155"/>
          <w:sz w:val="21"/>
          <w:szCs w:val="21"/>
        </w:rPr>
        <w:t xml:space="preserve">American College of Obstetricians and Gynecologists (ACOG) turut menegaskan pentingnya skrining IMS komprehensif (termasuk HIV) pada setiap kasus PID sebagai bagian dari tata laksana infeksi menular seksual yang holistik [5].</w:t>
      </w:r>
    </w:p>
    <w:p>
      <w:pPr>
        <w:spacing w:after="80"/>
      </w:pPr>
    </w:p>
    <w:p>
      <w:pPr>
        <w:spacing w:after="160" w:line="276"/>
      </w:pPr>
      <w:r>
        <w:rPr>
          <w:rFonts w:ascii="IBM Plex Sans" w:cs="IBM Plex Sans" w:eastAsia="IBM Plex Sans" w:hAnsi="IBM Plex Sans"/>
          <w:color w:val="334155"/>
          <w:sz w:val="21"/>
          <w:szCs w:val="21"/>
        </w:rPr>
        <w:t xml:space="preserve">Standar nasional menetapkan ceftriakson 500 mg intramuskular dosis tunggal sebagai komponen regimen lini pertama, mengikuti dosis yang direkomendasikan CDC untuk konteks Amerika Serikat [2]; standar internasional Y — dalam hal ini pedoman BASHH — merekomendasikan dosis ceftriakson 1 g intramuskular untuk konteks Britania Raya, mengingat pola kerentanan gonokokus terhadap sefalosporin yang berbeda antarwilayah [4]; praktik di Indonesia mengikuti standar nasional berbasis dosis 500 mg sebagaimana diuraikan pada bagian Tata Laksana Farmakologis, dengan penyesuaian dosis mengikuti [DATA: rujuk laporan/registri resmi terbaru — mis. Kemenkes, POGI] apabila tersedia data surveilans resistensi gonokokus nasional yang mengindikasikan perlunya dosis lebih tinggi.</w:t>
      </w:r>
    </w:p>
    <w:p>
      <w:pPr>
        <w:spacing w:after="160" w:line="276"/>
      </w:pPr>
      <w:r>
        <w:rPr>
          <w:rFonts w:ascii="IBM Plex Sans" w:cs="IBM Plex Sans" w:eastAsia="IBM Plex Sans" w:hAnsi="IBM Plex Sans"/>
          <w:color w:val="334155"/>
          <w:sz w:val="21"/>
          <w:szCs w:val="21"/>
        </w:rPr>
        <w:t xml:space="preserve">Perbedaan lain yang perlu dicermati adalah posisi regimen fluorokuinolon: sejak tinjauan keamanan EMA tahun 2019, BASHH memindahkan fluorokuinolon (ofloksasin, levofloksasin, moksifloksasin) dari lini pertama menjadi lini kedua akibat risiko efek samping serius pada tendon, otot, sendi, dan sistem saraf, kecuali untuk PID terkait M. genitalium [4],[6]; CDC juga tidak lagi merekomendasikan kuinolon sebagai regimen utama karena resistensi gonokokus, namun tetap mencantumkannya sebagai pilihan bersyarat bila terdapat alergi sefalosporin berat dan risiko gonore rendah [2]. Praktik di Indonesia mengikuti kehati-hatian yang sama; keputusan penggunaan fluorokuinolon pada PID hendaknya mempertimbangkan pedoman keamanan obat nasional dari Badan Pengawas Obat dan Makanan [DATA: rujuk pedoman keamanan obat nasional terbaru].</w:t>
      </w: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13. Kepustakaan</w:t>
      </w:r>
    </w:p>
    <w:p>
      <w:pPr>
        <w:pStyle w:val="ListParagraph"/>
        <w:numPr>
          <w:ilvl w:val="0"/>
          <w:numId w:val="3"/>
        </w:numPr>
        <w:spacing w:after="80" w:line="264"/>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2026.</w:t>
      </w:r>
    </w:p>
    <w:p>
      <w:pPr>
        <w:pStyle w:val="ListParagraph"/>
        <w:numPr>
          <w:ilvl w:val="0"/>
          <w:numId w:val="3"/>
        </w:numPr>
        <w:spacing w:after="80" w:line="264"/>
      </w:pPr>
      <w:r>
        <w:rPr>
          <w:rFonts w:ascii="IBM Plex Sans" w:cs="IBM Plex Sans" w:eastAsia="IBM Plex Sans" w:hAnsi="IBM Plex Sans"/>
          <w:color w:val="334155"/>
          <w:sz w:val="21"/>
          <w:szCs w:val="21"/>
        </w:rPr>
        <w:t xml:space="preserve">Workowski KA, Bachmann LH, Chan PA, et al. Sexually Transmitted Infections Treatment Guidelines, 2021: Pelvic Inflammatory Disease. MMWR Recomm Rep 2021;70(RR-4):1–187. Centers for Disease Control and Prevention. Tersedia pada: https://www.cdc.gov/std/treatment-guidelines/pid.htm</w:t>
      </w:r>
    </w:p>
    <w:p>
      <w:pPr>
        <w:pStyle w:val="ListParagraph"/>
        <w:numPr>
          <w:ilvl w:val="0"/>
          <w:numId w:val="3"/>
        </w:numPr>
        <w:spacing w:after="80" w:line="264"/>
      </w:pPr>
      <w:r>
        <w:rPr>
          <w:rFonts w:ascii="IBM Plex Sans" w:cs="IBM Plex Sans" w:eastAsia="IBM Plex Sans" w:hAnsi="IBM Plex Sans"/>
          <w:color w:val="334155"/>
          <w:sz w:val="21"/>
          <w:szCs w:val="21"/>
        </w:rPr>
        <w:t xml:space="preserve">World Health Organization. Guidelines for the Management of Symptomatic Sexually Transmitted Infections. Geneva: World Health Organization; 2021. Tersedia pada: https://www.ncbi.nlm.nih.gov/books/NBK572659/</w:t>
      </w:r>
    </w:p>
    <w:p>
      <w:pPr>
        <w:pStyle w:val="ListParagraph"/>
        <w:numPr>
          <w:ilvl w:val="0"/>
          <w:numId w:val="3"/>
        </w:numPr>
        <w:spacing w:after="80" w:line="264"/>
      </w:pPr>
      <w:r>
        <w:rPr>
          <w:rFonts w:ascii="IBM Plex Sans" w:cs="IBM Plex Sans" w:eastAsia="IBM Plex Sans" w:hAnsi="IBM Plex Sans"/>
          <w:color w:val="334155"/>
          <w:sz w:val="21"/>
          <w:szCs w:val="21"/>
        </w:rPr>
        <w:t xml:space="preserve">British Association for Sexual Health and HIV (BASHH). United Kingdom National Guideline for the Management of Pelvic Inflammatory Disease (2019 Interim Update). Tersedia pada: https://www.bashh.org/_userfiles/pages/files/resources/pidupdate2019.pdf</w:t>
      </w:r>
    </w:p>
    <w:p>
      <w:pPr>
        <w:pStyle w:val="ListParagraph"/>
        <w:numPr>
          <w:ilvl w:val="0"/>
          <w:numId w:val="3"/>
        </w:numPr>
        <w:spacing w:after="80" w:line="264"/>
      </w:pPr>
      <w:r>
        <w:rPr>
          <w:rFonts w:ascii="IBM Plex Sans" w:cs="IBM Plex Sans" w:eastAsia="IBM Plex Sans" w:hAnsi="IBM Plex Sans"/>
          <w:color w:val="334155"/>
          <w:sz w:val="21"/>
          <w:szCs w:val="21"/>
        </w:rPr>
        <w:t xml:space="preserve">American College of Obstetricians and Gynecologists. FAQs: Pelvic Inflammatory Disease (PID). Tersedia pada: https://www.acog.org/womens-health/faqs/pelvic-inflammatory-disease</w:t>
      </w:r>
    </w:p>
    <w:p>
      <w:pPr>
        <w:pStyle w:val="ListParagraph"/>
        <w:numPr>
          <w:ilvl w:val="0"/>
          <w:numId w:val="3"/>
        </w:numPr>
        <w:spacing w:after="80" w:line="264"/>
      </w:pPr>
      <w:r>
        <w:rPr>
          <w:rFonts w:ascii="IBM Plex Sans" w:cs="IBM Plex Sans" w:eastAsia="IBM Plex Sans" w:hAnsi="IBM Plex Sans"/>
          <w:color w:val="334155"/>
          <w:sz w:val="21"/>
          <w:szCs w:val="21"/>
        </w:rPr>
        <w:t xml:space="preserve">European Medicines Agency. Disabling and Potentially Permanent Side Effects Lead to Suspension or Restrictions of Quinolone and Fluoroquinolone Antibiotics. 2019. Tersedia pada: https://www.ema.europa.eu/en/news/disabling-potentially-permanent-side-effects-lead-suspension-or-restrictions-quinolone-fluoroquinolone-antibiotics</w:t>
      </w:r>
    </w:p>
    <w:p>
      <w:pPr>
        <w:spacing w:after="80"/>
      </w:pPr>
    </w:p>
    <w:p>
      <w:pPr>
        <w:pStyle w:val="Heading1"/>
        <w:pBdr>
          <w:bottom w:val="single" w:color="B45309" w:sz="8" w:space="4"/>
        </w:pBdr>
        <w:spacing w:after="160" w:before="300"/>
      </w:pPr>
      <w:r>
        <w:rPr>
          <w:rFonts w:ascii="Source Serif 4" w:cs="Source Serif 4" w:eastAsia="Source Serif 4" w:hAnsi="Source Serif 4"/>
          <w:b/>
          <w:bCs/>
          <w:color w:val="3730A3"/>
          <w:sz w:val="30"/>
          <w:szCs w:val="30"/>
        </w:rPr>
        <w:t xml:space="preserve">14. Glosarium</w:t>
      </w:r>
    </w:p>
    <w:p>
      <w:pPr>
        <w:spacing w:after="160" w:line="276"/>
      </w:pPr>
      <w:r>
        <w:rPr>
          <w:rFonts w:ascii="IBM Plex Sans" w:cs="IBM Plex Sans" w:eastAsia="IBM Plex Sans" w:hAnsi="IBM Plex Sans"/>
          <w:color w:val="334155"/>
          <w:sz w:val="21"/>
          <w:szCs w:val="21"/>
        </w:rPr>
        <w:t xml:space="preserve">Daftar istilah berikut disusun untuk membantu pembaca memahami terminologi teknis yang digunakan dalam PPK ini.</w:t>
      </w:r>
    </w:p>
    <w:tbl>
      <w:tblPr>
        <w:tblW w:type="dxa" w:w="9020"/>
        <w:tblBorders>
          <w:top w:val="single" w:color="C7D2FE" w:sz="2"/>
          <w:left w:val="single" w:color="C7D2FE" w:sz="2"/>
          <w:bottom w:val="single" w:color="C7D2FE" w:sz="2"/>
          <w:right w:val="single" w:color="C7D2FE" w:sz="2"/>
          <w:insideH w:val="single" w:color="C7D2FE" w:sz="2"/>
          <w:insideV w:val="single" w:color="C7D2FE" w:sz="2"/>
        </w:tblBorders>
      </w:tblPr>
      <w:tblGrid>
        <w:gridCol w:w="4510"/>
        <w:gridCol w:w="4510"/>
      </w:tblGrid>
      <w:tr>
        <w:trPr>
          <w:tblHeader/>
        </w:trPr>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Istilah</w:t>
            </w:r>
          </w:p>
        </w:tc>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Penjelasan</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Adneksa (adnexa)</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Struktur di sekitar uterus, meliputi tuba fallopii dan ovarium beserta jaringan penyangganya.</w:t>
            </w:r>
          </w:p>
        </w:tc>
      </w:tr>
      <w:tr>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Cervical motion tenderness (nyeri goyang serviks)</w:t>
            </w:r>
          </w:p>
        </w:tc>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yang timbul saat serviks digerakkan pada pemeriksaan bimanual; salah satu tanda kunci kriteria minimal diagnosis PID.</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Dispareunia</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yang dirasakan saat atau setelah hubungan seksual.</w:t>
            </w:r>
          </w:p>
        </w:tc>
      </w:tr>
      <w:tr>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Dismenore sekunder</w:t>
            </w:r>
          </w:p>
        </w:tc>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haid yang timbul akibat kelainan organik yang mendasari, berbeda dari nyeri haid primer tanpa kelainan organik.</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Empiris (terapi empiris)</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Pemberian terapi berdasarkan diagnosis klinis sebelum atau tanpa menunggu hasil konfirmasi laboratorium, karena penundaan terapi berisiko memperburuk luaran.</w:t>
            </w:r>
          </w:p>
        </w:tc>
      </w:tr>
      <w:tr>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Endometritis</w:t>
            </w:r>
          </w:p>
        </w:tc>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Peradangan pada lapisan dalam rahim (endometrium).</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Fitz-Hugh-Curtis syndrome</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Perihepatitis (peradangan kapsul hati) yang menyertai sebagian kasus PID, ditandai nyeri kuadran kanan atas.</w:t>
            </w:r>
          </w:p>
        </w:tc>
      </w:tr>
      <w:tr>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Nucleic Acid Amplification Test (NAAT)</w:t>
            </w:r>
          </w:p>
        </w:tc>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Metode pemeriksaan laboratorium berbasis amplifikasi materi genetik untuk mendeteksi patogen seperti N. gonorrhoeae dan C. trachomatis dengan sensitivitas tinggi.</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Positive predictive value (nilai duga positif)</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Proporsi hasil diagnosis positif yang benar-benar mencerminkan adanya penyakit, dibandingkan dengan baku emas diagnostik (misalnya laparoskopi untuk PID).</w:t>
            </w:r>
          </w:p>
        </w:tc>
      </w:tr>
      <w:tr>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Salpingitis</w:t>
            </w:r>
          </w:p>
        </w:tc>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Peradangan pada tuba fallopii, salah satu komponen spektrum PID.</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Sekuel (sequelae)</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 lanjutan atau komplikasi jangka panjang yang timbul akibat suatu penyakit, misalnya infertilitas tuba pascainfeksi PID.</w:t>
            </w:r>
          </w:p>
        </w:tc>
      </w:tr>
      <w:tr>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Tubo-ovarian abscess (abses tubo-ovarium)</w:t>
            </w:r>
          </w:p>
        </w:tc>
        <w:tc>
          <w:tcPr>
            <w:tcW w:type="dxa" w:w="451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Kumpulan nanah yang melibatkan tuba fallopii dan ovarium; menandakan PID dengan komplikasi yang memerlukan tata laksana rawat inap.</w:t>
            </w:r>
          </w:p>
        </w:tc>
      </w:tr>
      <w:tr>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Wet mount (mikroskopis basah)</w:t>
            </w:r>
          </w:p>
        </w:tc>
        <w:tc>
          <w:tcPr>
            <w:tcW w:type="dxa" w:w="451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Pemeriksaan mikroskopis langsung terhadap sediaan cairan vagina dalam larutan salin untuk menilai jumlah leukosit dan mikroorganisme.</w:t>
            </w:r>
          </w:p>
        </w:tc>
      </w:tr>
    </w:tbl>
    <w:p>
      <w:pPr>
        <w:spacing w:after="200"/>
      </w:pPr>
    </w:p>
    <w:p>
      <w:pPr>
        <w:pBdr>
          <w:top w:val="single" w:color="C7D2FE" w:sz="4" w:space="8"/>
        </w:pBdr>
        <w:spacing w:before="400"/>
      </w:pPr>
      <w:r>
        <w:rPr>
          <w:rFonts w:ascii="IBM Plex Mono" w:cs="IBM Plex Mono" w:eastAsia="IBM Plex Mono" w:hAnsi="IBM Plex Mono"/>
          <w:color w:val="64748B"/>
          <w:sz w:val="16"/>
          <w:szCs w:val="16"/>
        </w:rPr>
        <w:t xml:space="preserve">PPK-044 — Dokumen 44 dari 73  |  ← PPK No. 43 Servisitis (Cervicitis)   |   PPK No. 45 Kista dan Abses Bartholin →</w:t>
      </w:r>
    </w:p>
    <w:p>
      <w:pPr>
        <w:spacing w:before="120"/>
      </w:pPr>
      <w:r>
        <w:rPr>
          <w:rFonts w:ascii="IBM Plex Mono" w:cs="IBM Plex Mono" w:eastAsia="IBM Plex Mono" w:hAnsi="IBM Plex Mono"/>
          <w:color w:val="64748B"/>
          <w:sz w:val="14"/>
          <w:szCs w:val="14"/>
        </w:rPr>
        <w:t xml:space="preserve">Penulis: Dr.dr. Budi Siswanto, Sp.OG., Subsp.Obginsos., SH., S.Kom.  |  Diterbitkan oleh Perpustakaan Digital ABBA, Jl. Kerinci Raya No. 9, Malang 65138</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4"/>
        <w:szCs w:val="14"/>
      </w:rPr>
      <w:t xml:space="preserve">Halaman </w:t>
    </w:r>
    <w:r>
      <w:rPr>
        <w:rFonts w:ascii="IBM Plex Mono" w:cs="IBM Plex Mono" w:eastAsia="IBM Plex Mono" w:hAnsi="IBM Plex Mono"/>
        <w:color w:val="64748B"/>
        <w:sz w:val="14"/>
        <w:szCs w:val="14"/>
      </w:rPr>
      <w:fldChar w:fldCharType="begin"/>
      <w:instrText xml:space="preserve">PAGE</w:instrText>
      <w:fldChar w:fldCharType="separate"/>
      <w:fldChar w:fldCharType="end"/>
    </w:r>
    <w:r>
      <w:rPr>
        <w:rFonts w:ascii="IBM Plex Mono" w:cs="IBM Plex Mono" w:eastAsia="IBM Plex Mono" w:hAnsi="IBM Plex Mono"/>
        <w:color w:val="64748B"/>
        <w:sz w:val="14"/>
        <w:szCs w:val="14"/>
      </w:rPr>
      <w:t xml:space="preserve"> dari </w:t>
    </w:r>
    <w:r>
      <w:rPr>
        <w:rFonts w:ascii="IBM Plex Mono" w:cs="IBM Plex Mono" w:eastAsia="IBM Plex Mono" w:hAnsi="IBM Plex Mono"/>
        <w:color w:val="64748B"/>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FE" w:sz="4" w:space="4"/>
      </w:pBdr>
      <w:jc w:val="right"/>
    </w:pPr>
    <w:r>
      <w:rPr>
        <w:rFonts w:ascii="IBM Plex Mono" w:cs="IBM Plex Mono" w:eastAsia="IBM Plex Mono" w:hAnsi="IBM Plex Mono"/>
        <w:color w:val="64748B"/>
        <w:sz w:val="14"/>
        <w:szCs w:val="14"/>
      </w:rPr>
      <w:t xml:space="preserve">PPK-044 — Penyakit Radang Panggul Tanpa Komplikasi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04" w:hanging="288"/>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PPK-044 — Penyakit Radang Panggul Tanpa Komplikasi</dc:title>
  <dc:subject>Penyakit Radang Panggul Tanpa Komplikasi</dc:subject>
  <dc:creator>Dr.dr. Budi Siswanto, Sp.OG., Subsp.Obginsos., SH., S.Kom.</dc:creator>
  <dc:description>Panduan Praktik Klinis PPK-044: Penyakit Radang Panggul Tanpa Komplikasi (Pelvic Inflammatory Disease Without Complication)</dc:description>
  <cp:lastModifiedBy>Un-named</cp:lastModifiedBy>
  <cp:revision>1</cp:revision>
  <dcterms:created xsi:type="dcterms:W3CDTF">2026-08-18T10:04:50.528Z</dcterms:created>
  <dcterms:modified xsi:type="dcterms:W3CDTF">2026-08-18T10:04:50.541Z</dcterms:modified>
</cp:coreProperties>
</file>

<file path=docProps/custom.xml><?xml version="1.0" encoding="utf-8"?>
<Properties xmlns="http://schemas.openxmlformats.org/officeDocument/2006/custom-properties" xmlns:vt="http://schemas.openxmlformats.org/officeDocument/2006/docPropsVTypes"/>
</file>