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pPr>
      <w:r>
        <w:rPr>
          <w:rFonts w:ascii="IBM Plex Mono" w:cs="IBM Plex Mono" w:eastAsia="IBM Plex Mono" w:hAnsi="IBM Plex Mono"/>
          <w:b/>
          <w:bCs/>
          <w:color w:val="B45309"/>
          <w:sz w:val="20"/>
          <w:szCs w:val="20"/>
        </w:rPr>
        <w:t xml:space="preserve">PANDUAN PRAKTIK KLINIS</w:t>
      </w:r>
    </w:p>
    <w:p>
      <w:pPr>
        <w:spacing w:after="80"/>
      </w:pPr>
      <w:r>
        <w:rPr>
          <w:rFonts w:ascii="IBM Plex Mono" w:cs="IBM Plex Mono" w:eastAsia="IBM Plex Mono" w:hAnsi="IBM Plex Mono"/>
          <w:color w:val="334155"/>
          <w:sz w:val="20"/>
          <w:szCs w:val="20"/>
        </w:rPr>
        <w:t xml:space="preserve">PPK No. 46 dari 73</w:t>
      </w:r>
    </w:p>
    <w:p>
      <w:pPr>
        <w:spacing w:after="60" w:before="260"/>
      </w:pPr>
      <w:r>
        <w:rPr>
          <w:rFonts w:ascii="Source Serif 4" w:cs="Source Serif 4" w:eastAsia="Source Serif 4" w:hAnsi="Source Serif 4"/>
          <w:b/>
          <w:bCs/>
          <w:color w:val="3730A3"/>
          <w:sz w:val="56"/>
          <w:szCs w:val="56"/>
        </w:rPr>
        <w:t xml:space="preserve">Infeksi Daerah Operasi</w:t>
      </w:r>
    </w:p>
    <w:p>
      <w:pPr>
        <w:spacing w:after="240"/>
      </w:pPr>
      <w:r>
        <w:rPr>
          <w:rFonts w:ascii="Source Serif 4" w:cs="Source Serif 4" w:eastAsia="Source Serif 4" w:hAnsi="Source Serif 4"/>
          <w:i/>
          <w:iCs/>
          <w:color w:val="B45309"/>
          <w:sz w:val="30"/>
          <w:szCs w:val="30"/>
        </w:rPr>
        <w:t xml:space="preserve">Surgical Site Infection</w:t>
      </w:r>
    </w:p>
    <w:p>
      <w:pPr>
        <w:spacing w:after="60"/>
      </w:pPr>
      <w:r>
        <w:rPr>
          <w:rFonts w:ascii="IBM Plex Mono" w:cs="IBM Plex Mono" w:eastAsia="IBM Plex Mono" w:hAnsi="IBM Plex Mono"/>
          <w:color w:val="334155"/>
          <w:sz w:val="22"/>
          <w:szCs w:val="22"/>
        </w:rPr>
        <w:t xml:space="preserve">ICD-10 T81.4   ·   ICD-11 NE81.2</w:t>
      </w:r>
    </w:p>
    <w:p>
      <w:pPr>
        <w:spacing w:after="400"/>
      </w:pPr>
      <w:r>
        <w:rPr>
          <w:rFonts w:ascii="IBM Plex Sans" w:cs="IBM Plex Sans" w:eastAsia="IBM Plex Sans" w:hAnsi="IBM Plex Sans"/>
          <w:i/>
          <w:iCs/>
          <w:color w:val="334155"/>
          <w:sz w:val="21"/>
          <w:szCs w:val="21"/>
        </w:rPr>
        <w:t xml:space="preserve">Infeksi pasca-operasi ginekologi/obstetri</w:t>
      </w:r>
    </w:p>
    <w:tbl>
      <w:tblPr>
        <w:tblW w:type="dxa" w:w="9360"/>
        <w:tblBorders>
          <w:top w:val="single" w:color="B45309" w:sz="4"/>
          <w:left w:val="single" w:color="B45309" w:sz="24"/>
          <w:bottom w:val="single" w:color="B45309" w:sz="4"/>
          <w:right w:val="single" w:color="B45309" w:sz="4"/>
          <w:insideH w:val="none" w:color="FFFFFF" w:sz="0"/>
          <w:insideV w:val="none" w:color="FFFFFF" w:sz="0"/>
        </w:tblBorders>
      </w:tblPr>
      <w:tblGrid>
        <w:gridCol w:w="100"/>
      </w:tblGrid>
      <w:tr>
        <w:tc>
          <w:tcPr>
            <w:tcW w:type="dxa" w:w="9360"/>
            <w:shd w:fill="FEF3E2" w:val="clear"/>
            <w:tcMar>
              <w:top w:type="dxa" w:w="140"/>
              <w:left w:type="dxa" w:w="200"/>
              <w:bottom w:type="dxa" w:w="140"/>
              <w:right w:type="dxa" w:w="200"/>
            </w:tcMar>
          </w:tcPr>
          <w:p>
            <w:pPr>
              <w:spacing w:after="60"/>
            </w:pPr>
            <w:r>
              <w:rPr>
                <w:rFonts w:ascii="IBM Plex Mono" w:cs="IBM Plex Mono" w:eastAsia="IBM Plex Mono" w:hAnsi="IBM Plex Mono"/>
                <w:b/>
                <w:bCs/>
                <w:color w:val="B45309"/>
                <w:sz w:val="17"/>
                <w:szCs w:val="17"/>
              </w:rPr>
              <w:t xml:space="preserve">RUJUKAN SILANG</w:t>
            </w:r>
          </w:p>
          <w:p>
            <w:r>
              <w:rPr>
                <w:rFonts w:ascii="IBM Plex Sans" w:cs="IBM Plex Sans" w:eastAsia="IBM Plex Sans" w:hAnsi="IBM Plex Sans"/>
                <w:color w:val="1E293B"/>
                <w:sz w:val="20"/>
                <w:szCs w:val="20"/>
              </w:rPr>
              <w:t xml:space="preserve">PPK ini merupakan turunan operasional dari Bab Infeksi Pascabedah Ginekologi dan Obstetri, Buku Tematik B6 — Ginekologi Umum dan Infeksi Saluran Reproduksi, dan disusun berdasarkan entri diagnosis No. 46 Tabel 7 Keputusan Ketua Konsil Kesehatan Indonesia No. HK.01.02/KKI/1318/2026. Divisi pengampu: Obstetri Ginekologi Sosial.</w:t>
            </w:r>
          </w:p>
        </w:tc>
      </w:tr>
    </w:tbl>
    <w:p>
      <w:pPr>
        <w:spacing w:before="500"/>
      </w:pPr>
    </w:p>
    <w:p>
      <w:pPr>
        <w:spacing w:after="20"/>
      </w:pPr>
      <w:r>
        <w:rPr>
          <w:rFonts w:ascii="IBM Plex Mono" w:cs="IBM Plex Mono" w:eastAsia="IBM Plex Mono" w:hAnsi="IBM Plex Mono"/>
          <w:color w:val="334155"/>
          <w:sz w:val="16"/>
          <w:szCs w:val="16"/>
        </w:rPr>
        <w:t xml:space="preserve">Penulis</w:t>
      </w:r>
    </w:p>
    <w:p>
      <w:pPr>
        <w:spacing w:after="100"/>
      </w:pPr>
      <w:r>
        <w:rPr>
          <w:rFonts w:ascii="IBM Plex Sans" w:cs="IBM Plex Sans" w:eastAsia="IBM Plex Sans" w:hAnsi="IBM Plex Sans"/>
          <w:b/>
          <w:bCs/>
          <w:color w:val="1E293B"/>
          <w:sz w:val="21"/>
          <w:szCs w:val="21"/>
        </w:rPr>
        <w:t xml:space="preserve">Dr.dr. Budi Siswanto, Sp.OG., Subsp.Obginsos., SH., S.Kom.</w:t>
      </w:r>
    </w:p>
    <w:p>
      <w:r>
        <w:rPr>
          <w:rFonts w:ascii="IBM Plex Mono" w:cs="IBM Plex Mono" w:eastAsia="IBM Plex Mono" w:hAnsi="IBM Plex Mono"/>
          <w:color w:val="334155"/>
          <w:sz w:val="16"/>
          <w:szCs w:val="16"/>
        </w:rPr>
        <w:t xml:space="preserve">Perpustakaan Digital ABBA   ·   Jl. Kerinci Raya No. 9, Malang 65138   ·   Agustus 2026</w:t>
      </w:r>
    </w:p>
    <w:p>
      <w:r>
        <w:br w:type="page"/>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1. Pengertian/Definisi</w:t>
      </w:r>
    </w:p>
    <w:p>
      <w:pPr>
        <w:spacing w:after="160" w:line="300"/>
      </w:pPr>
      <w:r>
        <w:rPr>
          <w:rFonts w:ascii="IBM Plex Sans" w:cs="IBM Plex Sans" w:eastAsia="IBM Plex Sans" w:hAnsi="IBM Plex Sans"/>
          <w:color w:val="1E293B"/>
          <w:sz w:val="21"/>
          <w:szCs w:val="21"/>
        </w:rPr>
        <w:t xml:space="preserve">Infeksi daerah operasi (IDO) — surgical site infection (SSI) — adalah infeksi yang terjadi pada tempat pembedahan dalam kurun waktu 30 hari pascaoperasi, atau hingga 90 hari apabila terpasang implan, sesuai keterangan resmi pada entri diagnosis Tabel 7 Kepkonsil.</w:t>
      </w:r>
    </w:p>
    <w:p>
      <w:pPr>
        <w:spacing w:after="160" w:line="300"/>
      </w:pPr>
      <w:r>
        <w:rPr>
          <w:rFonts w:ascii="IBM Plex Sans" w:cs="IBM Plex Sans" w:eastAsia="IBM Plex Sans" w:hAnsi="IBM Plex Sans"/>
          <w:color w:val="1E293B"/>
          <w:sz w:val="21"/>
          <w:szCs w:val="21"/>
        </w:rPr>
        <w:t xml:space="preserve">Berdasarkan kedalaman jaringan yang terlibat, IDO diklasifikasikan menjadi tiga kategori menurut definisi surveilans National Healthcare Safety Network (NHSN) Centers for Disease Control and Prevention (CDC) Amerika Serikat, yang diadopsi secara luas dalam pedoman internasional termasuk oleh Organisasi Kesehatan Dunia (World Health Organization/WHO): (a) infeksi superfisial insisional (superficial incisional) — terbatas pada kulit dan jaringan subkutan; (b) infeksi profunda insisional (deep incisional) — melibatkan fasia dan/atau lapisan otot; dan (c) infeksi organ/rongga (organ/space) — melibatkan struktur anatomis yang dibuka atau dimanipulasi selama pembedahan, misalnya rongga pelvis atau kavum abdomen pascalaparotomi/laparoskopi ginekologi-obstetri.</w:t>
      </w:r>
    </w:p>
    <w:p>
      <w:pPr>
        <w:spacing w:after="160" w:line="300"/>
      </w:pPr>
      <w:r>
        <w:rPr>
          <w:rFonts w:ascii="IBM Plex Sans" w:cs="IBM Plex Sans" w:eastAsia="IBM Plex Sans" w:hAnsi="IBM Plex Sans"/>
          <w:color w:val="1E293B"/>
          <w:sz w:val="21"/>
          <w:szCs w:val="21"/>
        </w:rPr>
        <w:t xml:space="preserve">Secara patogenesis, IDO umumnya berasal dari kontaminasi lapangan operasi oleh flora kulit pasien (terutama Staphylococcus aureus dan stafilokokus koagulase-negatif) pada infeksi insisional, atau oleh flora endogen saluran genital/gastrointestinal (basil Gram negatif dan kuman anaerob) pada infeksi organ/rongga yang melibatkan rongga pelvis atau abdomen.</w:t>
      </w:r>
    </w:p>
    <w:p>
      <w:pPr>
        <w:spacing w:after="160" w:line="300"/>
      </w:pPr>
      <w:r>
        <w:rPr>
          <w:rFonts w:ascii="IBM Plex Sans" w:cs="IBM Plex Sans" w:eastAsia="IBM Plex Sans" w:hAnsi="IBM Plex Sans"/>
          <w:color w:val="1E293B"/>
          <w:sz w:val="21"/>
          <w:szCs w:val="21"/>
        </w:rPr>
        <w:t xml:space="preserve">Pada praktik obstetri dan ginekologi, IDO paling sering dijumpai pascaseksio sesarea, histerektomi, laparotomi ginekologi, dan prosedur perineum/episiotomi. World Health Organization mencatat bahwa secara global, infeksi daerah operasi memengaruhi hingga sepertiga pasien yang menjalani pembedahan di negara berpenghasilan rendah dan menengah, dan tetap menjadi salah satu jenis infeksi terkait layanan kesehatan yang paling sering ditemukan di negara berpenghasilan tinggi.</w:t>
      </w:r>
    </w:p>
    <w:p>
      <w:pPr>
        <w:spacing w:after="160" w:line="300"/>
      </w:pPr>
      <w:r>
        <w:rPr>
          <w:rFonts w:ascii="IBM Plex Sans" w:cs="IBM Plex Sans" w:eastAsia="IBM Plex Sans" w:hAnsi="IBM Plex Sans"/>
          <w:color w:val="1E293B"/>
          <w:sz w:val="21"/>
          <w:szCs w:val="21"/>
        </w:rPr>
        <w:t xml:space="preserve">[DATA: rujuk laporan/registri resmi terbaru — mis. Kemenkes, POGI, atau data surveilans Pencegahan dan Pengendalian Infeksi (PPI) rumah sakit setempat — untuk angka insidens IDO spesifik pada populasi obstetri-ginekologi di Indonesia, karena angka tersebut belum tercantum eksplisit pada Kepkonsil.]</w:t>
      </w:r>
    </w:p>
    <w:p>
      <w:pPr>
        <w:spacing w:after="120"/>
      </w:pPr>
    </w:p>
    <w:tbl>
      <w:tblPr>
        <w:tblW w:type="dxa" w:w="9360"/>
        <w:tblBorders>
          <w:top w:val="single" w:color="B45309" w:sz="4"/>
          <w:left w:val="single" w:color="B45309" w:sz="24"/>
          <w:bottom w:val="single" w:color="B45309" w:sz="4"/>
          <w:right w:val="single" w:color="B45309" w:sz="4"/>
          <w:insideH w:val="none" w:color="FFFFFF" w:sz="0"/>
          <w:insideV w:val="none" w:color="FFFFFF" w:sz="0"/>
        </w:tblBorders>
      </w:tblPr>
      <w:tblGrid>
        <w:gridCol w:w="100"/>
      </w:tblGrid>
      <w:tr>
        <w:tc>
          <w:tcPr>
            <w:tcW w:type="dxa" w:w="9360"/>
            <w:shd w:fill="FEF3E2" w:val="clear"/>
            <w:tcMar>
              <w:top w:type="dxa" w:w="140"/>
              <w:left w:type="dxa" w:w="200"/>
              <w:bottom w:type="dxa" w:w="140"/>
              <w:right w:type="dxa" w:w="200"/>
            </w:tcMar>
          </w:tcPr>
          <w:p>
            <w:pPr>
              <w:spacing w:after="60"/>
            </w:pPr>
            <w:r>
              <w:rPr>
                <w:rFonts w:ascii="IBM Plex Mono" w:cs="IBM Plex Mono" w:eastAsia="IBM Plex Mono" w:hAnsi="IBM Plex Mono"/>
                <w:b/>
                <w:bCs/>
                <w:color w:val="B45309"/>
                <w:sz w:val="17"/>
                <w:szCs w:val="17"/>
              </w:rPr>
              <w:t xml:space="preserve">DASAR REGULASI</w:t>
            </w:r>
          </w:p>
          <w:p>
            <w:r>
              <w:rPr>
                <w:rFonts w:ascii="IBM Plex Sans" w:cs="IBM Plex Sans" w:eastAsia="IBM Plex Sans" w:hAnsi="IBM Plex Sans"/>
                <w:color w:val="1E293B"/>
                <w:sz w:val="20"/>
                <w:szCs w:val="20"/>
              </w:rPr>
              <w:t xml:space="preserve">Tabel 7 No. 46 Kepkonsil HK.01.02/KKI/1318/2026: "Infeksi daerah operasi / Surgical site infection" — ICD-10 T81.4; ICD-11 NE81.2; Keterangan/Populasi: infeksi pasca-operasi ginekologi/obstetri.</w:t>
            </w:r>
          </w:p>
        </w:tc>
      </w:tr>
    </w:tbl>
    <w:p>
      <w:pPr>
        <w:spacing w:after="120"/>
      </w:pP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2. Anamnesis</w:t>
      </w:r>
    </w:p>
    <w:p>
      <w:pPr>
        <w:spacing w:after="160" w:line="300"/>
      </w:pPr>
      <w:r>
        <w:rPr>
          <w:rFonts w:ascii="IBM Plex Sans" w:cs="IBM Plex Sans" w:eastAsia="IBM Plex Sans" w:hAnsi="IBM Plex Sans"/>
          <w:color w:val="1E293B"/>
          <w:sz w:val="21"/>
          <w:szCs w:val="21"/>
        </w:rPr>
        <w:t xml:space="preserve">Anamnesis diarahkan pada riwayat prosedur bedah terkini (jenis operasi, tanggal, indikasi, kondisi intraoperatif seperti derajat kontaminasi luka) dan keluhan pascaoperasi yang mengarah pada infeksi.</w:t>
      </w:r>
    </w:p>
    <w:p>
      <w:pPr>
        <w:spacing w:after="160" w:line="300"/>
      </w:pPr>
      <w:r>
        <w:rPr>
          <w:rFonts w:ascii="IBM Plex Sans" w:cs="IBM Plex Sans" w:eastAsia="IBM Plex Sans" w:hAnsi="IBM Plex Sans"/>
          <w:color w:val="1E293B"/>
          <w:sz w:val="21"/>
          <w:szCs w:val="21"/>
        </w:rPr>
        <w:t xml:space="preserve">Keluhan yang ditanyakan secara terarah:</w:t>
      </w:r>
    </w:p>
    <w:p>
      <w:pPr>
        <w:pStyle w:val="ListParagraph"/>
        <w:numPr>
          <w:ilvl w:val="0"/>
          <w:numId w:val="2"/>
        </w:numPr>
        <w:spacing w:after="90" w:line="290"/>
      </w:pPr>
      <w:r>
        <w:rPr>
          <w:rFonts w:ascii="IBM Plex Sans" w:cs="IBM Plex Sans" w:eastAsia="IBM Plex Sans" w:hAnsi="IBM Plex Sans"/>
          <w:color w:val="1E293B"/>
          <w:sz w:val="21"/>
          <w:szCs w:val="21"/>
        </w:rPr>
        <w:t xml:space="preserve">Nyeri pada luka operasi yang bertambah berat atau tidak membaik sesuai perjalanan penyembuhan normal.</w:t>
      </w:r>
    </w:p>
    <w:p>
      <w:pPr>
        <w:pStyle w:val="ListParagraph"/>
        <w:numPr>
          <w:ilvl w:val="0"/>
          <w:numId w:val="2"/>
        </w:numPr>
        <w:spacing w:after="90" w:line="290"/>
      </w:pPr>
      <w:r>
        <w:rPr>
          <w:rFonts w:ascii="IBM Plex Sans" w:cs="IBM Plex Sans" w:eastAsia="IBM Plex Sans" w:hAnsi="IBM Plex Sans"/>
          <w:color w:val="1E293B"/>
          <w:sz w:val="21"/>
          <w:szCs w:val="21"/>
        </w:rPr>
        <w:t xml:space="preserve">Demam, menggigil, atau rasa tidak enak badan sistemik sejak hari-hari pascaoperasi.</w:t>
      </w:r>
    </w:p>
    <w:p>
      <w:pPr>
        <w:pStyle w:val="ListParagraph"/>
        <w:numPr>
          <w:ilvl w:val="0"/>
          <w:numId w:val="2"/>
        </w:numPr>
        <w:spacing w:after="90" w:line="290"/>
      </w:pPr>
      <w:r>
        <w:rPr>
          <w:rFonts w:ascii="IBM Plex Sans" w:cs="IBM Plex Sans" w:eastAsia="IBM Plex Sans" w:hAnsi="IBM Plex Sans"/>
          <w:color w:val="1E293B"/>
          <w:sz w:val="21"/>
          <w:szCs w:val="21"/>
        </w:rPr>
        <w:t xml:space="preserve">Keluarnya cairan dari luka — serosa, purulen, atau berbau — beserta perubahan warna dan volume.</w:t>
      </w:r>
    </w:p>
    <w:p>
      <w:pPr>
        <w:pStyle w:val="ListParagraph"/>
        <w:numPr>
          <w:ilvl w:val="0"/>
          <w:numId w:val="2"/>
        </w:numPr>
        <w:spacing w:after="90" w:line="290"/>
      </w:pPr>
      <w:r>
        <w:rPr>
          <w:rFonts w:ascii="IBM Plex Sans" w:cs="IBM Plex Sans" w:eastAsia="IBM Plex Sans" w:hAnsi="IBM Plex Sans"/>
          <w:color w:val="1E293B"/>
          <w:sz w:val="21"/>
          <w:szCs w:val="21"/>
        </w:rPr>
        <w:t xml:space="preserve">Kemerahan, bengkak, atau teraba hangat di sekitar luka yang meluas.</w:t>
      </w:r>
    </w:p>
    <w:p>
      <w:pPr>
        <w:pStyle w:val="ListParagraph"/>
        <w:numPr>
          <w:ilvl w:val="0"/>
          <w:numId w:val="2"/>
        </w:numPr>
        <w:spacing w:after="90" w:line="290"/>
      </w:pPr>
      <w:r>
        <w:rPr>
          <w:rFonts w:ascii="IBM Plex Sans" w:cs="IBM Plex Sans" w:eastAsia="IBM Plex Sans" w:hAnsi="IBM Plex Sans"/>
          <w:color w:val="1E293B"/>
          <w:sz w:val="21"/>
          <w:szCs w:val="21"/>
        </w:rPr>
        <w:t xml:space="preserve">Luka yang terbuka spontan (dehisensi) atau tepi luka yang terpisah.</w:t>
      </w:r>
    </w:p>
    <w:p>
      <w:pPr>
        <w:pStyle w:val="ListParagraph"/>
        <w:numPr>
          <w:ilvl w:val="0"/>
          <w:numId w:val="2"/>
        </w:numPr>
        <w:spacing w:after="90" w:line="290"/>
      </w:pPr>
      <w:r>
        <w:rPr>
          <w:rFonts w:ascii="IBM Plex Sans" w:cs="IBM Plex Sans" w:eastAsia="IBM Plex Sans" w:hAnsi="IBM Plex Sans"/>
          <w:color w:val="1E293B"/>
          <w:sz w:val="21"/>
          <w:szCs w:val="21"/>
        </w:rPr>
        <w:t xml:space="preserve">Pada infeksi organ/rongga: nyeri perut bawah/panggul difus, distensi abdomen, mual-muntah, atau tanda ileus.</w:t>
      </w:r>
    </w:p>
    <w:p>
      <w:pPr>
        <w:spacing w:after="160" w:line="300"/>
      </w:pPr>
      <w:r>
        <w:rPr>
          <w:rFonts w:ascii="IBM Plex Sans" w:cs="IBM Plex Sans" w:eastAsia="IBM Plex Sans" w:hAnsi="IBM Plex Sans"/>
          <w:color w:val="1E293B"/>
          <w:sz w:val="21"/>
          <w:szCs w:val="21"/>
        </w:rPr>
        <w:t xml:space="preserve">Faktor risiko yang wajib digali:</w:t>
      </w:r>
    </w:p>
    <w:p>
      <w:pPr>
        <w:pStyle w:val="ListParagraph"/>
        <w:numPr>
          <w:ilvl w:val="0"/>
          <w:numId w:val="2"/>
        </w:numPr>
        <w:spacing w:after="90" w:line="290"/>
      </w:pPr>
      <w:r>
        <w:rPr>
          <w:rFonts w:ascii="IBM Plex Sans" w:cs="IBM Plex Sans" w:eastAsia="IBM Plex Sans" w:hAnsi="IBM Plex Sans"/>
          <w:color w:val="1E293B"/>
          <w:sz w:val="21"/>
          <w:szCs w:val="21"/>
        </w:rPr>
        <w:t xml:space="preserve">Diabetes melitus atau kadar gula darah tidak terkontrol.</w:t>
      </w:r>
    </w:p>
    <w:p>
      <w:pPr>
        <w:pStyle w:val="ListParagraph"/>
        <w:numPr>
          <w:ilvl w:val="0"/>
          <w:numId w:val="2"/>
        </w:numPr>
        <w:spacing w:after="90" w:line="290"/>
      </w:pPr>
      <w:r>
        <w:rPr>
          <w:rFonts w:ascii="IBM Plex Sans" w:cs="IBM Plex Sans" w:eastAsia="IBM Plex Sans" w:hAnsi="IBM Plex Sans"/>
          <w:color w:val="1E293B"/>
          <w:sz w:val="21"/>
          <w:szCs w:val="21"/>
        </w:rPr>
        <w:t xml:space="preserve">Obesitas (indeks massa tubuh tinggi) dan status nutrisi (hipoalbuminemia, anemia).</w:t>
      </w:r>
    </w:p>
    <w:p>
      <w:pPr>
        <w:pStyle w:val="ListParagraph"/>
        <w:numPr>
          <w:ilvl w:val="0"/>
          <w:numId w:val="2"/>
        </w:numPr>
        <w:spacing w:after="90" w:line="290"/>
      </w:pPr>
      <w:r>
        <w:rPr>
          <w:rFonts w:ascii="IBM Plex Sans" w:cs="IBM Plex Sans" w:eastAsia="IBM Plex Sans" w:hAnsi="IBM Plex Sans"/>
          <w:color w:val="1E293B"/>
          <w:sz w:val="21"/>
          <w:szCs w:val="21"/>
        </w:rPr>
        <w:t xml:space="preserve">Riwayat imunosupresi (kortikosteroid jangka panjang, infeksi HIV, keganasan).</w:t>
      </w:r>
    </w:p>
    <w:p>
      <w:pPr>
        <w:pStyle w:val="ListParagraph"/>
        <w:numPr>
          <w:ilvl w:val="0"/>
          <w:numId w:val="2"/>
        </w:numPr>
        <w:spacing w:after="90" w:line="290"/>
      </w:pPr>
      <w:r>
        <w:rPr>
          <w:rFonts w:ascii="IBM Plex Sans" w:cs="IBM Plex Sans" w:eastAsia="IBM Plex Sans" w:hAnsi="IBM Plex Sans"/>
          <w:color w:val="1E293B"/>
          <w:sz w:val="21"/>
          <w:szCs w:val="21"/>
        </w:rPr>
        <w:t xml:space="preserve">Riwayat merokok.</w:t>
      </w:r>
    </w:p>
    <w:p>
      <w:pPr>
        <w:pStyle w:val="ListParagraph"/>
        <w:numPr>
          <w:ilvl w:val="0"/>
          <w:numId w:val="2"/>
        </w:numPr>
        <w:spacing w:after="90" w:line="290"/>
      </w:pPr>
      <w:r>
        <w:rPr>
          <w:rFonts w:ascii="IBM Plex Sans" w:cs="IBM Plex Sans" w:eastAsia="IBM Plex Sans" w:hAnsi="IBM Plex Sans"/>
          <w:color w:val="1E293B"/>
          <w:sz w:val="21"/>
          <w:szCs w:val="21"/>
        </w:rPr>
        <w:t xml:space="preserve">Karakteristik operasi: sifat emergensi, durasi operasi yang memanjang, derajat kontaminasi luka (bersih/bersih-terkontaminasi/terkontaminasi/kotor-terinfeksi), korioamnionitis, ketuban pecah dini berkepanjangan, dan perdarahan intraoperatif bermakna.</w:t>
      </w:r>
    </w:p>
    <w:p>
      <w:pPr>
        <w:pStyle w:val="ListParagraph"/>
        <w:numPr>
          <w:ilvl w:val="0"/>
          <w:numId w:val="2"/>
        </w:numPr>
        <w:spacing w:after="90" w:line="290"/>
      </w:pPr>
      <w:r>
        <w:rPr>
          <w:rFonts w:ascii="IBM Plex Sans" w:cs="IBM Plex Sans" w:eastAsia="IBM Plex Sans" w:hAnsi="IBM Plex Sans"/>
          <w:color w:val="1E293B"/>
          <w:sz w:val="21"/>
          <w:szCs w:val="21"/>
        </w:rPr>
        <w:t xml:space="preserve">Skor American Society of Anesthesiologists (ASA) kelas III atau lebih tinggi, sebagai salah satu komponen indeks risiko NHSN yang turut menentukan risiko IDO bersama kelas kontaminasi luka dan durasi operasi.</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3. Pemeriksaan Fisik</w:t>
      </w:r>
    </w:p>
    <w:p>
      <w:pPr>
        <w:spacing w:after="160" w:line="300"/>
      </w:pPr>
      <w:r>
        <w:rPr>
          <w:rFonts w:ascii="IBM Plex Sans" w:cs="IBM Plex Sans" w:eastAsia="IBM Plex Sans" w:hAnsi="IBM Plex Sans"/>
          <w:color w:val="1E293B"/>
          <w:sz w:val="21"/>
          <w:szCs w:val="21"/>
        </w:rPr>
        <w:t xml:space="preserve">Pemeriksaan fisik menilai tanda vital sistemik sekaligus status lokal luka operasi secara berurutan dan terdokumentasi.</w:t>
      </w:r>
    </w:p>
    <w:p>
      <w:pPr>
        <w:spacing w:after="160" w:line="300"/>
      </w:pPr>
      <w:r>
        <w:rPr>
          <w:rFonts w:ascii="IBM Plex Sans" w:cs="IBM Plex Sans" w:eastAsia="IBM Plex Sans" w:hAnsi="IBM Plex Sans"/>
          <w:color w:val="1E293B"/>
          <w:sz w:val="21"/>
          <w:szCs w:val="21"/>
        </w:rPr>
        <w:t xml:space="preserve">Penilaian sistemik:</w:t>
      </w:r>
    </w:p>
    <w:p>
      <w:pPr>
        <w:pStyle w:val="ListParagraph"/>
        <w:numPr>
          <w:ilvl w:val="0"/>
          <w:numId w:val="2"/>
        </w:numPr>
        <w:spacing w:after="90" w:line="290"/>
      </w:pPr>
      <w:r>
        <w:rPr>
          <w:rFonts w:ascii="IBM Plex Sans" w:cs="IBM Plex Sans" w:eastAsia="IBM Plex Sans" w:hAnsi="IBM Plex Sans"/>
          <w:color w:val="1E293B"/>
          <w:sz w:val="21"/>
          <w:szCs w:val="21"/>
        </w:rPr>
        <w:t xml:space="preserve">Suhu tubuh — demam &gt;38°C merupakan tanda kecurigaan infeksi sistemik.</w:t>
      </w:r>
    </w:p>
    <w:p>
      <w:pPr>
        <w:pStyle w:val="ListParagraph"/>
        <w:numPr>
          <w:ilvl w:val="0"/>
          <w:numId w:val="2"/>
        </w:numPr>
        <w:spacing w:after="90" w:line="290"/>
      </w:pPr>
      <w:r>
        <w:rPr>
          <w:rFonts w:ascii="IBM Plex Sans" w:cs="IBM Plex Sans" w:eastAsia="IBM Plex Sans" w:hAnsi="IBM Plex Sans"/>
          <w:color w:val="1E293B"/>
          <w:sz w:val="21"/>
          <w:szCs w:val="21"/>
        </w:rPr>
        <w:t xml:space="preserve">Takikardia dan/atau takipnea sebagai tanda respons inflamasi sistemik; bila disertai hipotensi, waspadai sepsis.</w:t>
      </w:r>
    </w:p>
    <w:p>
      <w:pPr>
        <w:spacing w:after="160" w:line="300"/>
      </w:pPr>
      <w:r>
        <w:rPr>
          <w:rFonts w:ascii="IBM Plex Sans" w:cs="IBM Plex Sans" w:eastAsia="IBM Plex Sans" w:hAnsi="IBM Plex Sans"/>
          <w:color w:val="1E293B"/>
          <w:sz w:val="21"/>
          <w:szCs w:val="21"/>
        </w:rPr>
        <w:t xml:space="preserve">Penilaian lokal luka operasi:</w:t>
      </w:r>
    </w:p>
    <w:p>
      <w:pPr>
        <w:pStyle w:val="ListParagraph"/>
        <w:numPr>
          <w:ilvl w:val="0"/>
          <w:numId w:val="2"/>
        </w:numPr>
        <w:spacing w:after="90" w:line="290"/>
      </w:pPr>
      <w:r>
        <w:rPr>
          <w:rFonts w:ascii="IBM Plex Sans" w:cs="IBM Plex Sans" w:eastAsia="IBM Plex Sans" w:hAnsi="IBM Plex Sans"/>
          <w:color w:val="1E293B"/>
          <w:sz w:val="21"/>
          <w:szCs w:val="21"/>
        </w:rPr>
        <w:t xml:space="preserve">Inspeksi: eritema, edema, indurasi meluas lebih dari 0,5 cm dari tepi luka, adanya pus, serta tanda dehisensi spontan atau luka yang dibuka oleh klinisi.</w:t>
      </w:r>
    </w:p>
    <w:p>
      <w:pPr>
        <w:pStyle w:val="ListParagraph"/>
        <w:numPr>
          <w:ilvl w:val="0"/>
          <w:numId w:val="2"/>
        </w:numPr>
        <w:spacing w:after="90" w:line="290"/>
      </w:pPr>
      <w:r>
        <w:rPr>
          <w:rFonts w:ascii="IBM Plex Sans" w:cs="IBM Plex Sans" w:eastAsia="IBM Plex Sans" w:hAnsi="IBM Plex Sans"/>
          <w:color w:val="1E293B"/>
          <w:sz w:val="21"/>
          <w:szCs w:val="21"/>
        </w:rPr>
        <w:t xml:space="preserve">Palpasi: nyeri tekan lokal, fluktuasi yang mengarah pada koleksi cairan/abses subkutan.</w:t>
      </w:r>
    </w:p>
    <w:p>
      <w:pPr>
        <w:pStyle w:val="ListParagraph"/>
        <w:numPr>
          <w:ilvl w:val="0"/>
          <w:numId w:val="2"/>
        </w:numPr>
        <w:spacing w:after="90" w:line="290"/>
      </w:pPr>
      <w:r>
        <w:rPr>
          <w:rFonts w:ascii="IBM Plex Sans" w:cs="IBM Plex Sans" w:eastAsia="IBM Plex Sans" w:hAnsi="IBM Plex Sans"/>
          <w:color w:val="1E293B"/>
          <w:sz w:val="21"/>
          <w:szCs w:val="21"/>
        </w:rPr>
        <w:t xml:space="preserve">Evaluasi kedalaman: bedakan keterlibatan kulit/subkutan (superfisial) versus fasia/otot (profunda) versus rongga tubuh (organ/space) untuk menentukan tata laksana selanjutnya.</w:t>
      </w:r>
    </w:p>
    <w:p>
      <w:pPr>
        <w:spacing w:after="160" w:line="300"/>
      </w:pPr>
      <w:r>
        <w:rPr>
          <w:rFonts w:ascii="IBM Plex Sans" w:cs="IBM Plex Sans" w:eastAsia="IBM Plex Sans" w:hAnsi="IBM Plex Sans"/>
          <w:color w:val="1E293B"/>
          <w:sz w:val="21"/>
          <w:szCs w:val="21"/>
        </w:rPr>
        <w:t xml:space="preserve">Tanda kegawatan yang wajib dikenali segera:</w:t>
      </w:r>
    </w:p>
    <w:p>
      <w:pPr>
        <w:pStyle w:val="ListParagraph"/>
        <w:numPr>
          <w:ilvl w:val="0"/>
          <w:numId w:val="2"/>
        </w:numPr>
        <w:spacing w:after="90" w:line="290"/>
      </w:pPr>
      <w:r>
        <w:rPr>
          <w:rFonts w:ascii="IBM Plex Sans" w:cs="IBM Plex Sans" w:eastAsia="IBM Plex Sans" w:hAnsi="IBM Plex Sans"/>
          <w:color w:val="1E293B"/>
          <w:sz w:val="21"/>
          <w:szCs w:val="21"/>
        </w:rPr>
        <w:t xml:space="preserve">Nyeri abdomen difus, distensi, dan tanda peritonitis pada dugaan infeksi organ/rongga pelvis-abdomen.</w:t>
      </w:r>
    </w:p>
    <w:p>
      <w:pPr>
        <w:pStyle w:val="ListParagraph"/>
        <w:numPr>
          <w:ilvl w:val="0"/>
          <w:numId w:val="2"/>
        </w:numPr>
        <w:spacing w:after="90" w:line="290"/>
      </w:pPr>
      <w:r>
        <w:rPr>
          <w:rFonts w:ascii="IBM Plex Sans" w:cs="IBM Plex Sans" w:eastAsia="IBM Plex Sans" w:hAnsi="IBM Plex Sans"/>
          <w:color w:val="1E293B"/>
          <w:sz w:val="21"/>
          <w:szCs w:val="21"/>
        </w:rPr>
        <w:t xml:space="preserve">Tanda dehisensi fasia (burst abdomen) — kegawatdaruratan bedah yang memerlukan evaluasi segera.</w:t>
      </w:r>
    </w:p>
    <w:p>
      <w:pPr>
        <w:pStyle w:val="ListParagraph"/>
        <w:numPr>
          <w:ilvl w:val="0"/>
          <w:numId w:val="2"/>
        </w:numPr>
        <w:spacing w:after="90" w:line="290"/>
      </w:pPr>
      <w:r>
        <w:rPr>
          <w:rFonts w:ascii="IBM Plex Sans" w:cs="IBM Plex Sans" w:eastAsia="IBM Plex Sans" w:hAnsi="IBM Plex Sans"/>
          <w:color w:val="1E293B"/>
          <w:sz w:val="21"/>
          <w:szCs w:val="21"/>
        </w:rPr>
        <w:t xml:space="preserve">Nyeri yang tidak sebanding dengan temuan pemeriksaan (pain out of proportion), krepitasi, atau progresi eritema yang sangat cepat — kecurigaan fasiitis nekrotikans yang memerlukan eksplorasi bedah emergensi.</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4. Kriteria Diagnosis</w:t>
      </w:r>
    </w:p>
    <w:p>
      <w:pPr>
        <w:spacing w:after="160" w:line="300"/>
      </w:pPr>
      <w:r>
        <w:rPr>
          <w:rFonts w:ascii="IBM Plex Sans" w:cs="IBM Plex Sans" w:eastAsia="IBM Plex Sans" w:hAnsi="IBM Plex Sans"/>
          <w:color w:val="1E293B"/>
          <w:sz w:val="21"/>
          <w:szCs w:val="21"/>
        </w:rPr>
        <w:t xml:space="preserve">Diagnosis IDO ditegakkan berdasarkan kriteria surveilans CDC/NHSN yang menjadi rujukan definisi operasional internasional, dengan tiga kategori kedalaman berikut.</w:t>
      </w:r>
    </w:p>
    <w:p>
      <w:pPr>
        <w:spacing w:after="120"/>
      </w:pPr>
    </w:p>
    <w:tbl>
      <w:tblPr>
        <w:tblW w:type="dxa" w:w="9360"/>
        <w:tblBorders>
          <w:top w:val="single" w:color="B45309" w:sz="4"/>
          <w:left w:val="single" w:color="B45309" w:sz="24"/>
          <w:bottom w:val="single" w:color="B45309" w:sz="4"/>
          <w:right w:val="single" w:color="B45309" w:sz="4"/>
          <w:insideH w:val="none" w:color="FFFFFF" w:sz="0"/>
          <w:insideV w:val="none" w:color="FFFFFF" w:sz="0"/>
        </w:tblBorders>
      </w:tblPr>
      <w:tblGrid>
        <w:gridCol w:w="100"/>
      </w:tblGrid>
      <w:tr>
        <w:tc>
          <w:tcPr>
            <w:tcW w:type="dxa" w:w="9360"/>
            <w:shd w:fill="FEF3E2" w:val="clear"/>
            <w:tcMar>
              <w:top w:type="dxa" w:w="140"/>
              <w:left w:type="dxa" w:w="200"/>
              <w:bottom w:type="dxa" w:w="140"/>
              <w:right w:type="dxa" w:w="200"/>
            </w:tcMar>
          </w:tcPr>
          <w:p>
            <w:pPr>
              <w:spacing w:after="60"/>
            </w:pPr>
            <w:r>
              <w:rPr>
                <w:rFonts w:ascii="IBM Plex Mono" w:cs="IBM Plex Mono" w:eastAsia="IBM Plex Mono" w:hAnsi="IBM Plex Mono"/>
                <w:b/>
                <w:bCs/>
                <w:color w:val="B45309"/>
                <w:sz w:val="17"/>
                <w:szCs w:val="17"/>
              </w:rPr>
              <w:t xml:space="preserve">KODE DIAGNOSIS</w:t>
            </w:r>
          </w:p>
          <w:p>
            <w:r>
              <w:rPr>
                <w:rFonts w:ascii="IBM Plex Sans" w:cs="IBM Plex Sans" w:eastAsia="IBM Plex Sans" w:hAnsi="IBM Plex Sans"/>
                <w:color w:val="1E293B"/>
                <w:sz w:val="20"/>
                <w:szCs w:val="20"/>
              </w:rPr>
              <w:t xml:space="preserve">ICD-10: T81.4 (Infeksi pascaprosedur / infection following a procedure); subkategori: T81.41 (superfisial), T81.42 (profunda), T81.43 (organ/rongga) — pada kasus obstetri, alternatif kode O86.0- (Infeksi luka operasi obstetri) dapat dipakai sesuai konteks. ICD-11: NE81.2 (Infeksi daerah operasi); subkategori: NE81.20 (superfisial insisional), NE81.21 (profunda insisional), NE81.22 (organ/rongga). Kode induk T81.4 dan NE81.2 telah diverifikasi terhadap Tabel 7 No. 46 Kepkonsil; subkategori kedalaman dicantumkan sebagai pengayaan operasional mengikuti standar klasifikasi ICD-10-CM/ICD-11 dan konsisten dengan kriteria CDC/NHSN pada bagian ini.</w:t>
            </w:r>
          </w:p>
        </w:tc>
      </w:tr>
    </w:tbl>
    <w:p>
      <w:pPr>
        <w:spacing w:after="120"/>
      </w:pPr>
    </w:p>
    <w:p>
      <w:pPr>
        <w:spacing w:after="160" w:line="300"/>
      </w:pPr>
      <w:r>
        <w:rPr>
          <w:rFonts w:ascii="IBM Plex Sans" w:cs="IBM Plex Sans" w:eastAsia="IBM Plex Sans" w:hAnsi="IBM Plex Sans"/>
          <w:color w:val="1E293B"/>
          <w:sz w:val="21"/>
          <w:szCs w:val="21"/>
        </w:rPr>
        <w:t xml:space="preserve">Kriteria per kategori:</w:t>
      </w:r>
    </w:p>
    <w:p>
      <w:pPr>
        <w:pStyle w:val="ListParagraph"/>
        <w:numPr>
          <w:ilvl w:val="0"/>
          <w:numId w:val="2"/>
        </w:numPr>
        <w:spacing w:after="90" w:line="290"/>
      </w:pPr>
      <w:r>
        <w:rPr>
          <w:rFonts w:ascii="IBM Plex Sans" w:cs="IBM Plex Sans" w:eastAsia="IBM Plex Sans" w:hAnsi="IBM Plex Sans"/>
          <w:color w:val="1E293B"/>
          <w:sz w:val="21"/>
          <w:szCs w:val="21"/>
        </w:rPr>
        <w:t xml:space="preserve">Infeksi superfisial insisional: terjadi dalam 30 hari pascaoperasi, mengenai kulit/subkutan, disertai salah satu dari — drainase purulen dari insisi; organisme diisolasi dari kultur cairan/jaringan yang diambil secara aseptik; atau tanda/gejala infeksi (nyeri, bengkak lokal, eritema, hangat) disertai insisi yang sengaja dibuka klinisi atau dehisensi spontan (kecuali kultur negatif).</w:t>
      </w:r>
    </w:p>
    <w:p>
      <w:pPr>
        <w:pStyle w:val="ListParagraph"/>
        <w:numPr>
          <w:ilvl w:val="0"/>
          <w:numId w:val="2"/>
        </w:numPr>
        <w:spacing w:after="90" w:line="290"/>
      </w:pPr>
      <w:r>
        <w:rPr>
          <w:rFonts w:ascii="IBM Plex Sans" w:cs="IBM Plex Sans" w:eastAsia="IBM Plex Sans" w:hAnsi="IBM Plex Sans"/>
          <w:color w:val="1E293B"/>
          <w:sz w:val="21"/>
          <w:szCs w:val="21"/>
        </w:rPr>
        <w:t xml:space="preserve">Infeksi profunda insisional: melibatkan fasia dan/atau otot, dengan drainase purulen dari lapisan dalam insisi, dehisensi spontan atau sengaja dibuka disertai demam &gt;38°C atau nyeri lokal, atau ditemukan abses pada pemeriksaan langsung/reoperasi/pencitraan/histopatologi.</w:t>
      </w:r>
    </w:p>
    <w:p>
      <w:pPr>
        <w:pStyle w:val="ListParagraph"/>
        <w:numPr>
          <w:ilvl w:val="0"/>
          <w:numId w:val="2"/>
        </w:numPr>
        <w:spacing w:after="90" w:line="290"/>
      </w:pPr>
      <w:r>
        <w:rPr>
          <w:rFonts w:ascii="IBM Plex Sans" w:cs="IBM Plex Sans" w:eastAsia="IBM Plex Sans" w:hAnsi="IBM Plex Sans"/>
          <w:color w:val="1E293B"/>
          <w:sz w:val="21"/>
          <w:szCs w:val="21"/>
        </w:rPr>
        <w:t xml:space="preserve">Infeksi organ/rongga: melibatkan struktur anatomis yang dibuka/dimanipulasi saat operasi (mis. kavum peritoneum, rongga pelvis), dengan drainase purulen dari drain yang dipasang ke organ/rongga tersebut, organisme diisolasi dari kultur aseptik cairan/jaringan organ/rongga, atau abses/tanda infeksi ditemukan pada pemeriksaan langsung/reoperasi/pencitraan/histopatologi.</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5. Diagnosis Kerja dan Diagnosis Banding</w:t>
      </w:r>
    </w:p>
    <w:p>
      <w:pPr>
        <w:spacing w:after="160" w:line="300"/>
      </w:pPr>
      <w:r>
        <w:rPr>
          <w:rFonts w:ascii="IBM Plex Sans" w:cs="IBM Plex Sans" w:eastAsia="IBM Plex Sans" w:hAnsi="IBM Plex Sans"/>
          <w:color w:val="1E293B"/>
          <w:sz w:val="21"/>
          <w:szCs w:val="21"/>
        </w:rPr>
        <w:t xml:space="preserve">Diagnosis kerja: Infeksi daerah operasi (superfisial insisional / profunda insisional / organ-rongga sesuai temuan) pascaprosedur ginekologi atau obstetri (T81.4; NE81.2).</w:t>
      </w:r>
    </w:p>
    <w:p>
      <w:pPr>
        <w:spacing w:after="160" w:line="300"/>
      </w:pPr>
      <w:r>
        <w:rPr>
          <w:rFonts w:ascii="IBM Plex Sans" w:cs="IBM Plex Sans" w:eastAsia="IBM Plex Sans" w:hAnsi="IBM Plex Sans"/>
          <w:color w:val="1E293B"/>
          <w:sz w:val="21"/>
          <w:szCs w:val="21"/>
        </w:rPr>
        <w:t xml:space="preserve">Diagnosis banding yang wajib disingkirkan:</w:t>
      </w:r>
    </w:p>
    <w:p>
      <w:pPr>
        <w:pStyle w:val="ListParagraph"/>
        <w:numPr>
          <w:ilvl w:val="0"/>
          <w:numId w:val="2"/>
        </w:numPr>
        <w:spacing w:after="90" w:line="290"/>
      </w:pPr>
      <w:r>
        <w:rPr>
          <w:rFonts w:ascii="IBM Plex Sans" w:cs="IBM Plex Sans" w:eastAsia="IBM Plex Sans" w:hAnsi="IBM Plex Sans"/>
          <w:color w:val="1E293B"/>
          <w:sz w:val="21"/>
          <w:szCs w:val="21"/>
        </w:rPr>
        <w:t xml:space="preserve">Seroma atau hematoma luka operasi tanpa infeksi.</w:t>
      </w:r>
    </w:p>
    <w:p>
      <w:pPr>
        <w:pStyle w:val="ListParagraph"/>
        <w:numPr>
          <w:ilvl w:val="0"/>
          <w:numId w:val="2"/>
        </w:numPr>
        <w:spacing w:after="90" w:line="290"/>
      </w:pPr>
      <w:r>
        <w:rPr>
          <w:rFonts w:ascii="IBM Plex Sans" w:cs="IBM Plex Sans" w:eastAsia="IBM Plex Sans" w:hAnsi="IBM Plex Sans"/>
          <w:color w:val="1E293B"/>
          <w:sz w:val="21"/>
          <w:szCs w:val="21"/>
        </w:rPr>
        <w:t xml:space="preserve">Reaksi benda asing/jahitan (stitch abscess) tanpa infeksi sistemik.</w:t>
      </w:r>
    </w:p>
    <w:p>
      <w:pPr>
        <w:pStyle w:val="ListParagraph"/>
        <w:numPr>
          <w:ilvl w:val="0"/>
          <w:numId w:val="2"/>
        </w:numPr>
        <w:spacing w:after="90" w:line="290"/>
      </w:pPr>
      <w:r>
        <w:rPr>
          <w:rFonts w:ascii="IBM Plex Sans" w:cs="IBM Plex Sans" w:eastAsia="IBM Plex Sans" w:hAnsi="IBM Plex Sans"/>
          <w:color w:val="1E293B"/>
          <w:sz w:val="21"/>
          <w:szCs w:val="21"/>
        </w:rPr>
        <w:t xml:space="preserve">Selulitis di luar area insisi yang tidak memenuhi kriteria IDO.</w:t>
      </w:r>
    </w:p>
    <w:p>
      <w:pPr>
        <w:pStyle w:val="ListParagraph"/>
        <w:numPr>
          <w:ilvl w:val="0"/>
          <w:numId w:val="2"/>
        </w:numPr>
        <w:spacing w:after="90" w:line="290"/>
      </w:pPr>
      <w:r>
        <w:rPr>
          <w:rFonts w:ascii="IBM Plex Sans" w:cs="IBM Plex Sans" w:eastAsia="IBM Plex Sans" w:hAnsi="IBM Plex Sans"/>
          <w:color w:val="1E293B"/>
          <w:sz w:val="21"/>
          <w:szCs w:val="21"/>
        </w:rPr>
        <w:t xml:space="preserve">Dehisensi luka non-infeksius akibat faktor mekanik atau nutrisi buruk.</w:t>
      </w:r>
    </w:p>
    <w:p>
      <w:pPr>
        <w:pStyle w:val="ListParagraph"/>
        <w:numPr>
          <w:ilvl w:val="0"/>
          <w:numId w:val="2"/>
        </w:numPr>
        <w:spacing w:after="90" w:line="290"/>
      </w:pPr>
      <w:r>
        <w:rPr>
          <w:rFonts w:ascii="IBM Plex Sans" w:cs="IBM Plex Sans" w:eastAsia="IBM Plex Sans" w:hAnsi="IBM Plex Sans"/>
          <w:color w:val="1E293B"/>
          <w:sz w:val="21"/>
          <w:szCs w:val="21"/>
        </w:rPr>
        <w:t xml:space="preserve">Endometritis pascaseksio sesarea sebagai entitas tersendiri, meski dapat menyertai infeksi organ/rongga pelvis.</w:t>
      </w:r>
    </w:p>
    <w:p>
      <w:pPr>
        <w:pStyle w:val="ListParagraph"/>
        <w:numPr>
          <w:ilvl w:val="0"/>
          <w:numId w:val="2"/>
        </w:numPr>
        <w:spacing w:after="90" w:line="290"/>
      </w:pPr>
      <w:r>
        <w:rPr>
          <w:rFonts w:ascii="IBM Plex Sans" w:cs="IBM Plex Sans" w:eastAsia="IBM Plex Sans" w:hAnsi="IBM Plex Sans"/>
          <w:color w:val="1E293B"/>
          <w:sz w:val="21"/>
          <w:szCs w:val="21"/>
        </w:rPr>
        <w:t xml:space="preserve">Abses pelvis pascaoperasi ginekologi.</w:t>
      </w:r>
    </w:p>
    <w:p>
      <w:pPr>
        <w:pStyle w:val="ListParagraph"/>
        <w:numPr>
          <w:ilvl w:val="0"/>
          <w:numId w:val="2"/>
        </w:numPr>
        <w:spacing w:after="90" w:line="290"/>
      </w:pPr>
      <w:r>
        <w:rPr>
          <w:rFonts w:ascii="IBM Plex Sans" w:cs="IBM Plex Sans" w:eastAsia="IBM Plex Sans" w:hAnsi="IBM Plex Sans"/>
          <w:color w:val="1E293B"/>
          <w:sz w:val="21"/>
          <w:szCs w:val="21"/>
        </w:rPr>
        <w:t xml:space="preserve">Fasiitis nekrotikans — kegawatdaruratan bedah yang harus dibedakan sedini mungkin karena progresivitasnya cepat dan mengancam nyawa.</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6. Pemeriksaan Penunjang</w:t>
      </w:r>
    </w:p>
    <w:p>
      <w:pPr>
        <w:spacing w:after="160" w:line="300"/>
      </w:pPr>
      <w:r>
        <w:rPr>
          <w:rFonts w:ascii="IBM Plex Sans" w:cs="IBM Plex Sans" w:eastAsia="IBM Plex Sans" w:hAnsi="IBM Plex Sans"/>
          <w:color w:val="1E293B"/>
          <w:sz w:val="21"/>
          <w:szCs w:val="21"/>
        </w:rPr>
        <w:t xml:space="preserve">Pemeriksaan yang direkomendasikan sesuai indikasi klinis:</w:t>
      </w:r>
    </w:p>
    <w:p>
      <w:pPr>
        <w:pStyle w:val="ListParagraph"/>
        <w:numPr>
          <w:ilvl w:val="0"/>
          <w:numId w:val="2"/>
        </w:numPr>
        <w:spacing w:after="90" w:line="290"/>
      </w:pPr>
      <w:r>
        <w:rPr>
          <w:rFonts w:ascii="IBM Plex Sans" w:cs="IBM Plex Sans" w:eastAsia="IBM Plex Sans" w:hAnsi="IBM Plex Sans"/>
          <w:color w:val="1E293B"/>
          <w:sz w:val="21"/>
          <w:szCs w:val="21"/>
        </w:rPr>
        <w:t xml:space="preserve">Darah perifer lengkap — menilai leukositosis dan pergeseran ke kiri.</w:t>
      </w:r>
    </w:p>
    <w:p>
      <w:pPr>
        <w:pStyle w:val="ListParagraph"/>
        <w:numPr>
          <w:ilvl w:val="0"/>
          <w:numId w:val="2"/>
        </w:numPr>
        <w:spacing w:after="90" w:line="290"/>
      </w:pPr>
      <w:r>
        <w:rPr>
          <w:rFonts w:ascii="IBM Plex Sans" w:cs="IBM Plex Sans" w:eastAsia="IBM Plex Sans" w:hAnsi="IBM Plex Sans"/>
          <w:color w:val="1E293B"/>
          <w:sz w:val="21"/>
          <w:szCs w:val="21"/>
        </w:rPr>
        <w:t xml:space="preserve">Penanda inflamasi — C-reactive protein (CRP) dan/atau prokalsitonin bila tersedia, untuk membantu memantau respons terapi.</w:t>
      </w:r>
    </w:p>
    <w:p>
      <w:pPr>
        <w:pStyle w:val="ListParagraph"/>
        <w:numPr>
          <w:ilvl w:val="0"/>
          <w:numId w:val="2"/>
        </w:numPr>
        <w:spacing w:after="90" w:line="290"/>
      </w:pPr>
      <w:r>
        <w:rPr>
          <w:rFonts w:ascii="IBM Plex Sans" w:cs="IBM Plex Sans" w:eastAsia="IBM Plex Sans" w:hAnsi="IBM Plex Sans"/>
          <w:color w:val="1E293B"/>
          <w:sz w:val="21"/>
          <w:szCs w:val="21"/>
        </w:rPr>
        <w:t xml:space="preserve">Kultur pus/jaringan luka dan uji sensitivitas antibiotik sebelum inisiasi terapi empiris bila memungkinkan.</w:t>
      </w:r>
    </w:p>
    <w:p>
      <w:pPr>
        <w:pStyle w:val="ListParagraph"/>
        <w:numPr>
          <w:ilvl w:val="0"/>
          <w:numId w:val="2"/>
        </w:numPr>
        <w:spacing w:after="90" w:line="290"/>
      </w:pPr>
      <w:r>
        <w:rPr>
          <w:rFonts w:ascii="IBM Plex Sans" w:cs="IBM Plex Sans" w:eastAsia="IBM Plex Sans" w:hAnsi="IBM Plex Sans"/>
          <w:color w:val="1E293B"/>
          <w:sz w:val="21"/>
          <w:szCs w:val="21"/>
        </w:rPr>
        <w:t xml:space="preserve">Kultur darah pada kecurigaan infeksi sistemik/sepsis.</w:t>
      </w:r>
    </w:p>
    <w:p>
      <w:pPr>
        <w:pStyle w:val="ListParagraph"/>
        <w:numPr>
          <w:ilvl w:val="0"/>
          <w:numId w:val="2"/>
        </w:numPr>
        <w:spacing w:after="90" w:line="290"/>
      </w:pPr>
      <w:r>
        <w:rPr>
          <w:rFonts w:ascii="IBM Plex Sans" w:cs="IBM Plex Sans" w:eastAsia="IBM Plex Sans" w:hAnsi="IBM Plex Sans"/>
          <w:color w:val="1E293B"/>
          <w:sz w:val="21"/>
          <w:szCs w:val="21"/>
        </w:rPr>
        <w:t xml:space="preserve">Ultrasonografi (USG) untuk mendeteksi koleksi cairan atau abses subkutan maupun pelvis.</w:t>
      </w:r>
    </w:p>
    <w:p>
      <w:pPr>
        <w:pStyle w:val="ListParagraph"/>
        <w:numPr>
          <w:ilvl w:val="0"/>
          <w:numId w:val="2"/>
        </w:numPr>
        <w:spacing w:after="90" w:line="290"/>
      </w:pPr>
      <w:r>
        <w:rPr>
          <w:rFonts w:ascii="IBM Plex Sans" w:cs="IBM Plex Sans" w:eastAsia="IBM Plex Sans" w:hAnsi="IBM Plex Sans"/>
          <w:color w:val="1E293B"/>
          <w:sz w:val="21"/>
          <w:szCs w:val="21"/>
        </w:rPr>
        <w:t xml:space="preserve">Computed tomography (CT) abdomen-pelvis bila dicurigai infeksi organ/rongga dalam atau abses pelvis yang tidak jelas pada USG.</w:t>
      </w:r>
    </w:p>
    <w:p>
      <w:pPr>
        <w:pStyle w:val="ListParagraph"/>
        <w:numPr>
          <w:ilvl w:val="0"/>
          <w:numId w:val="2"/>
        </w:numPr>
        <w:spacing w:after="90" w:line="290"/>
      </w:pPr>
      <w:r>
        <w:rPr>
          <w:rFonts w:ascii="IBM Plex Sans" w:cs="IBM Plex Sans" w:eastAsia="IBM Plex Sans" w:hAnsi="IBM Plex Sans"/>
          <w:color w:val="1E293B"/>
          <w:sz w:val="21"/>
          <w:szCs w:val="21"/>
        </w:rPr>
        <w:t xml:space="preserve">Kadar gula darah sewaktu/HbA1c sebagai skrining faktor risiko diabetes melitus yang belum terdiagnosis.</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7. Tata Laksana</w:t>
      </w:r>
    </w:p>
    <w:p>
      <w:pPr>
        <w:pStyle w:val="Heading2"/>
        <w:spacing w:after="120" w:before="240"/>
      </w:pPr>
      <w:r>
        <w:rPr>
          <w:rFonts w:ascii="Source Serif 4" w:cs="Source Serif 4" w:eastAsia="Source Serif 4" w:hAnsi="Source Serif 4"/>
          <w:b/>
          <w:bCs/>
          <w:color w:val="4F46E5"/>
          <w:sz w:val="24"/>
          <w:szCs w:val="24"/>
        </w:rPr>
        <w:t xml:space="preserve">7.1 Tata Laksana Non-Farmakologis</w:t>
      </w:r>
    </w:p>
    <w:p>
      <w:pPr>
        <w:pStyle w:val="ListParagraph"/>
        <w:numPr>
          <w:ilvl w:val="0"/>
          <w:numId w:val="2"/>
        </w:numPr>
        <w:spacing w:after="90" w:line="290"/>
      </w:pPr>
      <w:r>
        <w:rPr>
          <w:rFonts w:ascii="IBM Plex Sans" w:cs="IBM Plex Sans" w:eastAsia="IBM Plex Sans" w:hAnsi="IBM Plex Sans"/>
          <w:color w:val="1E293B"/>
          <w:sz w:val="21"/>
          <w:szCs w:val="21"/>
        </w:rPr>
        <w:t xml:space="preserve">Perawatan luka (wound care) terjadwal dengan penggantian balutan sesuai derajat eksudat.</w:t>
      </w:r>
    </w:p>
    <w:p>
      <w:pPr>
        <w:pStyle w:val="ListParagraph"/>
        <w:numPr>
          <w:ilvl w:val="0"/>
          <w:numId w:val="2"/>
        </w:numPr>
        <w:spacing w:after="90" w:line="290"/>
      </w:pPr>
      <w:r>
        <w:rPr>
          <w:rFonts w:ascii="IBM Plex Sans" w:cs="IBM Plex Sans" w:eastAsia="IBM Plex Sans" w:hAnsi="IBM Plex Sans"/>
          <w:color w:val="1E293B"/>
          <w:sz w:val="21"/>
          <w:szCs w:val="21"/>
        </w:rPr>
        <w:t xml:space="preserve">Drainase manual pada koleksi pus superfisial disertai pembersihan luka (debridement bedside) untuk jaringan nekrotik minimal.</w:t>
      </w:r>
    </w:p>
    <w:p>
      <w:pPr>
        <w:pStyle w:val="ListParagraph"/>
        <w:numPr>
          <w:ilvl w:val="0"/>
          <w:numId w:val="2"/>
        </w:numPr>
        <w:spacing w:after="90" w:line="290"/>
      </w:pPr>
      <w:r>
        <w:rPr>
          <w:rFonts w:ascii="IBM Plex Sans" w:cs="IBM Plex Sans" w:eastAsia="IBM Plex Sans" w:hAnsi="IBM Plex Sans"/>
          <w:color w:val="1E293B"/>
          <w:sz w:val="21"/>
          <w:szCs w:val="21"/>
        </w:rPr>
        <w:t xml:space="preserve">Luka yang dibiarkan terbuka (open wound management) diisi (packing) dengan kasa lembap-ke-kering atau bahan dressing modern sesuai ketersediaan fasilitas.</w:t>
      </w:r>
    </w:p>
    <w:p>
      <w:pPr>
        <w:pStyle w:val="ListParagraph"/>
        <w:numPr>
          <w:ilvl w:val="0"/>
          <w:numId w:val="2"/>
        </w:numPr>
        <w:spacing w:after="90" w:line="290"/>
      </w:pPr>
      <w:r>
        <w:rPr>
          <w:rFonts w:ascii="IBM Plex Sans" w:cs="IBM Plex Sans" w:eastAsia="IBM Plex Sans" w:hAnsi="IBM Plex Sans"/>
          <w:color w:val="1E293B"/>
          <w:sz w:val="21"/>
          <w:szCs w:val="21"/>
        </w:rPr>
        <w:t xml:space="preserve">Terapi tekanan negatif (negative pressure wound therapy/NPWT) profilaktik dapat dipertimbangkan pada insisi tertutup (primary closure) dengan risiko tinggi, misalnya pasien obesitas atau pascaseksio sesarea emergensi; tinjauan sistematis Cochrane terbaru menyimpulkan NPWT profilaktik pada luka yang sembuh secara penutupan primer kemungkinan menurunkan kejadian IDO (evidens bersertifikasi sedang/moderate-certainty).</w:t>
      </w:r>
    </w:p>
    <w:p>
      <w:pPr>
        <w:pStyle w:val="ListParagraph"/>
        <w:numPr>
          <w:ilvl w:val="0"/>
          <w:numId w:val="2"/>
        </w:numPr>
        <w:spacing w:after="90" w:line="290"/>
      </w:pPr>
      <w:r>
        <w:rPr>
          <w:rFonts w:ascii="IBM Plex Sans" w:cs="IBM Plex Sans" w:eastAsia="IBM Plex Sans" w:hAnsi="IBM Plex Sans"/>
          <w:color w:val="1E293B"/>
          <w:sz w:val="21"/>
          <w:szCs w:val="21"/>
        </w:rPr>
        <w:t xml:space="preserve">Optimalisasi kontrol gula darah, status nutrisi (asupan protein adekuat), dan mobilisasi dini untuk mendukung penyembuhan luka.</w:t>
      </w:r>
    </w:p>
    <w:p>
      <w:pPr>
        <w:pStyle w:val="Heading2"/>
        <w:spacing w:after="120" w:before="240"/>
      </w:pPr>
      <w:r>
        <w:rPr>
          <w:rFonts w:ascii="Source Serif 4" w:cs="Source Serif 4" w:eastAsia="Source Serif 4" w:hAnsi="Source Serif 4"/>
          <w:b/>
          <w:bCs/>
          <w:color w:val="4F46E5"/>
          <w:sz w:val="24"/>
          <w:szCs w:val="24"/>
        </w:rPr>
        <w:t xml:space="preserve">7.2 Tata Laksana Farmakologis</w:t>
      </w:r>
    </w:p>
    <w:p>
      <w:pPr>
        <w:spacing w:after="160" w:line="300"/>
      </w:pPr>
      <w:r>
        <w:rPr>
          <w:rFonts w:ascii="IBM Plex Sans" w:cs="IBM Plex Sans" w:eastAsia="IBM Plex Sans" w:hAnsi="IBM Plex Sans"/>
          <w:color w:val="1E293B"/>
          <w:sz w:val="21"/>
          <w:szCs w:val="21"/>
        </w:rPr>
        <w:t xml:space="preserve">Pemilihan antibiotik empiris disesuaikan dengan pola kuman dan peta resistensi lokal rumah sakit, kemudian dititrasi berdasarkan hasil kultur dan sensitivitas, sejalan dengan prinsip penggunaan antimikroba bijak yang diatur dalam Peraturan Menteri Kesehatan Republik Indonesia Nomor 8 Tahun 2015 tentang Program Pengendalian Resistensi Antimikroba di Rumah Sakit. Pada infeksi superfisial ringan tanpa tanda toksisitas sistemik, drainase adekuat sering kali sudah memadai tanpa memerlukan antibiotik sistemik tambahan.</w:t>
      </w:r>
    </w:p>
    <w:p>
      <w:pPr>
        <w:spacing w:after="160" w:line="300"/>
      </w:pPr>
      <w:r>
        <w:rPr>
          <w:rFonts w:ascii="IBM Plex Sans" w:cs="IBM Plex Sans" w:eastAsia="IBM Plex Sans" w:hAnsi="IBM Plex Sans"/>
          <w:color w:val="1E293B"/>
          <w:sz w:val="21"/>
          <w:szCs w:val="21"/>
        </w:rPr>
        <w:t xml:space="preserve">Pada infeksi dengan selulitis luas atau tanda sistemik (demam tinggi, takikardia), diberikan antibiotik spektrum luas yang mencakup organisme Gram positif (termasuk kewaspadaan terhadap methicillin-resistant Staphylococcus aureus/MRSA pada populasi berisiko) dan Gram negatif. Untuk infeksi organ/rongga pelvis, cakupan antibiotik harus mencakup organisme anaerob, misalnya kombinasi beta-laktam/inhibitor beta-laktamase atau kombinasi klindamisin dengan aminoglikosida, disesuaikan dengan kebijakan Panitia/Komite Pencegahan dan Pengendalian Infeksi (PPI) rumah sakit sebagaimana diatur dalam Peraturan Menteri Kesehatan Nomor 27 Tahun 2017 tentang Pedoman Pencegahan dan Pengendalian Infeksi di Fasilitas Pelayanan Kesehatan.</w:t>
      </w:r>
    </w:p>
    <w:p>
      <w:pPr>
        <w:spacing w:after="160" w:line="300"/>
      </w:pPr>
      <w:r>
        <w:rPr>
          <w:rFonts w:ascii="IBM Plex Sans" w:cs="IBM Plex Sans" w:eastAsia="IBM Plex Sans" w:hAnsi="IBM Plex Sans"/>
          <w:color w:val="1E293B"/>
          <w:sz w:val="21"/>
          <w:szCs w:val="21"/>
        </w:rPr>
        <w:t xml:space="preserve">Profilaksis antibiotik praoperasi dosis tunggal pada seksio sesarea terbukti menurunkan risiko infeksi pascaoperasi (endometritis dan IDO) dibandingkan tanpa profilaksis, berdasarkan tinjauan sistematis Cochrane oleh Smaill dan Grivell.</w:t>
      </w:r>
    </w:p>
    <w:p>
      <w:pPr>
        <w:spacing w:after="160" w:line="300"/>
      </w:pPr>
      <w:r>
        <w:rPr>
          <w:rFonts w:ascii="IBM Plex Sans" w:cs="IBM Plex Sans" w:eastAsia="IBM Plex Sans" w:hAnsi="IBM Plex Sans"/>
          <w:color w:val="1E293B"/>
          <w:sz w:val="21"/>
          <w:szCs w:val="21"/>
        </w:rPr>
        <w:t xml:space="preserve">[DATA: rujuk pedoman PPRA/PPI rumah sakit setempat serta laporan pola kuman dan peta resistensi terbaru untuk pemilihan regimen spesifik dan durasi terapi pada masing-masing fasilitas.]</w:t>
      </w:r>
    </w:p>
    <w:p>
      <w:pPr>
        <w:pStyle w:val="Heading2"/>
        <w:spacing w:after="120" w:before="240"/>
      </w:pPr>
      <w:r>
        <w:rPr>
          <w:rFonts w:ascii="Source Serif 4" w:cs="Source Serif 4" w:eastAsia="Source Serif 4" w:hAnsi="Source Serif 4"/>
          <w:b/>
          <w:bCs/>
          <w:color w:val="4F46E5"/>
          <w:sz w:val="24"/>
          <w:szCs w:val="24"/>
        </w:rPr>
        <w:t xml:space="preserve">7.3 Tata Laksana Bedah/Prosedural</w:t>
      </w:r>
    </w:p>
    <w:p>
      <w:pPr>
        <w:pStyle w:val="ListParagraph"/>
        <w:numPr>
          <w:ilvl w:val="0"/>
          <w:numId w:val="2"/>
        </w:numPr>
        <w:spacing w:after="90" w:line="290"/>
      </w:pPr>
      <w:r>
        <w:rPr>
          <w:rFonts w:ascii="IBM Plex Sans" w:cs="IBM Plex Sans" w:eastAsia="IBM Plex Sans" w:hAnsi="IBM Plex Sans"/>
          <w:color w:val="1E293B"/>
          <w:sz w:val="21"/>
          <w:szCs w:val="21"/>
        </w:rPr>
        <w:t xml:space="preserve">Pembukaan luka (opening) untuk evakuasi pus pada infeksi superfisial atau profunda insisional yang terkoleksi.</w:t>
      </w:r>
    </w:p>
    <w:p>
      <w:pPr>
        <w:pStyle w:val="ListParagraph"/>
        <w:numPr>
          <w:ilvl w:val="0"/>
          <w:numId w:val="2"/>
        </w:numPr>
        <w:spacing w:after="90" w:line="290"/>
      </w:pPr>
      <w:r>
        <w:rPr>
          <w:rFonts w:ascii="IBM Plex Sans" w:cs="IBM Plex Sans" w:eastAsia="IBM Plex Sans" w:hAnsi="IBM Plex Sans"/>
          <w:color w:val="1E293B"/>
          <w:sz w:val="21"/>
          <w:szCs w:val="21"/>
        </w:rPr>
        <w:t xml:space="preserve">Debridement jaringan nekrotik hingga tercapai dasar luka yang sehat dan bervaskularisasi baik.</w:t>
      </w:r>
    </w:p>
    <w:p>
      <w:pPr>
        <w:pStyle w:val="ListParagraph"/>
        <w:numPr>
          <w:ilvl w:val="0"/>
          <w:numId w:val="2"/>
        </w:numPr>
        <w:spacing w:after="90" w:line="290"/>
      </w:pPr>
      <w:r>
        <w:rPr>
          <w:rFonts w:ascii="IBM Plex Sans" w:cs="IBM Plex Sans" w:eastAsia="IBM Plex Sans" w:hAnsi="IBM Plex Sans"/>
          <w:color w:val="1E293B"/>
          <w:sz w:val="21"/>
          <w:szCs w:val="21"/>
        </w:rPr>
        <w:t xml:space="preserve">Eksplorasi lapisan fasia untuk menyingkirkan dehisensi fasia (burst abdomen) — bila ditemukan, ini adalah kegawatdaruratan bedah yang memerlukan reparasi segera di kamar operasi.</w:t>
      </w:r>
    </w:p>
    <w:p>
      <w:pPr>
        <w:pStyle w:val="ListParagraph"/>
        <w:numPr>
          <w:ilvl w:val="0"/>
          <w:numId w:val="2"/>
        </w:numPr>
        <w:spacing w:after="90" w:line="290"/>
      </w:pPr>
      <w:r>
        <w:rPr>
          <w:rFonts w:ascii="IBM Plex Sans" w:cs="IBM Plex Sans" w:eastAsia="IBM Plex Sans" w:hAnsi="IBM Plex Sans"/>
          <w:color w:val="1E293B"/>
          <w:sz w:val="21"/>
          <w:szCs w:val="21"/>
        </w:rPr>
        <w:t xml:space="preserve">Drainase abses pelvis dilakukan secara perkutan dipandu pencitraan (radiologically-guided percutaneous drainage) bila abses terjangkau; laparotomi atau laparoskopi eksplorasi diperlukan bila abses organ/rongga tidak dapat didekati secara perkutan atau tidak berespons terhadap drainase minimal invasif.</w:t>
      </w:r>
    </w:p>
    <w:p>
      <w:pPr>
        <w:pStyle w:val="ListParagraph"/>
        <w:numPr>
          <w:ilvl w:val="0"/>
          <w:numId w:val="2"/>
        </w:numPr>
        <w:spacing w:after="90" w:line="290"/>
      </w:pPr>
      <w:r>
        <w:rPr>
          <w:rFonts w:ascii="IBM Plex Sans" w:cs="IBM Plex Sans" w:eastAsia="IBM Plex Sans" w:hAnsi="IBM Plex Sans"/>
          <w:color w:val="1E293B"/>
          <w:sz w:val="21"/>
          <w:szCs w:val="21"/>
        </w:rPr>
        <w:t xml:space="preserve">Penutupan luka sekunder (secondary closure) atau penutupan primer tertunda (delayed primary closure) dipertimbangkan setelah luka bersih dan jaringan granulasi adekuat terbentuk.</w:t>
      </w:r>
    </w:p>
    <w:p>
      <w:pPr>
        <w:pStyle w:val="Heading2"/>
        <w:spacing w:after="120" w:before="240"/>
      </w:pPr>
      <w:r>
        <w:rPr>
          <w:rFonts w:ascii="Source Serif 4" w:cs="Source Serif 4" w:eastAsia="Source Serif 4" w:hAnsi="Source Serif 4"/>
          <w:b/>
          <w:bCs/>
          <w:color w:val="4F46E5"/>
          <w:sz w:val="24"/>
          <w:szCs w:val="24"/>
        </w:rPr>
        <w:t xml:space="preserve">7.4 Kriteria Rujukan ke Subspesialis Obstetri Ginekologi Sosial</w:t>
      </w:r>
    </w:p>
    <w:p>
      <w:pPr>
        <w:spacing w:after="160" w:line="300"/>
      </w:pPr>
      <w:r>
        <w:rPr>
          <w:rFonts w:ascii="IBM Plex Sans" w:cs="IBM Plex Sans" w:eastAsia="IBM Plex Sans" w:hAnsi="IBM Plex Sans"/>
          <w:color w:val="1E293B"/>
          <w:sz w:val="21"/>
          <w:szCs w:val="21"/>
        </w:rPr>
        <w:t xml:space="preserve">Kegawatdaruratan bedah (dehisensi fasia, sepsis, kecurigaan fasiitis nekrotikans, atau abses organ/rongga yang tidak berespons terhadap tata laksana awal) dirujuk segera ke subspesialis/tim bedah sesuai indikasi klinis akut, tanpa menunggu jalur rujukan di bawah ini.</w:t>
      </w:r>
    </w:p>
    <w:p>
      <w:pPr>
        <w:spacing w:after="160" w:line="300"/>
      </w:pPr>
      <w:r>
        <w:rPr>
          <w:rFonts w:ascii="IBM Plex Sans" w:cs="IBM Plex Sans" w:eastAsia="IBM Plex Sans" w:hAnsi="IBM Plex Sans"/>
          <w:color w:val="1E293B"/>
          <w:sz w:val="21"/>
          <w:szCs w:val="21"/>
        </w:rPr>
        <w:t xml:space="preserve">Rujukan ke subspesialis Obstetri Ginekologi Sosial dipertimbangkan pada kondisi di luar aspek medis-teknis murni, yaitu ketika perawatan luka membutuhkan waktu berkepanjangan dan berdampak pada disabilitas fungsional sementara, pasien menghadapi kerentanan sosial-ekonomi yang mengganggu kesinambungan perawatan (keterbatasan akses kontrol ulang, kesulitan pembiayaan, dukungan keluarga terbatas), atau diperlukan koordinasi lintas sektor untuk pemulihan pascaoperasi yang optimal.</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8. Edukasi Pasien dan Keluarga</w:t>
      </w:r>
    </w:p>
    <w:p>
      <w:pPr>
        <w:pStyle w:val="ListParagraph"/>
        <w:numPr>
          <w:ilvl w:val="0"/>
          <w:numId w:val="2"/>
        </w:numPr>
        <w:spacing w:after="90" w:line="290"/>
      </w:pPr>
      <w:r>
        <w:rPr>
          <w:rFonts w:ascii="IBM Plex Sans" w:cs="IBM Plex Sans" w:eastAsia="IBM Plex Sans" w:hAnsi="IBM Plex Sans"/>
          <w:color w:val="1E293B"/>
          <w:sz w:val="21"/>
          <w:szCs w:val="21"/>
        </w:rPr>
        <w:t xml:space="preserve">Kenali tanda bahaya yang memerlukan kontrol segera: demam tinggi, nyeri luka yang memberat, keluarnya cairan berbau busuk, atau luka yang terbuka luas.</w:t>
      </w:r>
    </w:p>
    <w:p>
      <w:pPr>
        <w:pStyle w:val="ListParagraph"/>
        <w:numPr>
          <w:ilvl w:val="0"/>
          <w:numId w:val="2"/>
        </w:numPr>
        <w:spacing w:after="90" w:line="290"/>
      </w:pPr>
      <w:r>
        <w:rPr>
          <w:rFonts w:ascii="IBM Plex Sans" w:cs="IBM Plex Sans" w:eastAsia="IBM Plex Sans" w:hAnsi="IBM Plex Sans"/>
          <w:color w:val="1E293B"/>
          <w:sz w:val="21"/>
          <w:szCs w:val="21"/>
        </w:rPr>
        <w:t xml:space="preserve">Cara perawatan luka mandiri di rumah, termasuk kebersihan luka dan jadwal penggantian balutan sesuai instruksi.</w:t>
      </w:r>
    </w:p>
    <w:p>
      <w:pPr>
        <w:pStyle w:val="ListParagraph"/>
        <w:numPr>
          <w:ilvl w:val="0"/>
          <w:numId w:val="2"/>
        </w:numPr>
        <w:spacing w:after="90" w:line="290"/>
      </w:pPr>
      <w:r>
        <w:rPr>
          <w:rFonts w:ascii="IBM Plex Sans" w:cs="IBM Plex Sans" w:eastAsia="IBM Plex Sans" w:hAnsi="IBM Plex Sans"/>
          <w:color w:val="1E293B"/>
          <w:sz w:val="21"/>
          <w:szCs w:val="21"/>
        </w:rPr>
        <w:t xml:space="preserve">Pentingnya kontrol gula darah ketat bagi pasien dengan diabetes melitus untuk mendukung penyembuhan luka.</w:t>
      </w:r>
    </w:p>
    <w:p>
      <w:pPr>
        <w:pStyle w:val="ListParagraph"/>
        <w:numPr>
          <w:ilvl w:val="0"/>
          <w:numId w:val="2"/>
        </w:numPr>
        <w:spacing w:after="90" w:line="290"/>
      </w:pPr>
      <w:r>
        <w:rPr>
          <w:rFonts w:ascii="IBM Plex Sans" w:cs="IBM Plex Sans" w:eastAsia="IBM Plex Sans" w:hAnsi="IBM Plex Sans"/>
          <w:color w:val="1E293B"/>
          <w:sz w:val="21"/>
          <w:szCs w:val="21"/>
        </w:rPr>
        <w:t xml:space="preserve">Asupan nutrisi tinggi protein dan kalori adekuat untuk mempercepat proses penyembuhan jaringan.</w:t>
      </w:r>
    </w:p>
    <w:p>
      <w:pPr>
        <w:pStyle w:val="ListParagraph"/>
        <w:numPr>
          <w:ilvl w:val="0"/>
          <w:numId w:val="2"/>
        </w:numPr>
        <w:spacing w:after="90" w:line="290"/>
      </w:pPr>
      <w:r>
        <w:rPr>
          <w:rFonts w:ascii="IBM Plex Sans" w:cs="IBM Plex Sans" w:eastAsia="IBM Plex Sans" w:hAnsi="IBM Plex Sans"/>
          <w:color w:val="1E293B"/>
          <w:sz w:val="21"/>
          <w:szCs w:val="21"/>
        </w:rPr>
        <w:t xml:space="preserve">Jadwal kontrol luka pascaoperasi dan estimasi waktu pelepasan jahitan/dressing sesuai jenis prosedur.</w:t>
      </w:r>
    </w:p>
    <w:p>
      <w:pPr>
        <w:pStyle w:val="ListParagraph"/>
        <w:numPr>
          <w:ilvl w:val="0"/>
          <w:numId w:val="2"/>
        </w:numPr>
        <w:spacing w:after="90" w:line="290"/>
      </w:pPr>
      <w:r>
        <w:rPr>
          <w:rFonts w:ascii="IBM Plex Sans" w:cs="IBM Plex Sans" w:eastAsia="IBM Plex Sans" w:hAnsi="IBM Plex Sans"/>
          <w:color w:val="1E293B"/>
          <w:sz w:val="21"/>
          <w:szCs w:val="21"/>
        </w:rPr>
        <w:t xml:space="preserve">Perbedaan tanda penyembuhan normal versus tanda komplikasi yang perlu diwaspadai keluarga di rumah.</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9. Prognosis</w:t>
      </w:r>
    </w:p>
    <w:p>
      <w:pPr>
        <w:spacing w:after="160" w:line="300"/>
      </w:pPr>
      <w:r>
        <w:rPr>
          <w:rFonts w:ascii="IBM Plex Sans" w:cs="IBM Plex Sans" w:eastAsia="IBM Plex Sans" w:hAnsi="IBM Plex Sans"/>
          <w:color w:val="1E293B"/>
          <w:sz w:val="21"/>
          <w:szCs w:val="21"/>
        </w:rPr>
        <w:t xml:space="preserve">Prognosis IDO umumnya baik apabila tata laksana diberikan secara adekuat dan tepat waktu, terutama pada infeksi superfisial insisional. Infeksi organ/rongga dan kasus yang disertai sepsis atau dehisensi fasia meningkatkan morbiditas, memperpanjang lama rawat inap, dan pada sebagian kasus memerlukan reoperasi.</w:t>
      </w:r>
    </w:p>
    <w:p>
      <w:pPr>
        <w:spacing w:after="160" w:line="300"/>
      </w:pPr>
      <w:r>
        <w:rPr>
          <w:rFonts w:ascii="IBM Plex Sans" w:cs="IBM Plex Sans" w:eastAsia="IBM Plex Sans" w:hAnsi="IBM Plex Sans"/>
          <w:color w:val="1E293B"/>
          <w:sz w:val="21"/>
          <w:szCs w:val="21"/>
        </w:rPr>
        <w:t xml:space="preserve">Deteksi dini dan intervensi segera — drainase adekuat, antibiotik yang tepat sasaran, serta optimalisasi faktor risiko pasien — memperbaiki luaran klinis. Secara umum: quo ad vitam bonam bila ditangani tepat waktu; quo ad functionam dan quo ad sanationam dubia ad bonam, bergantung pada kedalaman infeksi dan komorbiditas yang menyertai.</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10. Tingkat Evidens dan Rekomendasi</w:t>
      </w:r>
    </w:p>
    <w:p>
      <w:pPr>
        <w:spacing w:after="160" w:line="300"/>
      </w:pPr>
      <w:r>
        <w:rPr>
          <w:rFonts w:ascii="IBM Plex Sans" w:cs="IBM Plex Sans" w:eastAsia="IBM Plex Sans" w:hAnsi="IBM Plex Sans"/>
          <w:color w:val="1E293B"/>
          <w:sz w:val="21"/>
          <w:szCs w:val="21"/>
        </w:rPr>
        <w:t xml:space="preserve">Tingkat evidens dan derajat rekomendasi berikut mengacu pada skala evidens standar PNPK Kementerian Kesehatan (I, II-1, II-2, II-3, III) dengan derajat rekomendasi A/B/C, disusun berdasarkan sumber yang dikutip pada bagian Kepustakaan.</w:t>
      </w:r>
    </w:p>
    <w:p>
      <w:pPr>
        <w:spacing w:after="120"/>
      </w:pPr>
    </w:p>
    <w:tbl>
      <w:tblPr>
        <w:tblW w:type="dxa" w:w="9360"/>
        <w:tblBorders>
          <w:top w:val="single" w:color="CBD5E1" w:sz="4"/>
          <w:left w:val="single" w:color="CBD5E1" w:sz="4"/>
          <w:bottom w:val="single" w:color="CBD5E1" w:sz="4"/>
          <w:right w:val="single" w:color="CBD5E1" w:sz="4"/>
          <w:insideH w:val="single" w:color="CBD5E1" w:sz="4"/>
          <w:insideV w:val="single" w:color="CBD5E1" w:sz="4"/>
        </w:tblBorders>
      </w:tblPr>
      <w:tblGrid>
        <w:gridCol w:w="5760"/>
        <w:gridCol w:w="1800"/>
        <w:gridCol w:w="1800"/>
      </w:tblGrid>
      <w:tr>
        <w:trPr>
          <w:tblHeader/>
        </w:trPr>
        <w:tc>
          <w:tcPr>
            <w:tcW w:type="dxa" w:w="576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 Klinis</w:t>
            </w:r>
          </w:p>
        </w:tc>
        <w:tc>
          <w:tcPr>
            <w:tcW w:type="dxa" w:w="18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18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Derajat Rekomendasi</w:t>
            </w:r>
          </w:p>
        </w:tc>
      </w:tr>
      <w:tr>
        <w:tc>
          <w:tcPr>
            <w:tcW w:type="dxa" w:w="5760"/>
            <w:shd w:fill="FFFFFF" w:val="clear"/>
            <w:tcMar>
              <w:top w:type="dxa" w:w="100"/>
              <w:left w:type="dxa" w:w="120"/>
              <w:bottom w:type="dxa" w:w="100"/>
              <w:right w:type="dxa" w:w="120"/>
            </w:tcMar>
          </w:tcPr>
          <w:p>
            <w:r>
              <w:rPr>
                <w:rFonts w:ascii="IBM Plex Sans" w:cs="IBM Plex Sans" w:eastAsia="IBM Plex Sans" w:hAnsi="IBM Plex Sans"/>
                <w:b w:val="false"/>
                <w:bCs w:val="false"/>
                <w:color w:val="1E293B"/>
                <w:sz w:val="19"/>
                <w:szCs w:val="19"/>
              </w:rPr>
              <w:t xml:space="preserve">Profilaksis antibiotik praoperasi dosis tunggal menurunkan risiko infeksi pascaseksio sesarea (Smaill &amp; Grivell, Cochrane 2014).</w:t>
            </w:r>
          </w:p>
        </w:tc>
        <w:tc>
          <w:tcPr>
            <w:tcW w:type="dxa" w:w="1800"/>
            <w:shd w:fill="FFFFFF" w:val="clear"/>
            <w:tcMar>
              <w:top w:type="dxa" w:w="100"/>
              <w:left w:type="dxa" w:w="120"/>
              <w:bottom w:type="dxa" w:w="100"/>
              <w:right w:type="dxa" w:w="120"/>
            </w:tcMar>
          </w:tcPr>
          <w:p>
            <w:r>
              <w:rPr>
                <w:rFonts w:ascii="IBM Plex Mono" w:cs="IBM Plex Mono" w:eastAsia="IBM Plex Mono" w:hAnsi="IBM Plex Mono"/>
                <w:b/>
                <w:bCs/>
                <w:color w:val="1E293B"/>
                <w:sz w:val="19"/>
                <w:szCs w:val="19"/>
              </w:rPr>
              <w:t xml:space="preserve">I</w:t>
            </w:r>
          </w:p>
        </w:tc>
        <w:tc>
          <w:tcPr>
            <w:tcW w:type="dxa" w:w="1800"/>
            <w:shd w:fill="FFFFFF" w:val="clear"/>
            <w:tcMar>
              <w:top w:type="dxa" w:w="100"/>
              <w:left w:type="dxa" w:w="120"/>
              <w:bottom w:type="dxa" w:w="100"/>
              <w:right w:type="dxa" w:w="120"/>
            </w:tcMar>
          </w:tcPr>
          <w:p>
            <w:r>
              <w:rPr>
                <w:rFonts w:ascii="IBM Plex Mono" w:cs="IBM Plex Mono" w:eastAsia="IBM Plex Mono" w:hAnsi="IBM Plex Mono"/>
                <w:b/>
                <w:bCs/>
                <w:color w:val="1E293B"/>
                <w:sz w:val="19"/>
                <w:szCs w:val="19"/>
              </w:rPr>
              <w:t xml:space="preserve">A</w:t>
            </w:r>
          </w:p>
        </w:tc>
      </w:tr>
      <w:tr>
        <w:tc>
          <w:tcPr>
            <w:tcW w:type="dxa" w:w="5760"/>
            <w:shd w:fill="F1F5F9" w:val="clear"/>
            <w:tcMar>
              <w:top w:type="dxa" w:w="100"/>
              <w:left w:type="dxa" w:w="120"/>
              <w:bottom w:type="dxa" w:w="100"/>
              <w:right w:type="dxa" w:w="120"/>
            </w:tcMar>
          </w:tcPr>
          <w:p>
            <w:r>
              <w:rPr>
                <w:rFonts w:ascii="IBM Plex Sans" w:cs="IBM Plex Sans" w:eastAsia="IBM Plex Sans" w:hAnsi="IBM Plex Sans"/>
                <w:b w:val="false"/>
                <w:bCs w:val="false"/>
                <w:color w:val="1E293B"/>
                <w:sz w:val="19"/>
                <w:szCs w:val="19"/>
              </w:rPr>
              <w:t xml:space="preserve">Debridement dan drainase adekuat pada infeksi terkonfirmasi merupakan tata laksana primer.</w:t>
            </w:r>
          </w:p>
        </w:tc>
        <w:tc>
          <w:tcPr>
            <w:tcW w:type="dxa" w:w="1800"/>
            <w:shd w:fill="F1F5F9" w:val="clear"/>
            <w:tcMar>
              <w:top w:type="dxa" w:w="100"/>
              <w:left w:type="dxa" w:w="120"/>
              <w:bottom w:type="dxa" w:w="100"/>
              <w:right w:type="dxa" w:w="120"/>
            </w:tcMar>
          </w:tcPr>
          <w:p>
            <w:r>
              <w:rPr>
                <w:rFonts w:ascii="IBM Plex Mono" w:cs="IBM Plex Mono" w:eastAsia="IBM Plex Mono" w:hAnsi="IBM Plex Mono"/>
                <w:b/>
                <w:bCs/>
                <w:color w:val="1E293B"/>
                <w:sz w:val="19"/>
                <w:szCs w:val="19"/>
              </w:rPr>
              <w:t xml:space="preserve">II-2</w:t>
            </w:r>
          </w:p>
        </w:tc>
        <w:tc>
          <w:tcPr>
            <w:tcW w:type="dxa" w:w="1800"/>
            <w:shd w:fill="F1F5F9" w:val="clear"/>
            <w:tcMar>
              <w:top w:type="dxa" w:w="100"/>
              <w:left w:type="dxa" w:w="120"/>
              <w:bottom w:type="dxa" w:w="100"/>
              <w:right w:type="dxa" w:w="120"/>
            </w:tcMar>
          </w:tcPr>
          <w:p>
            <w:r>
              <w:rPr>
                <w:rFonts w:ascii="IBM Plex Mono" w:cs="IBM Plex Mono" w:eastAsia="IBM Plex Mono" w:hAnsi="IBM Plex Mono"/>
                <w:b/>
                <w:bCs/>
                <w:color w:val="1E293B"/>
                <w:sz w:val="19"/>
                <w:szCs w:val="19"/>
              </w:rPr>
              <w:t xml:space="preserve">A</w:t>
            </w:r>
          </w:p>
        </w:tc>
      </w:tr>
      <w:tr>
        <w:tc>
          <w:tcPr>
            <w:tcW w:type="dxa" w:w="5760"/>
            <w:shd w:fill="FFFFFF" w:val="clear"/>
            <w:tcMar>
              <w:top w:type="dxa" w:w="100"/>
              <w:left w:type="dxa" w:w="120"/>
              <w:bottom w:type="dxa" w:w="100"/>
              <w:right w:type="dxa" w:w="120"/>
            </w:tcMar>
          </w:tcPr>
          <w:p>
            <w:r>
              <w:rPr>
                <w:rFonts w:ascii="IBM Plex Sans" w:cs="IBM Plex Sans" w:eastAsia="IBM Plex Sans" w:hAnsi="IBM Plex Sans"/>
                <w:b w:val="false"/>
                <w:bCs w:val="false"/>
                <w:color w:val="1E293B"/>
                <w:sz w:val="19"/>
                <w:szCs w:val="19"/>
              </w:rPr>
              <w:t xml:space="preserve">NPWT profilaktik pada insisi tertutup berisiko tinggi kemungkinan menurunkan kejadian IDO (Norman dkk., Cochrane 2022; evidens bersertifikasi sedang).</w:t>
            </w:r>
          </w:p>
        </w:tc>
        <w:tc>
          <w:tcPr>
            <w:tcW w:type="dxa" w:w="1800"/>
            <w:shd w:fill="FFFFFF" w:val="clear"/>
            <w:tcMar>
              <w:top w:type="dxa" w:w="100"/>
              <w:left w:type="dxa" w:w="120"/>
              <w:bottom w:type="dxa" w:w="100"/>
              <w:right w:type="dxa" w:w="120"/>
            </w:tcMar>
          </w:tcPr>
          <w:p>
            <w:r>
              <w:rPr>
                <w:rFonts w:ascii="IBM Plex Mono" w:cs="IBM Plex Mono" w:eastAsia="IBM Plex Mono" w:hAnsi="IBM Plex Mono"/>
                <w:b/>
                <w:bCs/>
                <w:color w:val="1E293B"/>
                <w:sz w:val="19"/>
                <w:szCs w:val="19"/>
              </w:rPr>
              <w:t xml:space="preserve">I</w:t>
            </w:r>
          </w:p>
        </w:tc>
        <w:tc>
          <w:tcPr>
            <w:tcW w:type="dxa" w:w="1800"/>
            <w:shd w:fill="FFFFFF" w:val="clear"/>
            <w:tcMar>
              <w:top w:type="dxa" w:w="100"/>
              <w:left w:type="dxa" w:w="120"/>
              <w:bottom w:type="dxa" w:w="100"/>
              <w:right w:type="dxa" w:w="120"/>
            </w:tcMar>
          </w:tcPr>
          <w:p>
            <w:r>
              <w:rPr>
                <w:rFonts w:ascii="IBM Plex Mono" w:cs="IBM Plex Mono" w:eastAsia="IBM Plex Mono" w:hAnsi="IBM Plex Mono"/>
                <w:b/>
                <w:bCs/>
                <w:color w:val="1E293B"/>
                <w:sz w:val="19"/>
                <w:szCs w:val="19"/>
              </w:rPr>
              <w:t xml:space="preserve">B</w:t>
            </w:r>
          </w:p>
        </w:tc>
      </w:tr>
      <w:tr>
        <w:tc>
          <w:tcPr>
            <w:tcW w:type="dxa" w:w="5760"/>
            <w:shd w:fill="F1F5F9" w:val="clear"/>
            <w:tcMar>
              <w:top w:type="dxa" w:w="100"/>
              <w:left w:type="dxa" w:w="120"/>
              <w:bottom w:type="dxa" w:w="100"/>
              <w:right w:type="dxa" w:w="120"/>
            </w:tcMar>
          </w:tcPr>
          <w:p>
            <w:r>
              <w:rPr>
                <w:rFonts w:ascii="IBM Plex Sans" w:cs="IBM Plex Sans" w:eastAsia="IBM Plex Sans" w:hAnsi="IBM Plex Sans"/>
                <w:b w:val="false"/>
                <w:bCs w:val="false"/>
                <w:color w:val="1E293B"/>
                <w:sz w:val="19"/>
                <w:szCs w:val="19"/>
              </w:rPr>
              <w:t xml:space="preserve">Persiapan kulit praoperasi dengan klorheksidin-alkohol menurunkan risiko IDO dibandingkan povidon-iodin pada bedah bersih-terkontaminasi (Darouiche dkk., NEJM 2010).</w:t>
            </w:r>
          </w:p>
        </w:tc>
        <w:tc>
          <w:tcPr>
            <w:tcW w:type="dxa" w:w="1800"/>
            <w:shd w:fill="F1F5F9" w:val="clear"/>
            <w:tcMar>
              <w:top w:type="dxa" w:w="100"/>
              <w:left w:type="dxa" w:w="120"/>
              <w:bottom w:type="dxa" w:w="100"/>
              <w:right w:type="dxa" w:w="120"/>
            </w:tcMar>
          </w:tcPr>
          <w:p>
            <w:r>
              <w:rPr>
                <w:rFonts w:ascii="IBM Plex Mono" w:cs="IBM Plex Mono" w:eastAsia="IBM Plex Mono" w:hAnsi="IBM Plex Mono"/>
                <w:b/>
                <w:bCs/>
                <w:color w:val="1E293B"/>
                <w:sz w:val="19"/>
                <w:szCs w:val="19"/>
              </w:rPr>
              <w:t xml:space="preserve">I</w:t>
            </w:r>
          </w:p>
        </w:tc>
        <w:tc>
          <w:tcPr>
            <w:tcW w:type="dxa" w:w="1800"/>
            <w:shd w:fill="F1F5F9" w:val="clear"/>
            <w:tcMar>
              <w:top w:type="dxa" w:w="100"/>
              <w:left w:type="dxa" w:w="120"/>
              <w:bottom w:type="dxa" w:w="100"/>
              <w:right w:type="dxa" w:w="120"/>
            </w:tcMar>
          </w:tcPr>
          <w:p>
            <w:r>
              <w:rPr>
                <w:rFonts w:ascii="IBM Plex Mono" w:cs="IBM Plex Mono" w:eastAsia="IBM Plex Mono" w:hAnsi="IBM Plex Mono"/>
                <w:b/>
                <w:bCs/>
                <w:color w:val="1E293B"/>
                <w:sz w:val="19"/>
                <w:szCs w:val="19"/>
              </w:rPr>
              <w:t xml:space="preserve">A</w:t>
            </w:r>
          </w:p>
        </w:tc>
      </w:tr>
    </w:tbl>
    <w:p>
      <w:pPr>
        <w:spacing w:after="120"/>
      </w:pP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11. Indikator Medis</w:t>
      </w:r>
    </w:p>
    <w:p>
      <w:pPr>
        <w:pStyle w:val="ListParagraph"/>
        <w:numPr>
          <w:ilvl w:val="0"/>
          <w:numId w:val="2"/>
        </w:numPr>
        <w:spacing w:after="90" w:line="290"/>
      </w:pPr>
      <w:r>
        <w:rPr>
          <w:rFonts w:ascii="IBM Plex Sans" w:cs="IBM Plex Sans" w:eastAsia="IBM Plex Sans" w:hAnsi="IBM Plex Sans"/>
          <w:color w:val="1E293B"/>
          <w:sz w:val="21"/>
          <w:szCs w:val="21"/>
        </w:rPr>
        <w:t xml:space="preserve">Persentase kasus IDO yang terdiagnosis sesuai kriteria CDC/NHSN dan terdokumentasi lengkap dalam rekam medis.</w:t>
      </w:r>
    </w:p>
    <w:p>
      <w:pPr>
        <w:pStyle w:val="ListParagraph"/>
        <w:numPr>
          <w:ilvl w:val="0"/>
          <w:numId w:val="2"/>
        </w:numPr>
        <w:spacing w:after="90" w:line="290"/>
      </w:pPr>
      <w:r>
        <w:rPr>
          <w:rFonts w:ascii="IBM Plex Sans" w:cs="IBM Plex Sans" w:eastAsia="IBM Plex Sans" w:hAnsi="IBM Plex Sans"/>
          <w:color w:val="1E293B"/>
          <w:sz w:val="21"/>
          <w:szCs w:val="21"/>
        </w:rPr>
        <w:t xml:space="preserve">Waktu dari onset tanda infeksi hingga intervensi (drainase dan/atau inisiasi antibiotik yang tepat) — target ≤24 jam sejak kecurigaan klinis ditegakkan.</w:t>
      </w:r>
    </w:p>
    <w:p>
      <w:pPr>
        <w:pStyle w:val="ListParagraph"/>
        <w:numPr>
          <w:ilvl w:val="0"/>
          <w:numId w:val="2"/>
        </w:numPr>
        <w:spacing w:after="90" w:line="290"/>
      </w:pPr>
      <w:r>
        <w:rPr>
          <w:rFonts w:ascii="IBM Plex Sans" w:cs="IBM Plex Sans" w:eastAsia="IBM Plex Sans" w:hAnsi="IBM Plex Sans"/>
          <w:color w:val="1E293B"/>
          <w:sz w:val="21"/>
          <w:szCs w:val="21"/>
        </w:rPr>
        <w:t xml:space="preserve">Angka reoperasi yang diakibatkan oleh IDO.</w:t>
      </w:r>
    </w:p>
    <w:p>
      <w:pPr>
        <w:pStyle w:val="ListParagraph"/>
        <w:numPr>
          <w:ilvl w:val="0"/>
          <w:numId w:val="2"/>
        </w:numPr>
        <w:spacing w:after="90" w:line="290"/>
      </w:pPr>
      <w:r>
        <w:rPr>
          <w:rFonts w:ascii="IBM Plex Sans" w:cs="IBM Plex Sans" w:eastAsia="IBM Plex Sans" w:hAnsi="IBM Plex Sans"/>
          <w:color w:val="1E293B"/>
          <w:sz w:val="21"/>
          <w:szCs w:val="21"/>
        </w:rPr>
        <w:t xml:space="preserve">Lama rawat inap tambahan yang atribusinya terkait IDO.</w:t>
      </w:r>
    </w:p>
    <w:p>
      <w:pPr>
        <w:pStyle w:val="ListParagraph"/>
        <w:numPr>
          <w:ilvl w:val="0"/>
          <w:numId w:val="2"/>
        </w:numPr>
        <w:spacing w:after="90" w:line="290"/>
      </w:pPr>
      <w:r>
        <w:rPr>
          <w:rFonts w:ascii="IBM Plex Sans" w:cs="IBM Plex Sans" w:eastAsia="IBM Plex Sans" w:hAnsi="IBM Plex Sans"/>
          <w:color w:val="1E293B"/>
          <w:sz w:val="21"/>
          <w:szCs w:val="21"/>
        </w:rPr>
        <w:t xml:space="preserve">Kepatuhan pemberian antibiotik profilaksis praoperasi sesuai pedoman PPI sebagai indikator pencegahan primer.</w:t>
      </w:r>
    </w:p>
    <w:p>
      <w:pPr>
        <w:spacing w:after="160" w:line="300"/>
      </w:pPr>
      <w:r>
        <w:rPr>
          <w:rFonts w:ascii="IBM Plex Sans" w:cs="IBM Plex Sans" w:eastAsia="IBM Plex Sans" w:hAnsi="IBM Plex Sans"/>
          <w:color w:val="B45309"/>
          <w:sz w:val="21"/>
          <w:szCs w:val="21"/>
        </w:rPr>
        <w:t xml:space="preserve">[DATA: rujuk laporan/registri resmi terbaru — mis. Kemenkes, POGI, WHO — untuk nilai ambang/target numerik indikator yang belum eksplisit tercantum di Kepkonsil.]</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12. Perbandingan dan Pengayaan Standar Internasional</w:t>
      </w:r>
    </w:p>
    <w:p>
      <w:pPr>
        <w:spacing w:after="160" w:line="300"/>
      </w:pPr>
      <w:r>
        <w:rPr>
          <w:rFonts w:ascii="IBM Plex Sans" w:cs="IBM Plex Sans" w:eastAsia="IBM Plex Sans" w:hAnsi="IBM Plex Sans"/>
          <w:color w:val="1E293B"/>
          <w:sz w:val="21"/>
          <w:szCs w:val="21"/>
        </w:rPr>
        <w:t xml:space="preserve">Standar nasional (Kepkonsil, Tabel 7 No. 46) menetapkan definisi dan cakupan populasi IDO pascaoperasi ginekologi/obstetri dengan kode ICD-10 T81.4 dan ICD-11 NE81.2. Standar internasional berikut memperkaya, bukan menggantikan, standar nasional tersebut.</w:t>
      </w:r>
    </w:p>
    <w:p>
      <w:pPr>
        <w:spacing w:after="160" w:line="300"/>
      </w:pPr>
      <w:r>
        <w:rPr>
          <w:rFonts w:ascii="IBM Plex Sans" w:cs="IBM Plex Sans" w:eastAsia="IBM Plex Sans" w:hAnsi="IBM Plex Sans"/>
          <w:color w:val="1E293B"/>
          <w:sz w:val="21"/>
          <w:szCs w:val="21"/>
        </w:rPr>
        <w:t xml:space="preserve">Sumber pembanding:</w:t>
      </w:r>
    </w:p>
    <w:p>
      <w:pPr>
        <w:pStyle w:val="ListParagraph"/>
        <w:numPr>
          <w:ilvl w:val="0"/>
          <w:numId w:val="2"/>
        </w:numPr>
        <w:spacing w:after="90" w:line="290"/>
      </w:pPr>
      <w:r>
        <w:rPr>
          <w:rFonts w:ascii="IBM Plex Sans" w:cs="IBM Plex Sans" w:eastAsia="IBM Plex Sans" w:hAnsi="IBM Plex Sans"/>
          <w:color w:val="1E293B"/>
          <w:sz w:val="21"/>
          <w:szCs w:val="21"/>
        </w:rPr>
        <w:t xml:space="preserve">World Health Organization, Global Guidelines for the Prevention of Surgical Site Infection, edisi ke-2 (2018): merekomendasikan bundel pencegahan perioperatif meliputi profilaksis antibiotik dosis tunggal, persiapan kulit dengan agen berbasis alkohol, normotermia intraoperatif, dan oksigenasi perioperatif adekuat. Standar nasional Kepkonsil menetapkan definisi dan tata laksana kuratif IDO; standar internasional WHO memberi penekanan tambahan pada bundel pencegahan pra/intraoperatif yang dapat diadopsi sebagai pelengkap protokol PPI rumah sakit.</w:t>
      </w:r>
    </w:p>
    <w:p>
      <w:pPr>
        <w:pStyle w:val="ListParagraph"/>
        <w:numPr>
          <w:ilvl w:val="0"/>
          <w:numId w:val="2"/>
        </w:numPr>
        <w:spacing w:after="90" w:line="290"/>
      </w:pPr>
      <w:r>
        <w:rPr>
          <w:rFonts w:ascii="IBM Plex Sans" w:cs="IBM Plex Sans" w:eastAsia="IBM Plex Sans" w:hAnsi="IBM Plex Sans"/>
          <w:color w:val="1E293B"/>
          <w:sz w:val="21"/>
          <w:szCs w:val="21"/>
        </w:rPr>
        <w:t xml:space="preserve">Definisi surveilans CDC/NHSN (Patient Safety Component Manual, Bab 9, edisi terbaru): menjadi rujukan klasifikasi kedalaman infeksi (superfisial insisional, profunda insisional, organ/space) yang dipakai secara operasional pada bagian Kriteria Diagnosis PPK ini, konsisten dengan pendekatan yang diadopsi WHO.</w:t>
      </w:r>
    </w:p>
    <w:p>
      <w:pPr>
        <w:pStyle w:val="ListParagraph"/>
        <w:numPr>
          <w:ilvl w:val="0"/>
          <w:numId w:val="2"/>
        </w:numPr>
        <w:spacing w:after="90" w:line="290"/>
      </w:pPr>
      <w:r>
        <w:rPr>
          <w:rFonts w:ascii="IBM Plex Sans" w:cs="IBM Plex Sans" w:eastAsia="IBM Plex Sans" w:hAnsi="IBM Plex Sans"/>
          <w:color w:val="1E293B"/>
          <w:sz w:val="21"/>
          <w:szCs w:val="21"/>
        </w:rPr>
        <w:t xml:space="preserve">American College of Obstetricians and Gynecologists (ACOG), Practice Bulletin No. 195 — Prevention of Infection After Gynecologic Procedures (2018): merekomendasikan profilaksis antibiotik dosis tunggal pada histerektomi, kendali glikemik perioperatif dengan target gula darah &lt;200 mg/dL, dan persiapan kulit berbasis klorheksidin-alkohol. Praktik di Indonesia mengikuti standar nasional Kepkonsil untuk definisi dan alur tata laksana, dengan rekomendasi pencegahan ACOG sebagai pengayaan protokol lokal.</w:t>
      </w:r>
    </w:p>
    <w:p>
      <w:pPr>
        <w:pStyle w:val="ListParagraph"/>
        <w:numPr>
          <w:ilvl w:val="0"/>
          <w:numId w:val="2"/>
        </w:numPr>
        <w:spacing w:after="90" w:line="290"/>
      </w:pPr>
      <w:r>
        <w:rPr>
          <w:rFonts w:ascii="IBM Plex Sans" w:cs="IBM Plex Sans" w:eastAsia="IBM Plex Sans" w:hAnsi="IBM Plex Sans"/>
          <w:color w:val="1E293B"/>
          <w:sz w:val="21"/>
          <w:szCs w:val="21"/>
        </w:rPr>
        <w:t xml:space="preserve">Cochrane Database of Systematic Reviews: dua tinjauan sistematis relevan — Smaill FM &amp; Grivell RM (2014) tentang profilaksis antibiotik pada seksio sesarea, dan Norman G dkk. (2022) tentang terapi tekanan negatif pada luka bedah yang sembuh secara penutupan primer — mendukung tingkat evidens tinggi hingga sedang untuk rekomendasi terkait pada bagian Tingkat Evidens dan Rekomendasi.</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13. Kepustakaan</w:t>
      </w:r>
    </w:p>
    <w:p>
      <w:pPr>
        <w:pStyle w:val="ListParagraph"/>
        <w:numPr>
          <w:ilvl w:val="0"/>
          <w:numId w:val="2"/>
        </w:numPr>
        <w:spacing w:after="90" w:line="290"/>
      </w:pPr>
      <w:r>
        <w:rPr>
          <w:rFonts w:ascii="IBM Plex Sans" w:cs="IBM Plex Sans" w:eastAsia="IBM Plex Sans" w:hAnsi="IBM Plex Sans"/>
          <w:color w:val="1E293B"/>
          <w:sz w:val="21"/>
          <w:szCs w:val="21"/>
        </w:rPr>
        <w:t xml:space="preserve">Konsil Kesehatan Indonesia. Keputusan Ketua Konsil Kesehatan Indonesia No. HK.01.02/KKI/1318/2026 tentang Standar Kompetensi Dokter Spesialis dan Subspesialis Bidang Obstetri dan Ginekologi. Tabel 7 No. 46.</w:t>
      </w:r>
    </w:p>
    <w:p>
      <w:pPr>
        <w:pStyle w:val="ListParagraph"/>
        <w:numPr>
          <w:ilvl w:val="0"/>
          <w:numId w:val="2"/>
        </w:numPr>
        <w:spacing w:after="90" w:line="290"/>
      </w:pPr>
      <w:r>
        <w:rPr>
          <w:rFonts w:ascii="IBM Plex Sans" w:cs="IBM Plex Sans" w:eastAsia="IBM Plex Sans" w:hAnsi="IBM Plex Sans"/>
          <w:color w:val="1E293B"/>
          <w:sz w:val="21"/>
          <w:szCs w:val="21"/>
        </w:rPr>
        <w:t xml:space="preserve">Kementerian Kesehatan Republik Indonesia. Peraturan Menteri Kesehatan Nomor 8 Tahun 2015 tentang Program Pengendalian Resistensi Antimikroba di Rumah Sakit.</w:t>
      </w:r>
    </w:p>
    <w:p>
      <w:pPr>
        <w:pStyle w:val="ListParagraph"/>
        <w:numPr>
          <w:ilvl w:val="0"/>
          <w:numId w:val="2"/>
        </w:numPr>
        <w:spacing w:after="90" w:line="290"/>
      </w:pPr>
      <w:r>
        <w:rPr>
          <w:rFonts w:ascii="IBM Plex Sans" w:cs="IBM Plex Sans" w:eastAsia="IBM Plex Sans" w:hAnsi="IBM Plex Sans"/>
          <w:color w:val="1E293B"/>
          <w:sz w:val="21"/>
          <w:szCs w:val="21"/>
        </w:rPr>
        <w:t xml:space="preserve">Kementerian Kesehatan Republik Indonesia. Peraturan Menteri Kesehatan Nomor 27 Tahun 2017 tentang Pedoman Pencegahan dan Pengendalian Infeksi di Fasilitas Pelayanan Kesehatan.</w:t>
      </w:r>
    </w:p>
    <w:p>
      <w:pPr>
        <w:pStyle w:val="ListParagraph"/>
        <w:numPr>
          <w:ilvl w:val="0"/>
          <w:numId w:val="2"/>
        </w:numPr>
        <w:spacing w:after="90" w:line="290"/>
      </w:pPr>
      <w:r>
        <w:rPr>
          <w:rFonts w:ascii="IBM Plex Sans" w:cs="IBM Plex Sans" w:eastAsia="IBM Plex Sans" w:hAnsi="IBM Plex Sans"/>
          <w:color w:val="1E293B"/>
          <w:sz w:val="21"/>
          <w:szCs w:val="21"/>
        </w:rPr>
        <w:t xml:space="preserve">World Health Organization. Global Guidelines for the Prevention of Surgical Site Infection. 2nd ed. Geneva: WHO; 2018. ISBN 978-92-4-155047-5. Tersedia pada: https://www.who.int/publications/i/item/9789241550475</w:t>
      </w:r>
    </w:p>
    <w:p>
      <w:pPr>
        <w:pStyle w:val="ListParagraph"/>
        <w:numPr>
          <w:ilvl w:val="0"/>
          <w:numId w:val="2"/>
        </w:numPr>
        <w:spacing w:after="90" w:line="290"/>
      </w:pPr>
      <w:r>
        <w:rPr>
          <w:rFonts w:ascii="IBM Plex Sans" w:cs="IBM Plex Sans" w:eastAsia="IBM Plex Sans" w:hAnsi="IBM Plex Sans"/>
          <w:color w:val="1E293B"/>
          <w:sz w:val="21"/>
          <w:szCs w:val="21"/>
        </w:rPr>
        <w:t xml:space="preserve">Centers for Disease Control and Prevention, National Healthcare Safety Network. Patient Safety Component Manual, Chapter 9: Surgical Site Infection (SSI) Event. Atlanta: CDC; edisi terbaru. Tersedia pada: https://www.cdc.gov/nhsn/pdfs/pscmanual/9pscssicurrent.pdf</w:t>
      </w:r>
    </w:p>
    <w:p>
      <w:pPr>
        <w:pStyle w:val="ListParagraph"/>
        <w:numPr>
          <w:ilvl w:val="0"/>
          <w:numId w:val="2"/>
        </w:numPr>
        <w:spacing w:after="90" w:line="290"/>
      </w:pPr>
      <w:r>
        <w:rPr>
          <w:rFonts w:ascii="IBM Plex Sans" w:cs="IBM Plex Sans" w:eastAsia="IBM Plex Sans" w:hAnsi="IBM Plex Sans"/>
          <w:color w:val="1E293B"/>
          <w:sz w:val="21"/>
          <w:szCs w:val="21"/>
        </w:rPr>
        <w:t xml:space="preserve">American College of Obstetricians and Gynecologists. Practice Bulletin No. 195: Prevention of Infection After Gynecologic Procedures. Obstet Gynecol. 2018;131(6):e172–e189. doi:10.1097/AOG.0000000000002670</w:t>
      </w:r>
    </w:p>
    <w:p>
      <w:pPr>
        <w:pStyle w:val="ListParagraph"/>
        <w:numPr>
          <w:ilvl w:val="0"/>
          <w:numId w:val="2"/>
        </w:numPr>
        <w:spacing w:after="90" w:line="290"/>
      </w:pPr>
      <w:r>
        <w:rPr>
          <w:rFonts w:ascii="IBM Plex Sans" w:cs="IBM Plex Sans" w:eastAsia="IBM Plex Sans" w:hAnsi="IBM Plex Sans"/>
          <w:color w:val="1E293B"/>
          <w:sz w:val="21"/>
          <w:szCs w:val="21"/>
        </w:rPr>
        <w:t xml:space="preserve">Smaill FM, Grivell RM. Antibiotic prophylaxis versus no prophylaxis for preventing infection after cesarean section. Cochrane Database Syst Rev. 2014;(10):CD007482. doi:10.1002/14651858.CD007482.pub3</w:t>
      </w:r>
    </w:p>
    <w:p>
      <w:pPr>
        <w:pStyle w:val="ListParagraph"/>
        <w:numPr>
          <w:ilvl w:val="0"/>
          <w:numId w:val="2"/>
        </w:numPr>
        <w:spacing w:after="90" w:line="290"/>
      </w:pPr>
      <w:r>
        <w:rPr>
          <w:rFonts w:ascii="IBM Plex Sans" w:cs="IBM Plex Sans" w:eastAsia="IBM Plex Sans" w:hAnsi="IBM Plex Sans"/>
          <w:color w:val="1E293B"/>
          <w:sz w:val="21"/>
          <w:szCs w:val="21"/>
        </w:rPr>
        <w:t xml:space="preserve">Norman G, Shi C, Goh EL, et al. Negative pressure wound therapy for surgical wounds healing by primary closure. Cochrane Database Syst Rev. 2022;(4):CD009261. doi:10.1002/14651858.CD009261.pub7</w:t>
      </w:r>
    </w:p>
    <w:p>
      <w:pPr>
        <w:pStyle w:val="ListParagraph"/>
        <w:numPr>
          <w:ilvl w:val="0"/>
          <w:numId w:val="2"/>
        </w:numPr>
        <w:spacing w:after="90" w:line="290"/>
      </w:pPr>
      <w:r>
        <w:rPr>
          <w:rFonts w:ascii="IBM Plex Sans" w:cs="IBM Plex Sans" w:eastAsia="IBM Plex Sans" w:hAnsi="IBM Plex Sans"/>
          <w:color w:val="1E293B"/>
          <w:sz w:val="21"/>
          <w:szCs w:val="21"/>
        </w:rPr>
        <w:t xml:space="preserve">Darouiche RO, Wall MJ Jr, Itani KMF, et al. Chlorhexidine-Alcohol versus Povidone-Iodine for Surgical-Site Antisepsis. N Engl J Med. 2010;362(1):18–26. doi:10.1056/NEJMoa0810988</w:t>
      </w:r>
    </w:p>
    <w:p>
      <w:pPr>
        <w:pStyle w:val="ListParagraph"/>
        <w:numPr>
          <w:ilvl w:val="0"/>
          <w:numId w:val="2"/>
        </w:numPr>
        <w:spacing w:after="90" w:line="290"/>
      </w:pPr>
      <w:r>
        <w:rPr>
          <w:rFonts w:ascii="IBM Plex Sans" w:cs="IBM Plex Sans" w:eastAsia="IBM Plex Sans" w:hAnsi="IBM Plex Sans"/>
          <w:color w:val="1E293B"/>
          <w:sz w:val="21"/>
          <w:szCs w:val="21"/>
        </w:rPr>
        <w:t xml:space="preserve">Tuuli MG, Liu J, Stout MJ, et al. A Randomized Trial Comparing Skin Antiseptic Agents at Cesarean Delivery. N Engl J Med. 2016;374(7):647–655. doi:10.1056/NEJMoa1511048</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Kontribusi Divisi Pengampu — Obstetri Ginekologi Sosial</w:t>
      </w:r>
    </w:p>
    <w:p>
      <w:pPr>
        <w:spacing w:after="60" w:before="120"/>
      </w:pPr>
      <w:r>
        <w:rPr>
          <w:rFonts w:ascii="Source Serif 4" w:cs="Source Serif 4" w:eastAsia="Source Serif 4" w:hAnsi="Source Serif 4"/>
          <w:b/>
          <w:bCs/>
          <w:color w:val="4F46E5"/>
          <w:sz w:val="22"/>
          <w:szCs w:val="22"/>
        </w:rPr>
        <w:t xml:space="preserve">A. Deskripsi</w:t>
      </w:r>
    </w:p>
    <w:p>
      <w:pPr>
        <w:spacing w:after="160" w:line="300"/>
      </w:pPr>
      <w:r>
        <w:rPr>
          <w:rFonts w:ascii="IBM Plex Sans" w:cs="IBM Plex Sans" w:eastAsia="IBM Plex Sans" w:hAnsi="IBM Plex Sans"/>
          <w:color w:val="1E293B"/>
          <w:sz w:val="21"/>
          <w:szCs w:val="21"/>
        </w:rPr>
        <w:t xml:space="preserve">Perspektif Obstetri Ginekologi Sosial relevan pada IDO karena pemulihan luka pascaoperasi tidak semata bergantung pada tata laksana medis-bedah, tetapi juga pada determinan sosial pasien — akses kontrol ulang, kemampuan pembiayaan perawatan luka lanjutan, dukungan keluarga, dan kondisi lingkungan tempat tinggal yang memengaruhi kepatuhan perawatan luka mandiri.</w:t>
      </w:r>
    </w:p>
    <w:p>
      <w:pPr>
        <w:spacing w:after="60" w:before="120"/>
      </w:pPr>
      <w:r>
        <w:rPr>
          <w:rFonts w:ascii="Source Serif 4" w:cs="Source Serif 4" w:eastAsia="Source Serif 4" w:hAnsi="Source Serif 4"/>
          <w:b/>
          <w:bCs/>
          <w:color w:val="4F46E5"/>
          <w:sz w:val="22"/>
          <w:szCs w:val="22"/>
        </w:rPr>
        <w:t xml:space="preserve">B. Kerangka Analisis Determinan Sosial Penyembuhan Luka</w:t>
      </w:r>
    </w:p>
    <w:p>
      <w:pPr>
        <w:spacing w:after="160" w:line="300"/>
      </w:pPr>
      <w:r>
        <w:rPr>
          <w:rFonts w:ascii="IBM Plex Sans" w:cs="IBM Plex Sans" w:eastAsia="IBM Plex Sans" w:hAnsi="IBM Plex Sans"/>
          <w:color w:val="1E293B"/>
          <w:sz w:val="21"/>
          <w:szCs w:val="21"/>
        </w:rPr>
        <w:t xml:space="preserve">Keberhasilan tata laksana IDO ditentukan oleh interaksi tiga lapis faktor: klinis (kedalaman infeksi, komorbiditas), sistem layanan (ketersediaan fasilitas kontrol ulang, kesinambungan rekam medis), dan sosial-ekonomi (kemampuan pasien menjangkau fasilitas kesehatan secara berulang, biaya dressing/bahan habis pakai, dan dukungan perawatan di rumah). Ketimpangan pada lapis ketiga kerap menjadi penyebab keterlambatan deteksi komplikasi atau putus kontrol yang tidak tercermin pada catatan klinis semata, sehingga penilaian psikososial terstruktur perlu menjadi bagian dari tata laksana kasus IDO dengan perawatan luka berkepanjangan.</w:t>
      </w:r>
    </w:p>
    <w:p>
      <w:pPr>
        <w:spacing w:after="60" w:before="120"/>
      </w:pPr>
      <w:r>
        <w:rPr>
          <w:rFonts w:ascii="Source Serif 4" w:cs="Source Serif 4" w:eastAsia="Source Serif 4" w:hAnsi="Source Serif 4"/>
          <w:b/>
          <w:bCs/>
          <w:color w:val="4F46E5"/>
          <w:sz w:val="22"/>
          <w:szCs w:val="22"/>
        </w:rPr>
        <w:t xml:space="preserve">C. Ilustrasi Kasus Lapangan</w:t>
      </w:r>
    </w:p>
    <w:p>
      <w:pPr>
        <w:spacing w:after="160" w:line="300"/>
      </w:pPr>
      <w:r>
        <w:rPr>
          <w:rFonts w:ascii="IBM Plex Sans" w:cs="IBM Plex Sans" w:eastAsia="IBM Plex Sans" w:hAnsi="IBM Plex Sans"/>
          <w:color w:val="1E293B"/>
          <w:sz w:val="21"/>
          <w:szCs w:val="21"/>
        </w:rPr>
        <w:t xml:space="preserve">Ilustrasi berikut bersifat gambaran umum (bukan kasus nyata) untuk memperjelas penerapan kerangka di atas. Seorang pasien pascaseksio sesarea emergensi dengan infeksi profunda insisional memerlukan penggantian balutan setiap dua hari selama tiga minggu. Kontrol ulang sempat terputus karena kendala biaya transportasi dan tidak ada anggota keluarga yang dapat mendampingi. Koordinasi dengan divisi Obstetri Ginekologi Sosial menghubungkan pasien dengan layanan kunjungan rumah oleh perawat komunitas dan skema pembiayaan yang tersedia di wilayah tersebut, sehingga perawatan luka dapat dilanjutkan secara konsisten hingga luka sembuh sempurna tanpa perlu rawat inap ulang.</w:t>
      </w: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Glosarium</w:t>
      </w:r>
    </w:p>
    <w:p>
      <w:pPr>
        <w:spacing w:after="120"/>
      </w:pPr>
    </w:p>
    <w:tbl>
      <w:tblPr>
        <w:tblW w:type="dxa" w:w="9360"/>
        <w:tblBorders>
          <w:top w:val="single" w:color="CBD5E1" w:sz="4"/>
          <w:left w:val="single" w:color="CBD5E1" w:sz="4"/>
          <w:bottom w:val="single" w:color="CBD5E1" w:sz="4"/>
          <w:right w:val="single" w:color="CBD5E1" w:sz="4"/>
          <w:insideH w:val="single" w:color="CBD5E1" w:sz="4"/>
          <w:insideV w:val="single" w:color="CBD5E1" w:sz="4"/>
        </w:tblBorders>
      </w:tblPr>
      <w:tblGrid>
        <w:gridCol w:w="2800"/>
        <w:gridCol w:w="6560"/>
      </w:tblGrid>
      <w:tr>
        <w:tc>
          <w:tcPr>
            <w:tcW w:type="dxa" w:w="2800"/>
            <w:shd w:fill="FFFFFF"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IDO (Infeksi Daerah Operasi)</w:t>
            </w:r>
          </w:p>
        </w:tc>
        <w:tc>
          <w:tcPr>
            <w:tcW w:type="dxa" w:w="656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Padanan Indonesia dari surgical site infection (SSI); infeksi pada lokasi pembedahan yang timbul dalam 30 hari pascaoperasi, atau 90 hari bila terpasang implan.</w:t>
            </w:r>
          </w:p>
        </w:tc>
      </w:tr>
      <w:tr>
        <w:tc>
          <w:tcPr>
            <w:tcW w:type="dxa" w:w="2800"/>
            <w:shd w:fill="F1F5F9"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Insisi Superfisial (Superficial Incisional)</w:t>
            </w:r>
          </w:p>
        </w:tc>
        <w:tc>
          <w:tcPr>
            <w:tcW w:type="dxa" w:w="6560"/>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Kategori IDO yang terbatas pada lapisan kulit dan jaringan subkutan di sekitar insisi.</w:t>
            </w:r>
          </w:p>
        </w:tc>
      </w:tr>
      <w:tr>
        <w:tc>
          <w:tcPr>
            <w:tcW w:type="dxa" w:w="2800"/>
            <w:shd w:fill="FFFFFF"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Insisi Profunda (Deep Incisional)</w:t>
            </w:r>
          </w:p>
        </w:tc>
        <w:tc>
          <w:tcPr>
            <w:tcW w:type="dxa" w:w="656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Kategori IDO yang melibatkan lapisan fasia dan/atau otot di bawah jaringan subkutan.</w:t>
            </w:r>
          </w:p>
        </w:tc>
      </w:tr>
      <w:tr>
        <w:tc>
          <w:tcPr>
            <w:tcW w:type="dxa" w:w="2800"/>
            <w:shd w:fill="F1F5F9"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Organ/Rongga (Organ/Space)</w:t>
            </w:r>
          </w:p>
        </w:tc>
        <w:tc>
          <w:tcPr>
            <w:tcW w:type="dxa" w:w="6560"/>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Kategori IDO yang melibatkan struktur anatomis yang dibuka atau dimanipulasi saat pembedahan, misalnya rongga pelvis atau kavum abdomen.</w:t>
            </w:r>
          </w:p>
        </w:tc>
      </w:tr>
      <w:tr>
        <w:tc>
          <w:tcPr>
            <w:tcW w:type="dxa" w:w="2800"/>
            <w:shd w:fill="FFFFFF"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Debridement</w:t>
            </w:r>
          </w:p>
        </w:tc>
        <w:tc>
          <w:tcPr>
            <w:tcW w:type="dxa" w:w="656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Tindakan mengangkat jaringan nekrotik atau terinfeksi dari luka untuk mempercepat penyembuhan dan mengendalikan infeksi.</w:t>
            </w:r>
          </w:p>
        </w:tc>
      </w:tr>
      <w:tr>
        <w:tc>
          <w:tcPr>
            <w:tcW w:type="dxa" w:w="2800"/>
            <w:shd w:fill="F1F5F9"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Dehisensi</w:t>
            </w:r>
          </w:p>
        </w:tc>
        <w:tc>
          <w:tcPr>
            <w:tcW w:type="dxa" w:w="6560"/>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Terbukanya kembali tepi luka operasi yang sebelumnya tertutup, baik secara spontan maupun sengaja dibuka oleh klinisi.</w:t>
            </w:r>
          </w:p>
        </w:tc>
      </w:tr>
      <w:tr>
        <w:tc>
          <w:tcPr>
            <w:tcW w:type="dxa" w:w="2800"/>
            <w:shd w:fill="FFFFFF"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Fasiitis Nekrotikans</w:t>
            </w:r>
          </w:p>
        </w:tc>
        <w:tc>
          <w:tcPr>
            <w:tcW w:type="dxa" w:w="656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Infeksi jaringan lunak yang progresif dan mengancam nyawa, ditandai nekrosis fasia yang menyebar cepat; merupakan kegawatdaruratan bedah.</w:t>
            </w:r>
          </w:p>
        </w:tc>
      </w:tr>
      <w:tr>
        <w:tc>
          <w:tcPr>
            <w:tcW w:type="dxa" w:w="2800"/>
            <w:shd w:fill="F1F5F9"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NPWT (Negative Pressure Wound Therapy)</w:t>
            </w:r>
          </w:p>
        </w:tc>
        <w:tc>
          <w:tcPr>
            <w:tcW w:type="dxa" w:w="6560"/>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Terapi tekanan negatif pada luka menggunakan sistem tertutup untuk mendukung penyembuhan atau, secara profilaktik, menurunkan risiko infeksi pada insisi berisiko tinggi.</w:t>
            </w:r>
          </w:p>
        </w:tc>
      </w:tr>
      <w:tr>
        <w:tc>
          <w:tcPr>
            <w:tcW w:type="dxa" w:w="2800"/>
            <w:shd w:fill="FFFFFF"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CDC/NHSN</w:t>
            </w:r>
          </w:p>
        </w:tc>
        <w:tc>
          <w:tcPr>
            <w:tcW w:type="dxa" w:w="656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Centers for Disease Control and Prevention/National Healthcare Safety Network — badan kesehatan masyarakat Amerika Serikat yang menerbitkan definisi surveilans infeksi terkait layanan kesehatan, termasuk IDO, yang dipakai secara internasional.</w:t>
            </w:r>
          </w:p>
        </w:tc>
      </w:tr>
      <w:tr>
        <w:tc>
          <w:tcPr>
            <w:tcW w:type="dxa" w:w="2800"/>
            <w:shd w:fill="F1F5F9"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PPI (Pencegahan dan Pengendalian Infeksi)</w:t>
            </w:r>
          </w:p>
        </w:tc>
        <w:tc>
          <w:tcPr>
            <w:tcW w:type="dxa" w:w="6560"/>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Program dan tim di fasilitas pelayanan kesehatan yang bertanggung jawab mencegah dan mengendalikan infeksi terkait layanan kesehatan, diatur dalam Permenkes No. 27 Tahun 2017.</w:t>
            </w:r>
          </w:p>
        </w:tc>
      </w:tr>
      <w:tr>
        <w:tc>
          <w:tcPr>
            <w:tcW w:type="dxa" w:w="2800"/>
            <w:shd w:fill="FFFFFF"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PPRA (Program Pengendalian Resistensi Antimikroba)</w:t>
            </w:r>
          </w:p>
        </w:tc>
        <w:tc>
          <w:tcPr>
            <w:tcW w:type="dxa" w:w="656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Program wajib rumah sakit untuk penggunaan antimikroba yang bijak guna mencegah resistensi, diatur dalam Permenkes No. 8 Tahun 2015.</w:t>
            </w:r>
          </w:p>
        </w:tc>
      </w:tr>
      <w:tr>
        <w:tc>
          <w:tcPr>
            <w:tcW w:type="dxa" w:w="2800"/>
            <w:shd w:fill="F1F5F9"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MRSA</w:t>
            </w:r>
          </w:p>
        </w:tc>
        <w:tc>
          <w:tcPr>
            <w:tcW w:type="dxa" w:w="6560"/>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Methicillin-resistant Staphylococcus aureus; galur Staphylococcus aureus yang resisten terhadap antibiotik golongan beta-laktam, memerlukan pilihan antibiotik alternatif.</w:t>
            </w:r>
          </w:p>
        </w:tc>
      </w:tr>
      <w:tr>
        <w:tc>
          <w:tcPr>
            <w:tcW w:type="dxa" w:w="2800"/>
            <w:shd w:fill="FFFFFF"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Korioamnionitis</w:t>
            </w:r>
          </w:p>
        </w:tc>
        <w:tc>
          <w:tcPr>
            <w:tcW w:type="dxa" w:w="656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Infeksi/inflamasi pada selaput ketuban dan cairan amnion yang meningkatkan risiko infeksi pascapersalinan, termasuk IDO pascaseksio sesarea.</w:t>
            </w:r>
          </w:p>
        </w:tc>
      </w:tr>
      <w:tr>
        <w:tc>
          <w:tcPr>
            <w:tcW w:type="dxa" w:w="2800"/>
            <w:shd w:fill="F1F5F9"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Klorheksidin-Alkohol</w:t>
            </w:r>
          </w:p>
        </w:tc>
        <w:tc>
          <w:tcPr>
            <w:tcW w:type="dxa" w:w="6560"/>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Larutan antiseptik kulit praoperasi berbasis klorheksidin dan alkohol, terbukti menurunkan risiko IDO dibandingkan povidon-iodin pada bedah bersih-terkontaminasi.</w:t>
            </w:r>
          </w:p>
        </w:tc>
      </w:tr>
      <w:tr>
        <w:tc>
          <w:tcPr>
            <w:tcW w:type="dxa" w:w="2800"/>
            <w:shd w:fill="FFFFFF"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Penutupan Primer Tertunda (Delayed Primary Closure)</w:t>
            </w:r>
          </w:p>
        </w:tc>
        <w:tc>
          <w:tcPr>
            <w:tcW w:type="dxa" w:w="656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Teknik menutup luka beberapa hari setelah operasi, setelah risiko infeksi/kontaminasi dinilai berkurang, alih-alih menutup luka segera.</w:t>
            </w:r>
          </w:p>
        </w:tc>
      </w:tr>
      <w:tr>
        <w:tc>
          <w:tcPr>
            <w:tcW w:type="dxa" w:w="2800"/>
            <w:shd w:fill="F1F5F9" w:val="clear"/>
            <w:tcMar>
              <w:top w:type="dxa" w:w="100"/>
              <w:left w:type="dxa" w:w="120"/>
              <w:bottom w:type="dxa" w:w="100"/>
              <w:right w:type="dxa" w:w="120"/>
            </w:tcMar>
          </w:tcPr>
          <w:p>
            <w:r>
              <w:rPr>
                <w:rFonts w:ascii="IBM Plex Sans" w:cs="IBM Plex Sans" w:eastAsia="IBM Plex Sans" w:hAnsi="IBM Plex Sans"/>
                <w:b/>
                <w:bCs/>
                <w:color w:val="3730A3"/>
                <w:sz w:val="19"/>
                <w:szCs w:val="19"/>
              </w:rPr>
              <w:t xml:space="preserve">Quo ad Vitam / Functionam / Sanationam</w:t>
            </w:r>
          </w:p>
        </w:tc>
        <w:tc>
          <w:tcPr>
            <w:tcW w:type="dxa" w:w="6560"/>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Istilah prognosis medis: berkaitan dengan kelangsungan hidup (vitam), fungsi organ/tubuh (functionam), dan kesembuhan total (sanationam).</w:t>
            </w:r>
          </w:p>
        </w:tc>
      </w:tr>
    </w:tbl>
    <w:p>
      <w:pPr>
        <w:spacing w:after="120"/>
      </w:pPr>
    </w:p>
    <w:p>
      <w:pPr>
        <w:pStyle w:val="Heading1"/>
        <w:pBdr>
          <w:bottom w:val="single" w:color="4F46E5" w:sz="8" w:space="4"/>
        </w:pBdr>
        <w:spacing w:after="160" w:before="320"/>
      </w:pPr>
      <w:r>
        <w:rPr>
          <w:rFonts w:ascii="Source Serif 4" w:cs="Source Serif 4" w:eastAsia="Source Serif 4" w:hAnsi="Source Serif 4"/>
          <w:b/>
          <w:bCs/>
          <w:color w:val="3730A3"/>
          <w:sz w:val="30"/>
          <w:szCs w:val="30"/>
        </w:rPr>
        <w:t xml:space="preserve">Tentang Dokumen Ini</w:t>
      </w:r>
    </w:p>
    <w:p>
      <w:pPr>
        <w:spacing w:after="60"/>
      </w:pPr>
      <w:r>
        <w:rPr>
          <w:rFonts w:ascii="IBM Plex Mono" w:cs="IBM Plex Mono" w:eastAsia="IBM Plex Mono" w:hAnsi="IBM Plex Mono"/>
          <w:color w:val="B45309"/>
          <w:sz w:val="17"/>
          <w:szCs w:val="17"/>
        </w:rPr>
        <w:t xml:space="preserve">Penulis</w:t>
      </w:r>
    </w:p>
    <w:p>
      <w:pPr>
        <w:spacing w:after="140"/>
      </w:pPr>
      <w:r>
        <w:rPr>
          <w:rFonts w:ascii="IBM Plex Sans" w:cs="IBM Plex Sans" w:eastAsia="IBM Plex Sans" w:hAnsi="IBM Plex Sans"/>
          <w:b/>
          <w:bCs/>
          <w:sz w:val="21"/>
          <w:szCs w:val="21"/>
        </w:rPr>
        <w:t xml:space="preserve">Dr.dr. Budi Siswanto, Sp.OG., Subsp.Obginsos., SH., S.Kom.</w:t>
      </w:r>
    </w:p>
    <w:p>
      <w:pPr>
        <w:spacing w:after="60"/>
      </w:pPr>
      <w:r>
        <w:rPr>
          <w:rFonts w:ascii="IBM Plex Mono" w:cs="IBM Plex Mono" w:eastAsia="IBM Plex Mono" w:hAnsi="IBM Plex Mono"/>
          <w:color w:val="B45309"/>
          <w:sz w:val="17"/>
          <w:szCs w:val="17"/>
        </w:rPr>
        <w:t xml:space="preserve">Penerbit</w:t>
      </w:r>
    </w:p>
    <w:p>
      <w:pPr>
        <w:spacing w:after="20"/>
      </w:pPr>
      <w:r>
        <w:rPr>
          <w:rFonts w:ascii="IBM Plex Sans" w:cs="IBM Plex Sans" w:eastAsia="IBM Plex Sans" w:hAnsi="IBM Plex Sans"/>
          <w:b/>
          <w:bCs/>
          <w:sz w:val="21"/>
          <w:szCs w:val="21"/>
        </w:rPr>
        <w:t xml:space="preserve">Perpustakaan Digital ABBA</w:t>
      </w:r>
    </w:p>
    <w:p>
      <w:pPr>
        <w:spacing w:after="140"/>
      </w:pPr>
      <w:r>
        <w:rPr>
          <w:rFonts w:ascii="IBM Plex Sans" w:cs="IBM Plex Sans" w:eastAsia="IBM Plex Sans" w:hAnsi="IBM Plex Sans"/>
          <w:sz w:val="20"/>
          <w:szCs w:val="20"/>
        </w:rPr>
        <w:t xml:space="preserve">Jl. Kerinci Raya No. 9, Malang 65138</w:t>
      </w:r>
    </w:p>
    <w:p>
      <w:r>
        <w:rPr>
          <w:rFonts w:ascii="IBM Plex Sans" w:cs="IBM Plex Sans" w:eastAsia="IBM Plex Sans" w:hAnsi="IBM Plex Sans"/>
          <w:i/>
          <w:iCs/>
          <w:color w:val="334155"/>
          <w:sz w:val="19"/>
          <w:szCs w:val="19"/>
        </w:rPr>
        <w:t xml:space="preserve">Diterbitkan Agustus 2026. Dokumen PPK No. 46 dari 73 dalam ekosistem literatur standar SpOG.</w:t>
      </w:r>
    </w:p>
    <w:sectPr>
      <w:headerReference w:type="default" r:id="rId7"/>
      <w:footerReference w:type="default" r:id="rId8"/>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4" w:space="4"/>
      </w:pBdr>
      <w:jc w:val="center"/>
    </w:pPr>
    <w:r>
      <w:rPr>
        <w:rFonts w:ascii="IBM Plex Mono" w:cs="IBM Plex Mono" w:eastAsia="IBM Plex Mono" w:hAnsi="IBM Plex Mono"/>
        <w:color w:val="334155"/>
        <w:sz w:val="16"/>
        <w:szCs w:val="16"/>
      </w:rPr>
      <w:t xml:space="preserve">Dokumen PPK No. 46 dari 73   |   Halaman </w:t>
    </w:r>
    <w:r>
      <w:rPr>
        <w:rFonts w:ascii="IBM Plex Mono" w:cs="IBM Plex Mono" w:eastAsia="IBM Plex Mono" w:hAnsi="IBM Plex Mono"/>
        <w:color w:val="334155"/>
        <w:sz w:val="16"/>
        <w:szCs w:val="16"/>
      </w:rPr>
      <w:fldChar w:fldCharType="begin"/>
      <w:instrText xml:space="preserve">PAGE</w:instrText>
      <w:fldChar w:fldCharType="separate"/>
      <w:fldChar w:fldCharType="end"/>
    </w:r>
    <w:r>
      <w:rPr>
        <w:rFonts w:ascii="IBM Plex Mono" w:cs="IBM Plex Mono" w:eastAsia="IBM Plex Mono" w:hAnsi="IBM Plex Mono"/>
        <w:color w:val="334155"/>
        <w:sz w:val="16"/>
        <w:szCs w:val="16"/>
      </w:rPr>
      <w:t xml:space="preserve"> / </w:t>
    </w:r>
    <w:r>
      <w:rPr>
        <w:rFonts w:ascii="IBM Plex Mono" w:cs="IBM Plex Mono" w:eastAsia="IBM Plex Mono" w:hAnsi="IBM Plex Mono"/>
        <w:color w:val="3341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E8F0" w:sz="4" w:space="4"/>
      </w:pBdr>
      <w:jc w:val="right"/>
    </w:pPr>
    <w:r>
      <w:rPr>
        <w:rFonts w:ascii="IBM Plex Mono" w:cs="IBM Plex Mono" w:eastAsia="IBM Plex Mono" w:hAnsi="IBM Plex Mono"/>
        <w:color w:val="334155"/>
        <w:sz w:val="16"/>
        <w:szCs w:val="16"/>
      </w:rPr>
      <w:t xml:space="preserve">PPK-046 · Infeksi Daerah Operasi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1E293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2026-08-17T23:02:18.311Z</dcterms:created>
  <dcterms:modified xsi:type="dcterms:W3CDTF">2026-08-17T23:02:18.334Z</dcterms:modified>
</cp:coreProperties>
</file>

<file path=docProps/custom.xml><?xml version="1.0" encoding="utf-8"?>
<Properties xmlns="http://schemas.openxmlformats.org/officeDocument/2006/custom-properties" xmlns:vt="http://schemas.openxmlformats.org/officeDocument/2006/docPropsVTypes"/>
</file>