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600"/>
        <w:jc w:val="center"/>
      </w:pPr>
      <w:r>
        <w:rPr>
          <w:rFonts w:ascii="IBM Plex Mono" w:cs="IBM Plex Mono" w:eastAsia="IBM Plex Mono" w:hAnsi="IBM Plex Mono"/>
          <w:b/>
          <w:bCs/>
          <w:color w:val="4F46E5"/>
          <w:sz w:val="22"/>
          <w:szCs w:val="22"/>
        </w:rPr>
        <w:t xml:space="preserve">PERPUSTAKAAN DIGITAL ABBA</w:t>
      </w:r>
    </w:p>
    <w:p>
      <w:pPr>
        <w:spacing w:after="400"/>
        <w:jc w:val="center"/>
      </w:pPr>
      <w:r>
        <w:rPr>
          <w:color w:val="64748B"/>
          <w:sz w:val="20"/>
          <w:szCs w:val="20"/>
        </w:rPr>
        <w:t xml:space="preserve">Ekosistem Literatur Standar SpOG — Panduan Praktik Klinis</w:t>
      </w:r>
    </w:p>
    <w:p>
      <w:pPr>
        <w:spacing w:after="80" w:before="400"/>
        <w:jc w:val="center"/>
      </w:pPr>
      <w:r>
        <w:rPr>
          <w:rFonts w:ascii="IBM Plex Mono" w:cs="IBM Plex Mono" w:eastAsia="IBM Plex Mono" w:hAnsi="IBM Plex Mono"/>
          <w:b/>
          <w:bCs/>
          <w:color w:val="B45309"/>
          <w:sz w:val="20"/>
          <w:szCs w:val="20"/>
        </w:rPr>
        <w:t xml:space="preserve">PPK No. 47 dari 73</w:t>
      </w:r>
    </w:p>
    <w:p>
      <w:pPr>
        <w:spacing w:after="40" w:before="200"/>
        <w:jc w:val="center"/>
      </w:pPr>
      <w:r>
        <w:rPr>
          <w:rFonts w:ascii="Source Serif 4" w:cs="Source Serif 4" w:eastAsia="Source Serif 4" w:hAnsi="Source Serif 4"/>
          <w:b/>
          <w:bCs/>
          <w:color w:val="0F172A"/>
          <w:sz w:val="44"/>
          <w:szCs w:val="44"/>
        </w:rPr>
        <w:t xml:space="preserve">Mioma Uteri Tanpa Penyulit</w:t>
      </w:r>
    </w:p>
    <w:p>
      <w:pPr>
        <w:spacing w:after="300"/>
        <w:jc w:val="center"/>
      </w:pPr>
      <w:r>
        <w:rPr>
          <w:i/>
          <w:iCs/>
          <w:color w:val="64748B"/>
          <w:sz w:val="26"/>
          <w:szCs w:val="26"/>
        </w:rPr>
        <w:t xml:space="preserve">Uterine Fibroid Without Complication</w:t>
      </w:r>
    </w:p>
    <w:p>
      <w:pPr>
        <w:spacing w:after="60"/>
        <w:jc w:val="center"/>
      </w:pPr>
      <w:r>
        <w:rPr>
          <w:rFonts w:ascii="IBM Plex Mono" w:cs="IBM Plex Mono" w:eastAsia="IBM Plex Mono" w:hAnsi="IBM Plex Mono"/>
          <w:color w:val="334155"/>
          <w:sz w:val="20"/>
          <w:szCs w:val="20"/>
        </w:rPr>
        <w:t xml:space="preserve">ICD-10: D25.9   |   ICD-11: 2E86.0</w:t>
      </w:r>
    </w:p>
    <w:p>
      <w:pPr>
        <w:spacing w:after="40" w:before="600"/>
        <w:jc w:val="center"/>
      </w:pPr>
      <w:r>
        <w:rPr>
          <w:color w:val="64748B"/>
          <w:sz w:val="18"/>
          <w:szCs w:val="18"/>
        </w:rPr>
        <w:t xml:space="preserve">Buku Tematik Induk: B6 — Ginekologi Umum dan Infeksi Saluran Reproduksi</w:t>
      </w:r>
    </w:p>
    <w:p>
      <w:pPr>
        <w:spacing w:after="500"/>
        <w:jc w:val="center"/>
      </w:pPr>
      <w:r>
        <w:rPr>
          <w:color w:val="64748B"/>
          <w:sz w:val="18"/>
          <w:szCs w:val="18"/>
        </w:rPr>
        <w:t xml:space="preserve">Divisi Pengampu: Obstetri Ginekologi Sosial</w:t>
      </w:r>
    </w:p>
    <w:p>
      <w:pPr>
        <w:spacing w:after="20" w:before="800"/>
        <w:jc w:val="center"/>
      </w:pPr>
      <w:r>
        <w:rPr>
          <w:b/>
          <w:bCs/>
          <w:color w:val="0F172A"/>
          <w:sz w:val="20"/>
          <w:szCs w:val="20"/>
        </w:rPr>
        <w:t xml:space="preserve">Dr.dr. Budi Siswanto, Sp.OG., Subsp.Obginsos., SH., S.Kom.</w:t>
      </w:r>
    </w:p>
    <w:p>
      <w:pPr>
        <w:spacing w:after="4"/>
        <w:jc w:val="center"/>
      </w:pPr>
      <w:r>
        <w:rPr>
          <w:color w:val="64748B"/>
          <w:sz w:val="18"/>
          <w:szCs w:val="18"/>
        </w:rPr>
        <w:t xml:space="preserve">Perpustakaan Digital ABBA</w:t>
      </w:r>
    </w:p>
    <w:p>
      <w:pPr>
        <w:jc w:val="center"/>
      </w:pPr>
      <w:r>
        <w:rPr>
          <w:color w:val="64748B"/>
          <w:sz w:val="18"/>
          <w:szCs w:val="18"/>
        </w:rPr>
        <w:t xml:space="preserve">Jl Kerinci Raya No 9, Malang 65138</w:t>
      </w:r>
    </w:p>
    <w:p>
      <w:r>
        <w:br w:type="page"/>
      </w:r>
    </w:p>
    <w:p>
      <w:pPr>
        <w:spacing w:after="200"/>
      </w:pPr>
      <w:r>
        <w:rPr>
          <w:i/>
          <w:iCs/>
          <w:color w:val="64748B"/>
          <w:sz w:val="20"/>
          <w:szCs w:val="20"/>
        </w:rPr>
        <w:t xml:space="preserve">PPK ini merupakan turunan operasional dari Buku Tematik B6 — Ginekologi Umum dan Infeksi Saluran Reproduksi, disusun berdasarkan Tabel 7 Lampiran Kepkonsil No. HK.01.02/KKI/1318/2026, entri No. 47.</w:t>
      </w:r>
    </w:p>
    <w:p>
      <w:pPr>
        <w:pStyle w:val="Heading1"/>
        <w:pBdr>
          <w:bottom w:val="single" w:color="4F46E5" w:sz="8" w:space="4"/>
        </w:pBdr>
        <w:spacing w:after="140" w:before="320"/>
      </w:pPr>
      <w:r>
        <w:rPr>
          <w:rFonts w:ascii="Source Serif 4" w:cs="Source Serif 4" w:eastAsia="Source Serif 4" w:hAnsi="Source Serif 4"/>
          <w:b/>
          <w:bCs/>
          <w:color w:val="0F172A"/>
          <w:sz w:val="28"/>
          <w:szCs w:val="28"/>
        </w:rPr>
        <w:t xml:space="preserve">1. Pengertian/Definisi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FFBEB" w:val="clear"/>
            <w:tcMar>
              <w:top w:type="dxa" w:w="120"/>
              <w:left w:type="dxa" w:w="160"/>
              <w:bottom w:type="dxa" w:w="120"/>
              <w:right w:type="dxa" w:w="160"/>
            </w:tcMar>
          </w:tcPr>
          <w:p>
            <w:r>
              <w:rPr>
                <w:rFonts w:ascii="IBM Plex Mono" w:cs="IBM Plex Mono" w:eastAsia="IBM Plex Mono" w:hAnsi="IBM Plex Mono"/>
                <w:b/>
                <w:bCs/>
                <w:color w:val="B45309"/>
                <w:sz w:val="16"/>
                <w:szCs w:val="16"/>
              </w:rPr>
              <w:t xml:space="preserve">DASAR REGULASI</w:t>
            </w:r>
          </w:p>
          <w:p>
            <w:pPr>
              <w:spacing w:before="60"/>
            </w:pPr>
            <w:r>
              <w:rPr>
                <w:color w:val="334155"/>
                <w:sz w:val="20"/>
                <w:szCs w:val="20"/>
              </w:rPr>
              <w:t xml:space="preserve">Tabel 7 Lampiran Kepkonsil No. HK.01.02/KKI/1318/2026, entri No. 47; Glosarium Lampiran Bab I huruf D</w:t>
            </w:r>
          </w:p>
        </w:tc>
      </w:tr>
    </w:tbl>
    <w:p>
      <w:pPr>
        <w:spacing w:after="120"/>
      </w:pPr>
    </w:p>
    <w:p>
      <w:pPr>
        <w:spacing w:after="160"/>
      </w:pPr>
      <w:r>
        <w:rPr>
          <w:color w:val="334155"/>
          <w:sz w:val="22"/>
          <w:szCs w:val="22"/>
        </w:rPr>
        <w:t xml:space="preserve">Mioma uteri (leiomioma uteri, uterine fibroid/leiomyoma) adalah neoplasma jinak monoklonal yang berasal dari sel otot polos (miometrium) uterus, dapat tumbuh tunggal atau multipel, dan merupakan tumor pelvis jinak tersering pada perempuan usia reproduksi.</w:t>
      </w:r>
    </w:p>
    <w:p>
      <w:pPr>
        <w:spacing w:after="160"/>
      </w:pPr>
      <w:r>
        <w:rPr>
          <w:color w:val="334155"/>
          <w:sz w:val="22"/>
          <w:szCs w:val="22"/>
        </w:rPr>
        <w:t xml:space="preserve">Sesuai Tabel 7 Lampiran Kepkonsil, entri No. 47, "Mioma uteri tanpa penyulit" (Uterine fibroid without complication) didefinisikan sebagai leiomioma jinak pada uterus tanpa gejala berat atau komplikasi pada penilaian saat ini — dengan keterangan tabel: tumor jinak uterus tanpa komplikasi. Kategori ini mencakup mioma yang asimtomatik atau bergejala ringan-sedang, tanpa disertai perdarahan masif akut, degenerasi bergejala berat, torsi, prolaps mioma submukosa terinfeksi, obstruksi saluran kemih/usus, atau kecurigaan keganasan (leiomiosarkoma).</w:t>
      </w:r>
    </w:p>
    <w:p>
      <w:pPr>
        <w:spacing w:after="160"/>
      </w:pPr>
      <w:r>
        <w:rPr>
          <w:color w:val="334155"/>
          <w:sz w:val="22"/>
          <w:szCs w:val="22"/>
        </w:rPr>
        <w:t xml:space="preserve">Klasifikasi lokasi anatomis mengikuti sistem subklasifikasi leiomioma FIGO (submukosa tipe 0-2, intramural tipe 3-4, subserosa tipe 5-7, dan tipe 8 untuk lokasi khusus seperti serviks) — lihat Bagian 12 untuk pembahasan sistem ini sebagai pengayaan standar internasional.</w:t>
      </w:r>
    </w:p>
    <w:p>
      <w:pPr>
        <w:spacing w:after="160"/>
      </w:pPr>
      <w:r>
        <w:rPr>
          <w:color w:val="334155"/>
          <w:sz w:val="22"/>
          <w:szCs w:val="22"/>
        </w:rPr>
        <w:t xml:space="preserve">Mioma uteri merupakan neoplasma jinak tersering pada traktus reproduksi perempuan. Tinjauan sistematis epidemiologi oleh Stewart dkk. (2017) melaporkan rentang prevalensi 4,5-68,6% dan insidensi 217-3.745 kasus per 100.000 perempuan-tahun, bervariasi luas menurut populasi studi, usia, dan modalitas deteksi yang digunakan; angka pasti untuk populasi Indonesia [DATA: rujuk laporan/registri resmi terbaru — mis. Kemenkes, POGI] belum tersedia secara nasional.</w:t>
      </w:r>
    </w:p>
    <w:p>
      <w:pPr>
        <w:pStyle w:val="Heading1"/>
        <w:pBdr>
          <w:bottom w:val="single" w:color="4F46E5" w:sz="8" w:space="4"/>
        </w:pBdr>
        <w:spacing w:after="140" w:before="320"/>
      </w:pPr>
      <w:r>
        <w:rPr>
          <w:rFonts w:ascii="Source Serif 4" w:cs="Source Serif 4" w:eastAsia="Source Serif 4" w:hAnsi="Source Serif 4"/>
          <w:b/>
          <w:bCs/>
          <w:color w:val="0F172A"/>
          <w:sz w:val="28"/>
          <w:szCs w:val="28"/>
        </w:rPr>
        <w:t xml:space="preserve">2. Anamnesis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FFBEB" w:val="clear"/>
            <w:tcMar>
              <w:top w:type="dxa" w:w="120"/>
              <w:left w:type="dxa" w:w="160"/>
              <w:bottom w:type="dxa" w:w="120"/>
              <w:right w:type="dxa" w:w="160"/>
            </w:tcMar>
          </w:tcPr>
          <w:p>
            <w:r>
              <w:rPr>
                <w:rFonts w:ascii="IBM Plex Mono" w:cs="IBM Plex Mono" w:eastAsia="IBM Plex Mono" w:hAnsi="IBM Plex Mono"/>
                <w:b/>
                <w:bCs/>
                <w:color w:val="B45309"/>
                <w:sz w:val="16"/>
                <w:szCs w:val="16"/>
              </w:rPr>
              <w:t xml:space="preserve">DASAR REGULASI</w:t>
            </w:r>
          </w:p>
          <w:p>
            <w:pPr>
              <w:spacing w:before="60"/>
            </w:pPr>
            <w:r>
              <w:rPr>
                <w:color w:val="334155"/>
                <w:sz w:val="20"/>
                <w:szCs w:val="20"/>
              </w:rPr>
              <w:t xml:space="preserve">Kepkonsil Area Kompetensi 2 (Kompetensi Medis) dan Area Kompetensi 3 (Penguasaan Pengetahuan Medis)</w:t>
            </w:r>
          </w:p>
        </w:tc>
      </w:tr>
    </w:tbl>
    <w:p>
      <w:pPr>
        <w:spacing w:after="120"/>
      </w:pPr>
    </w:p>
    <w:p>
      <w:pPr>
        <w:spacing w:after="160"/>
      </w:pPr>
      <w:r>
        <w:rPr>
          <w:color w:val="334155"/>
          <w:sz w:val="22"/>
          <w:szCs w:val="22"/>
        </w:rPr>
        <w:t xml:space="preserve">Banyak kasus mioma uteri tanpa penyulit bersifat asimtomatik dan ditemukan insidental pada pemeriksaan ginekologis rutin atau ultrasonografi. Bila bergejala, keluhan yang perlu digali secara terarah meliputi:</w:t>
      </w:r>
    </w:p>
    <w:p>
      <w:pPr>
        <w:pStyle w:val="ListParagraph"/>
        <w:numPr>
          <w:ilvl w:val="0"/>
          <w:numId w:val="1"/>
        </w:numPr>
        <w:spacing w:after="100"/>
      </w:pPr>
      <w:r>
        <w:rPr>
          <w:color w:val="334155"/>
          <w:sz w:val="22"/>
          <w:szCs w:val="22"/>
        </w:rPr>
        <w:t xml:space="preserve">Perdarahan uterus abnormal — umumnya menoragia (perdarahan haid banyak dan/atau memanjang), terutama pada mioma submukosa atau intramural yang mendistorsi kavum uteri.</w:t>
      </w:r>
    </w:p>
    <w:p>
      <w:pPr>
        <w:pStyle w:val="ListParagraph"/>
        <w:numPr>
          <w:ilvl w:val="0"/>
          <w:numId w:val="1"/>
        </w:numPr>
        <w:spacing w:after="100"/>
      </w:pPr>
      <w:r>
        <w:rPr>
          <w:color w:val="334155"/>
          <w:sz w:val="22"/>
          <w:szCs w:val="22"/>
        </w:rPr>
        <w:t xml:space="preserve">Nyeri atau tekanan pelvis, rasa penuh di perut bawah, dispareunia, atau nyeri punggung bawah pada mioma berukuran besar.</w:t>
      </w:r>
    </w:p>
    <w:p>
      <w:pPr>
        <w:pStyle w:val="ListParagraph"/>
        <w:numPr>
          <w:ilvl w:val="0"/>
          <w:numId w:val="1"/>
        </w:numPr>
        <w:spacing w:after="100"/>
      </w:pPr>
      <w:r>
        <w:rPr>
          <w:color w:val="334155"/>
          <w:sz w:val="22"/>
          <w:szCs w:val="22"/>
        </w:rPr>
        <w:t xml:space="preserve">Gejala tekan pada organ sekitar — frekuensi berkemih atau retensi urin (tekanan pada kandung kemih), konstipasi (tekanan pada rektum).</w:t>
      </w:r>
    </w:p>
    <w:p>
      <w:pPr>
        <w:pStyle w:val="ListParagraph"/>
        <w:numPr>
          <w:ilvl w:val="0"/>
          <w:numId w:val="1"/>
        </w:numPr>
        <w:spacing w:after="100"/>
      </w:pPr>
      <w:r>
        <w:rPr>
          <w:color w:val="334155"/>
          <w:sz w:val="22"/>
          <w:szCs w:val="22"/>
        </w:rPr>
        <w:t xml:space="preserve">Riwayat reproduksi — status kesuburan, rencana kehamilan di masa depan, riwayat abortus berulang atau infertilitas yang mungkin berkaitan dengan mioma submukosa.</w:t>
      </w:r>
    </w:p>
    <w:p>
      <w:pPr>
        <w:pStyle w:val="ListParagraph"/>
        <w:numPr>
          <w:ilvl w:val="0"/>
          <w:numId w:val="1"/>
        </w:numPr>
        <w:spacing w:after="100"/>
      </w:pPr>
      <w:r>
        <w:rPr>
          <w:color w:val="334155"/>
          <w:sz w:val="22"/>
          <w:szCs w:val="22"/>
        </w:rPr>
        <w:t xml:space="preserve">Riwayat siklus haid, kontrasepsi hormonal yang sedang digunakan, dan riwayat keluarga dengan mioma uteri atau leiomiosarkoma.</w:t>
      </w:r>
    </w:p>
    <w:p>
      <w:pPr>
        <w:pStyle w:val="ListParagraph"/>
        <w:numPr>
          <w:ilvl w:val="0"/>
          <w:numId w:val="1"/>
        </w:numPr>
        <w:spacing w:after="100"/>
      </w:pPr>
      <w:r>
        <w:rPr>
          <w:color w:val="334155"/>
          <w:sz w:val="22"/>
          <w:szCs w:val="22"/>
        </w:rPr>
        <w:t xml:space="preserve">Gejala alarm yang mengarah ke penyulit atau diagnosis banding lain — pertumbuhan cepat, nyeri akut hebat (curiga torsi/degenerasi), perdarahan pascamenopause, atau penurunan berat badan tanpa sebab jelas (perlu disingkirkan keganasan).</w:t>
      </w:r>
    </w:p>
    <w:p>
      <w:pPr>
        <w:pStyle w:val="Heading1"/>
        <w:pBdr>
          <w:bottom w:val="single" w:color="4F46E5" w:sz="8" w:space="4"/>
        </w:pBdr>
        <w:spacing w:after="140" w:before="320"/>
      </w:pPr>
      <w:r>
        <w:rPr>
          <w:rFonts w:ascii="Source Serif 4" w:cs="Source Serif 4" w:eastAsia="Source Serif 4" w:hAnsi="Source Serif 4"/>
          <w:b/>
          <w:bCs/>
          <w:color w:val="0F172A"/>
          <w:sz w:val="28"/>
          <w:szCs w:val="28"/>
        </w:rPr>
        <w:t xml:space="preserve">3. Pemeriksaan Fisik</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FFBEB" w:val="clear"/>
            <w:tcMar>
              <w:top w:type="dxa" w:w="120"/>
              <w:left w:type="dxa" w:w="160"/>
              <w:bottom w:type="dxa" w:w="120"/>
              <w:right w:type="dxa" w:w="160"/>
            </w:tcMar>
          </w:tcPr>
          <w:p>
            <w:r>
              <w:rPr>
                <w:rFonts w:ascii="IBM Plex Mono" w:cs="IBM Plex Mono" w:eastAsia="IBM Plex Mono" w:hAnsi="IBM Plex Mono"/>
                <w:b/>
                <w:bCs/>
                <w:color w:val="B45309"/>
                <w:sz w:val="16"/>
                <w:szCs w:val="16"/>
              </w:rPr>
              <w:t xml:space="preserve">DASAR REGULASI</w:t>
            </w:r>
          </w:p>
          <w:p>
            <w:pPr>
              <w:spacing w:before="60"/>
            </w:pPr>
            <w:r>
              <w:rPr>
                <w:color w:val="334155"/>
                <w:sz w:val="20"/>
                <w:szCs w:val="20"/>
              </w:rPr>
              <w:t xml:space="preserve">Kepkonsil Area Kompetensi 2 (Kompetensi Medis)</w:t>
            </w:r>
          </w:p>
        </w:tc>
      </w:tr>
    </w:tbl>
    <w:p>
      <w:pPr>
        <w:spacing w:after="120"/>
      </w:pPr>
    </w:p>
    <w:p>
      <w:pPr>
        <w:spacing w:after="160"/>
      </w:pPr>
      <w:r>
        <w:rPr>
          <w:color w:val="334155"/>
          <w:sz w:val="22"/>
          <w:szCs w:val="22"/>
        </w:rPr>
        <w:t xml:space="preserve">Pemeriksaan abdomen dapat menunjukkan massa padat, tidak nyeri tekan (kecuali pada degenerasi akut), berbatas relatif jelas, teraba dari arah pelvis pada mioma berukuran besar.</w:t>
      </w:r>
    </w:p>
    <w:p>
      <w:pPr>
        <w:spacing w:after="160"/>
      </w:pPr>
      <w:r>
        <w:rPr>
          <w:color w:val="334155"/>
          <w:sz w:val="22"/>
          <w:szCs w:val="22"/>
        </w:rPr>
        <w:t xml:space="preserve">Pemeriksaan ginekologis bimanual umumnya menunjukkan uterus membesar, kontur ireguler atau berbenjol ("bosselated"), konsistensi padat kenyal, mobile, tanpa nyeri tekan pada kasus tanpa penyulit. Pemeriksaan spekulum dilakukan untuk menyingkirkan patologi serviks dan menilai kemungkinan mioma submukosa yang prolaps melalui ostium uteri eksternum.</w:t>
      </w:r>
    </w:p>
    <w:p>
      <w:pPr>
        <w:spacing w:after="160"/>
      </w:pPr>
      <w:r>
        <w:rPr>
          <w:color w:val="334155"/>
          <w:sz w:val="22"/>
          <w:szCs w:val="22"/>
        </w:rPr>
        <w:t xml:space="preserve">Tanda vital dan status generalis diperiksa untuk menilai dampak sistemik perdarahan kronik (misalnya tanda anemia) — bukan untuk kegawatan akut, yang berada di luar cakupan kategori tanpa penyulit ini.</w:t>
      </w:r>
    </w:p>
    <w:p>
      <w:pPr>
        <w:pStyle w:val="Heading1"/>
        <w:pBdr>
          <w:bottom w:val="single" w:color="4F46E5" w:sz="8" w:space="4"/>
        </w:pBdr>
        <w:spacing w:after="140" w:before="320"/>
      </w:pPr>
      <w:r>
        <w:rPr>
          <w:rFonts w:ascii="Source Serif 4" w:cs="Source Serif 4" w:eastAsia="Source Serif 4" w:hAnsi="Source Serif 4"/>
          <w:b/>
          <w:bCs/>
          <w:color w:val="0F172A"/>
          <w:sz w:val="28"/>
          <w:szCs w:val="28"/>
        </w:rPr>
        <w:t xml:space="preserve">4. Kriteria Diagnosis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FFBEB" w:val="clear"/>
            <w:tcMar>
              <w:top w:type="dxa" w:w="120"/>
              <w:left w:type="dxa" w:w="160"/>
              <w:bottom w:type="dxa" w:w="120"/>
              <w:right w:type="dxa" w:w="160"/>
            </w:tcMar>
          </w:tcPr>
          <w:p>
            <w:r>
              <w:rPr>
                <w:rFonts w:ascii="IBM Plex Mono" w:cs="IBM Plex Mono" w:eastAsia="IBM Plex Mono" w:hAnsi="IBM Plex Mono"/>
                <w:b/>
                <w:bCs/>
                <w:color w:val="B45309"/>
                <w:sz w:val="16"/>
                <w:szCs w:val="16"/>
              </w:rPr>
              <w:t xml:space="preserve">DASAR REGULASI</w:t>
            </w:r>
          </w:p>
          <w:p>
            <w:pPr>
              <w:spacing w:before="60"/>
            </w:pPr>
            <w:r>
              <w:rPr>
                <w:color w:val="334155"/>
                <w:sz w:val="20"/>
                <w:szCs w:val="20"/>
              </w:rPr>
              <w:t xml:space="preserve">Tabel 7 Lampiran Kepkonsil, entri No. 47 (kode ICD hasil verifikasi ulang terhadap sumber)</w:t>
            </w:r>
          </w:p>
        </w:tc>
      </w:tr>
    </w:tbl>
    <w:p>
      <w:pPr>
        <w:spacing w:after="120"/>
      </w:pPr>
    </w:p>
    <w:p>
      <w:pPr>
        <w:spacing w:after="160"/>
      </w:pPr>
      <w:r>
        <w:rPr>
          <w:color w:val="334155"/>
          <w:sz w:val="22"/>
          <w:szCs w:val="22"/>
        </w:rPr>
        <w:t xml:space="preserve">Kode ICD-10: D25.9 (Leiomioma uteri, tidak dijelaskan/unspecified). Kode ICD-11: 2E86.0. Kedua kode dicantumkan berdampingan sesuai Aturan 3 Perintah Umum.</w:t>
      </w:r>
    </w:p>
    <w:p>
      <w:pPr>
        <w:spacing w:after="160"/>
      </w:pPr>
      <w:r>
        <w:rPr>
          <w:color w:val="334155"/>
          <w:sz w:val="22"/>
          <w:szCs w:val="22"/>
        </w:rPr>
        <w:t xml:space="preserve">Diagnosis mioma uteri tanpa penyulit ditegakkan berdasarkan kombinasi temuan klinis (anamnesis dan pemeriksaan bimanual) dan konfirmasi pencitraan, dengan kriteria berikut:</w:t>
      </w:r>
    </w:p>
    <w:p>
      <w:pPr>
        <w:pStyle w:val="ListParagraph"/>
        <w:numPr>
          <w:ilvl w:val="0"/>
          <w:numId w:val="1"/>
        </w:numPr>
        <w:spacing w:after="100"/>
      </w:pPr>
      <w:r>
        <w:rPr>
          <w:color w:val="334155"/>
          <w:sz w:val="22"/>
          <w:szCs w:val="22"/>
        </w:rPr>
        <w:t xml:space="preserve">Ultrasonografi transvaginal dan/atau transabdominal sebagai modalitas lini pertama, menunjukkan massa hipoekoik atau heterogen pada miometrium dengan batas relatif jelas, konsisten dengan leiomioma.</w:t>
      </w:r>
    </w:p>
    <w:p>
      <w:pPr>
        <w:pStyle w:val="ListParagraph"/>
        <w:numPr>
          <w:ilvl w:val="0"/>
          <w:numId w:val="1"/>
        </w:numPr>
        <w:spacing w:after="100"/>
      </w:pPr>
      <w:r>
        <w:rPr>
          <w:color w:val="334155"/>
          <w:sz w:val="22"/>
          <w:szCs w:val="22"/>
        </w:rPr>
        <w:t xml:space="preserve">Tidak dijumpai tanda kegawatan atau penyulit pada penilaian saat ini — tidak ada perdarahan akut masif yang mengancam hemodinamik, tidak ada tanda torsi/degenerasi akut bergejala berat, tidak ada obstruksi saluran kemih/usus, dan tidak ada kecurigaan klinis-radiologis keganasan.</w:t>
      </w:r>
    </w:p>
    <w:p>
      <w:pPr>
        <w:pStyle w:val="ListParagraph"/>
        <w:numPr>
          <w:ilvl w:val="0"/>
          <w:numId w:val="1"/>
        </w:numPr>
        <w:spacing w:after="100"/>
      </w:pPr>
      <w:r>
        <w:rPr>
          <w:color w:val="334155"/>
          <w:sz w:val="22"/>
          <w:szCs w:val="22"/>
        </w:rPr>
        <w:t xml:space="preserve">Pemeriksaan histopatologi (bila dilakukan tindakan bedah/prosedural) mengonfirmasi sel otot polos jinak tanpa gambaran atipia signifikan yang mengarah ke leiomiosarkoma.</w:t>
      </w:r>
    </w:p>
    <w:p>
      <w:pPr>
        <w:pStyle w:val="Heading1"/>
        <w:pBdr>
          <w:bottom w:val="single" w:color="4F46E5" w:sz="8" w:space="4"/>
        </w:pBdr>
        <w:spacing w:after="140" w:before="320"/>
      </w:pPr>
      <w:r>
        <w:rPr>
          <w:rFonts w:ascii="Source Serif 4" w:cs="Source Serif 4" w:eastAsia="Source Serif 4" w:hAnsi="Source Serif 4"/>
          <w:b/>
          <w:bCs/>
          <w:color w:val="0F172A"/>
          <w:sz w:val="28"/>
          <w:szCs w:val="28"/>
        </w:rPr>
        <w:t xml:space="preserve">5. Diagnosis Kerja dan Diagnosis Banding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FFBEB" w:val="clear"/>
            <w:tcMar>
              <w:top w:type="dxa" w:w="120"/>
              <w:left w:type="dxa" w:w="160"/>
              <w:bottom w:type="dxa" w:w="120"/>
              <w:right w:type="dxa" w:w="160"/>
            </w:tcMar>
          </w:tcPr>
          <w:p>
            <w:r>
              <w:rPr>
                <w:rFonts w:ascii="IBM Plex Mono" w:cs="IBM Plex Mono" w:eastAsia="IBM Plex Mono" w:hAnsi="IBM Plex Mono"/>
                <w:b/>
                <w:bCs/>
                <w:color w:val="B45309"/>
                <w:sz w:val="16"/>
                <w:szCs w:val="16"/>
              </w:rPr>
              <w:t xml:space="preserve">DASAR REGULASI</w:t>
            </w:r>
          </w:p>
          <w:p>
            <w:pPr>
              <w:spacing w:before="60"/>
            </w:pPr>
            <w:r>
              <w:rPr>
                <w:color w:val="334155"/>
                <w:sz w:val="20"/>
                <w:szCs w:val="20"/>
              </w:rPr>
              <w:t xml:space="preserve">Kepkonsil Area Kompetensi 3 (Penguasaan Pengetahuan Medis)</w:t>
            </w:r>
          </w:p>
        </w:tc>
      </w:tr>
    </w:tbl>
    <w:p>
      <w:pPr>
        <w:spacing w:after="120"/>
      </w:pPr>
    </w:p>
    <w:p>
      <w:pPr>
        <w:spacing w:after="160"/>
      </w:pPr>
      <w:r>
        <w:rPr>
          <w:color w:val="334155"/>
          <w:sz w:val="22"/>
          <w:szCs w:val="22"/>
        </w:rPr>
        <w:t xml:space="preserve">Diagnosis kerja: Mioma uteri tanpa penyulit (D25.9 / 2E86.0).</w:t>
      </w:r>
    </w:p>
    <w:p>
      <w:pPr>
        <w:pStyle w:val="ListParagraph"/>
        <w:numPr>
          <w:ilvl w:val="0"/>
          <w:numId w:val="1"/>
        </w:numPr>
        <w:spacing w:after="100"/>
      </w:pPr>
      <w:r>
        <w:rPr>
          <w:color w:val="334155"/>
          <w:sz w:val="22"/>
          <w:szCs w:val="22"/>
        </w:rPr>
        <w:t xml:space="preserve">Adenomiosis (N80.0 / GA11) — dapat menyerupai mioma secara klinis dan pada USG; pembeda utama adalah gambaran miometrium difus heterogen tanpa batas jelas pada adenomiosis, dibandingkan massa berbatas jelas pada mioma.</w:t>
      </w:r>
    </w:p>
    <w:p>
      <w:pPr>
        <w:pStyle w:val="ListParagraph"/>
        <w:numPr>
          <w:ilvl w:val="0"/>
          <w:numId w:val="1"/>
        </w:numPr>
        <w:spacing w:after="100"/>
      </w:pPr>
      <w:r>
        <w:rPr>
          <w:color w:val="334155"/>
          <w:sz w:val="22"/>
          <w:szCs w:val="22"/>
        </w:rPr>
        <w:t xml:space="preserve">Polip endometrium (N84.0 / GA16.0) — umumnya bergejala perdarahan bercak intermenstrual, dikonfirmasi dengan sonohisterografi atau histeroskopi.</w:t>
      </w:r>
    </w:p>
    <w:p>
      <w:pPr>
        <w:pStyle w:val="ListParagraph"/>
        <w:numPr>
          <w:ilvl w:val="0"/>
          <w:numId w:val="1"/>
        </w:numPr>
        <w:spacing w:after="100"/>
      </w:pPr>
      <w:r>
        <w:rPr>
          <w:color w:val="334155"/>
          <w:sz w:val="22"/>
          <w:szCs w:val="22"/>
        </w:rPr>
        <w:t xml:space="preserve">Kehamilan intrauterin atau ektopik — disingkirkan dengan tes kehamilan pada perempuan usia reproduksi bergejala massa pelvis.</w:t>
      </w:r>
    </w:p>
    <w:p>
      <w:pPr>
        <w:pStyle w:val="ListParagraph"/>
        <w:numPr>
          <w:ilvl w:val="0"/>
          <w:numId w:val="1"/>
        </w:numPr>
        <w:spacing w:after="100"/>
      </w:pPr>
      <w:r>
        <w:rPr>
          <w:color w:val="334155"/>
          <w:sz w:val="22"/>
          <w:szCs w:val="22"/>
        </w:rPr>
        <w:t xml:space="preserve">Tumor jinak ovarium — dibedakan dari mioma subserosa bertangkai melalui pencitraan yang menunjukkan asal massa dari ovarium, bukan dari dinding uterus.</w:t>
      </w:r>
    </w:p>
    <w:p>
      <w:pPr>
        <w:pStyle w:val="ListParagraph"/>
        <w:numPr>
          <w:ilvl w:val="0"/>
          <w:numId w:val="1"/>
        </w:numPr>
        <w:spacing w:after="100"/>
      </w:pPr>
      <w:r>
        <w:rPr>
          <w:color w:val="334155"/>
          <w:sz w:val="22"/>
          <w:szCs w:val="22"/>
        </w:rPr>
        <w:t xml:space="preserve">Leiomiosarkoma uteri — diagnosis banding penting yang harus disingkirkan pada pertumbuhan massa cepat, nyeri hebat baru, atau gambaran pencitraan atipikal (nekrosis sentral ireguler); memerlukan rujukan subspesialis Onkologi Ginekologi bila dicurigai.</w:t>
      </w:r>
    </w:p>
    <w:p>
      <w:pPr>
        <w:pStyle w:val="Heading1"/>
        <w:pBdr>
          <w:bottom w:val="single" w:color="4F46E5" w:sz="8" w:space="4"/>
        </w:pBdr>
        <w:spacing w:after="140" w:before="320"/>
      </w:pPr>
      <w:r>
        <w:rPr>
          <w:rFonts w:ascii="Source Serif 4" w:cs="Source Serif 4" w:eastAsia="Source Serif 4" w:hAnsi="Source Serif 4"/>
          <w:b/>
          <w:bCs/>
          <w:color w:val="0F172A"/>
          <w:sz w:val="28"/>
          <w:szCs w:val="28"/>
        </w:rPr>
        <w:t xml:space="preserve">6. Pemeriksaan Penunjang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FFBEB" w:val="clear"/>
            <w:tcMar>
              <w:top w:type="dxa" w:w="120"/>
              <w:left w:type="dxa" w:w="160"/>
              <w:bottom w:type="dxa" w:w="120"/>
              <w:right w:type="dxa" w:w="160"/>
            </w:tcMar>
          </w:tcPr>
          <w:p>
            <w:r>
              <w:rPr>
                <w:rFonts w:ascii="IBM Plex Mono" w:cs="IBM Plex Mono" w:eastAsia="IBM Plex Mono" w:hAnsi="IBM Plex Mono"/>
                <w:b/>
                <w:bCs/>
                <w:color w:val="B45309"/>
                <w:sz w:val="16"/>
                <w:szCs w:val="16"/>
              </w:rPr>
              <w:t xml:space="preserve">DASAR REGULASI</w:t>
            </w:r>
          </w:p>
          <w:p>
            <w:pPr>
              <w:spacing w:before="60"/>
            </w:pPr>
            <w:r>
              <w:rPr>
                <w:color w:val="334155"/>
                <w:sz w:val="20"/>
                <w:szCs w:val="20"/>
              </w:rPr>
              <w:t xml:space="preserve">Kepkonsil Area Kompetensi 2 (Kompetensi Medis)</w:t>
            </w:r>
          </w:p>
        </w:tc>
      </w:tr>
    </w:tbl>
    <w:p>
      <w:pPr>
        <w:spacing w:after="120"/>
      </w:pPr>
    </w:p>
    <w:p>
      <w:pPr>
        <w:spacing w:after="160"/>
      </w:pPr>
      <w:r>
        <w:rPr>
          <w:color w:val="334155"/>
          <w:sz w:val="22"/>
          <w:szCs w:val="22"/>
        </w:rPr>
        <w:t xml:space="preserve">Ultrasonografi transvaginal (dilengkapi transabdominal bila uterus sangat membesar) merupakan modalitas penunjang lini pertama untuk konfirmasi jumlah, ukuran, dan lokasi anatomis mioma.</w:t>
      </w:r>
    </w:p>
    <w:p>
      <w:pPr>
        <w:pStyle w:val="ListParagraph"/>
        <w:numPr>
          <w:ilvl w:val="0"/>
          <w:numId w:val="1"/>
        </w:numPr>
        <w:spacing w:after="100"/>
      </w:pPr>
      <w:r>
        <w:rPr>
          <w:color w:val="334155"/>
          <w:sz w:val="22"/>
          <w:szCs w:val="22"/>
        </w:rPr>
        <w:t xml:space="preserve">Darah perifer lengkap — menilai status anemia akibat menoragia kronik.</w:t>
      </w:r>
    </w:p>
    <w:p>
      <w:pPr>
        <w:pStyle w:val="ListParagraph"/>
        <w:numPr>
          <w:ilvl w:val="0"/>
          <w:numId w:val="1"/>
        </w:numPr>
        <w:spacing w:after="100"/>
      </w:pPr>
      <w:r>
        <w:rPr>
          <w:color w:val="334155"/>
          <w:sz w:val="22"/>
          <w:szCs w:val="22"/>
        </w:rPr>
        <w:t xml:space="preserve">Sonohisterografi infus salin atau histeroskopi diagnostik — bila dicurigai komponen submukosa yang mendistorsi kavum uteri, terutama pada pasien dengan rencana fertilitas.</w:t>
      </w:r>
    </w:p>
    <w:p>
      <w:pPr>
        <w:pStyle w:val="ListParagraph"/>
        <w:numPr>
          <w:ilvl w:val="0"/>
          <w:numId w:val="1"/>
        </w:numPr>
        <w:spacing w:after="100"/>
      </w:pPr>
      <w:r>
        <w:rPr>
          <w:color w:val="334155"/>
          <w:sz w:val="22"/>
          <w:szCs w:val="22"/>
        </w:rPr>
        <w:t xml:space="preserve">Magnetic resonance imaging (MRI) pelvis — dipertimbangkan pada mioma multipel/besar sebelum perencanaan bedah konservatif (miomektomi) atau bila diagnosis banding dengan adenomiosis/leiomiosarkoma masih meragukan pada USG.</w:t>
      </w:r>
    </w:p>
    <w:p>
      <w:pPr>
        <w:pStyle w:val="ListParagraph"/>
        <w:numPr>
          <w:ilvl w:val="0"/>
          <w:numId w:val="1"/>
        </w:numPr>
        <w:spacing w:after="100"/>
      </w:pPr>
      <w:r>
        <w:rPr>
          <w:color w:val="334155"/>
          <w:sz w:val="22"/>
          <w:szCs w:val="22"/>
        </w:rPr>
        <w:t xml:space="preserve">Tes kehamilan (beta-hCG) pada perempuan usia reproduksi sebelum rencana pencitraan lanjut atau tindakan.</w:t>
      </w:r>
    </w:p>
    <w:p>
      <w:pPr>
        <w:pStyle w:val="Heading1"/>
        <w:pBdr>
          <w:bottom w:val="single" w:color="4F46E5" w:sz="8" w:space="4"/>
        </w:pBdr>
        <w:spacing w:after="140" w:before="320"/>
      </w:pPr>
      <w:r>
        <w:rPr>
          <w:rFonts w:ascii="Source Serif 4" w:cs="Source Serif 4" w:eastAsia="Source Serif 4" w:hAnsi="Source Serif 4"/>
          <w:b/>
          <w:bCs/>
          <w:color w:val="0F172A"/>
          <w:sz w:val="28"/>
          <w:szCs w:val="28"/>
        </w:rPr>
        <w:t xml:space="preserve">7. Tata Laksana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FFBEB" w:val="clear"/>
            <w:tcMar>
              <w:top w:type="dxa" w:w="120"/>
              <w:left w:type="dxa" w:w="160"/>
              <w:bottom w:type="dxa" w:w="120"/>
              <w:right w:type="dxa" w:w="160"/>
            </w:tcMar>
          </w:tcPr>
          <w:p>
            <w:r>
              <w:rPr>
                <w:rFonts w:ascii="IBM Plex Mono" w:cs="IBM Plex Mono" w:eastAsia="IBM Plex Mono" w:hAnsi="IBM Plex Mono"/>
                <w:b/>
                <w:bCs/>
                <w:color w:val="B45309"/>
                <w:sz w:val="16"/>
                <w:szCs w:val="16"/>
              </w:rPr>
              <w:t xml:space="preserve">DASAR REGULASI</w:t>
            </w:r>
          </w:p>
          <w:p>
            <w:pPr>
              <w:spacing w:before="60"/>
            </w:pPr>
            <w:r>
              <w:rPr>
                <w:color w:val="334155"/>
                <w:sz w:val="20"/>
                <w:szCs w:val="20"/>
              </w:rPr>
              <w:t xml:space="preserve">Kepkonsil Area Kompetensi 2 (Kompetensi Medis); ACOG Practice Bulletin No. 228 (2021) dan ACOG Committee Opinion No. 822 (2021) — lihat Bagian 12</w:t>
            </w:r>
          </w:p>
        </w:tc>
      </w:tr>
    </w:tbl>
    <w:p>
      <w:pPr>
        <w:spacing w:after="120"/>
      </w:pPr>
    </w:p>
    <w:p>
      <w:pPr>
        <w:spacing w:after="160"/>
      </w:pPr>
      <w:r>
        <w:rPr>
          <w:color w:val="334155"/>
          <w:sz w:val="22"/>
          <w:szCs w:val="22"/>
        </w:rPr>
        <w:t xml:space="preserve">Pemilihan tata laksana mioma uteri tanpa penyulit bersifat individual, mempertimbangkan beratnya gejala, ukuran dan lokasi mioma, usia pasien, serta rencana reproduksi. Prinsip umum: observasi pada kasus asimtomatik, tata laksana konservatif (non-bedah) sebagai lini pertama pada kasus bergejala ringan-sedang, dan tata laksana bedah/prosedural dipertimbangkan pada kegagalan terapi konservatif atau gejala berat yang mengganggu kualitas hidup.</w:t>
      </w:r>
    </w:p>
    <w:p>
      <w:pPr>
        <w:pStyle w:val="Heading2"/>
        <w:spacing w:after="100" w:before="220"/>
      </w:pPr>
      <w:r>
        <w:rPr>
          <w:rFonts w:ascii="Source Serif 4" w:cs="Source Serif 4" w:eastAsia="Source Serif 4" w:hAnsi="Source Serif 4"/>
          <w:b/>
          <w:bCs/>
          <w:color w:val="4F46E5"/>
          <w:sz w:val="24"/>
          <w:szCs w:val="24"/>
        </w:rPr>
        <w:t xml:space="preserve">7.1 Tata Laksana Non-Farmakologis</w:t>
      </w:r>
    </w:p>
    <w:p>
      <w:pPr>
        <w:spacing w:after="160"/>
      </w:pPr>
      <w:r>
        <w:rPr>
          <w:color w:val="334155"/>
          <w:sz w:val="22"/>
          <w:szCs w:val="22"/>
        </w:rPr>
        <w:t xml:space="preserve">Observasi berkala (watchful waiting) dengan evaluasi ulang klinis dan USG setiap 6-12 bulan merupakan pilihan yang tepat pada mioma asimtomatik atau bergejala ringan yang tidak mengganggu aktivitas sehari-hari, tanpa memandang ukuran mutlak mioma selama tidak ada tanda penyulit.</w:t>
      </w:r>
    </w:p>
    <w:p>
      <w:pPr>
        <w:spacing w:after="160"/>
      </w:pPr>
      <w:r>
        <w:rPr>
          <w:color w:val="334155"/>
          <w:sz w:val="22"/>
          <w:szCs w:val="22"/>
        </w:rPr>
        <w:t xml:space="preserve">Edukasi mengenai pola makan bergizi seimbang dan aktivitas fisik teratur disampaikan sebagai bagian dari tata laksana suportif umum, meskipun bukti langsung terhadap regresi ukuran mioma masih terbatas.</w:t>
      </w:r>
    </w:p>
    <w:p>
      <w:pPr>
        <w:pStyle w:val="Heading2"/>
        <w:spacing w:after="100" w:before="220"/>
      </w:pPr>
      <w:r>
        <w:rPr>
          <w:rFonts w:ascii="Source Serif 4" w:cs="Source Serif 4" w:eastAsia="Source Serif 4" w:hAnsi="Source Serif 4"/>
          <w:b/>
          <w:bCs/>
          <w:color w:val="4F46E5"/>
          <w:sz w:val="24"/>
          <w:szCs w:val="24"/>
        </w:rPr>
        <w:t xml:space="preserve">7.2 Tata Laksana Farmakologis</w:t>
      </w:r>
    </w:p>
    <w:p>
      <w:pPr>
        <w:spacing w:after="160"/>
      </w:pPr>
      <w:r>
        <w:rPr>
          <w:color w:val="334155"/>
          <w:sz w:val="22"/>
          <w:szCs w:val="22"/>
        </w:rPr>
        <w:t xml:space="preserve">Tujuan utama terapi farmakologis adalah mengendalikan gejala perdarahan dan nyeri, bukan mengeliminasi mioma secara permanen (kecuali agonis GnRH yang dapat mengecilkan volume mioma sementara).</w:t>
      </w:r>
    </w:p>
    <w:p>
      <w:pPr>
        <w:pStyle w:val="ListParagraph"/>
        <w:numPr>
          <w:ilvl w:val="0"/>
          <w:numId w:val="1"/>
        </w:numPr>
        <w:spacing w:after="100"/>
      </w:pPr>
      <w:r>
        <w:rPr>
          <w:color w:val="334155"/>
          <w:sz w:val="22"/>
          <w:szCs w:val="22"/>
        </w:rPr>
        <w:t xml:space="preserve">Asam traneksamat oral saat episode perdarahan haid banyak, untuk mengurangi volume perdarahan pada siklus tanpa kontraindikasi trombosis.</w:t>
      </w:r>
    </w:p>
    <w:p>
      <w:pPr>
        <w:pStyle w:val="ListParagraph"/>
        <w:numPr>
          <w:ilvl w:val="0"/>
          <w:numId w:val="1"/>
        </w:numPr>
        <w:spacing w:after="100"/>
      </w:pPr>
      <w:r>
        <w:rPr>
          <w:color w:val="334155"/>
          <w:sz w:val="22"/>
          <w:szCs w:val="22"/>
        </w:rPr>
        <w:t xml:space="preserve">Obat antiinflamasi nonsteroid (OAINS) untuk nyeri/dismenore terkait mioma, dengan efek tambahan pengurangan volume perdarahan yang bersifat modest.</w:t>
      </w:r>
    </w:p>
    <w:p>
      <w:pPr>
        <w:pStyle w:val="ListParagraph"/>
        <w:numPr>
          <w:ilvl w:val="0"/>
          <w:numId w:val="1"/>
        </w:numPr>
        <w:spacing w:after="100"/>
      </w:pPr>
      <w:r>
        <w:rPr>
          <w:color w:val="334155"/>
          <w:sz w:val="22"/>
          <w:szCs w:val="22"/>
        </w:rPr>
        <w:t xml:space="preserve">Kontrasepsi hormonal kombinasi atau progestin (termasuk sistem intrauterin pelepas levonorgestrel) sebagai lini pertama pengendalian perdarahan pada pasien tanpa distorsi kavum uteri bermakna oleh komponen submukosa.</w:t>
      </w:r>
    </w:p>
    <w:p>
      <w:pPr>
        <w:pStyle w:val="ListParagraph"/>
        <w:numPr>
          <w:ilvl w:val="0"/>
          <w:numId w:val="1"/>
        </w:numPr>
        <w:spacing w:after="100"/>
      </w:pPr>
      <w:r>
        <w:rPr>
          <w:color w:val="334155"/>
          <w:sz w:val="22"/>
          <w:szCs w:val="22"/>
        </w:rPr>
        <w:t xml:space="preserve">Agonis GnRH (gonadotropin-releasing hormone agonist) jangka pendek — dipertimbangkan sebagai terapi praoperasi untuk mengecilkan volume mioma dan memperbaiki status hemoglobin sebelum tindakan bedah, mengingat efek samping hipoestrogenik yang membatasi penggunaan jangka panjang tanpa terapi tambahan (add-back therapy).</w:t>
      </w:r>
    </w:p>
    <w:p>
      <w:pPr>
        <w:pStyle w:val="Heading2"/>
        <w:spacing w:after="100" w:before="220"/>
      </w:pPr>
      <w:r>
        <w:rPr>
          <w:rFonts w:ascii="Source Serif 4" w:cs="Source Serif 4" w:eastAsia="Source Serif 4" w:hAnsi="Source Serif 4"/>
          <w:b/>
          <w:bCs/>
          <w:color w:val="4F46E5"/>
          <w:sz w:val="24"/>
          <w:szCs w:val="24"/>
        </w:rPr>
        <w:t xml:space="preserve">7.3 Tata Laksana Bedah/Prosedural (bila relevan)</w:t>
      </w:r>
    </w:p>
    <w:p>
      <w:pPr>
        <w:spacing w:after="160"/>
      </w:pPr>
      <w:r>
        <w:rPr>
          <w:color w:val="334155"/>
          <w:sz w:val="22"/>
          <w:szCs w:val="22"/>
        </w:rPr>
        <w:t xml:space="preserve">Tata laksana bedah/prosedural dipertimbangkan pada kegagalan terapi farmakologis, gejala berat yang mengganggu kualitas hidup, mioma submukosa dengan gangguan fertilitas, atau atas permintaan pasien setelah konseling menyeluruh mengenai risiko dan manfaat setiap pilihan.</w:t>
      </w:r>
    </w:p>
    <w:p>
      <w:pPr>
        <w:spacing w:after="160"/>
      </w:pPr>
      <w:r>
        <w:rPr>
          <w:color w:val="334155"/>
          <w:sz w:val="22"/>
          <w:szCs w:val="22"/>
        </w:rPr>
        <w:t xml:space="preserve">Bila tindakan bedah minimal invasif melibatkan morselasi jaringan, pasien wajib dievaluasi praoperasi terhadap faktor risiko keganasan korpus uteri, mengingat leiomiosarkoma tidak dapat disingkirkan secara pasti sebelum operasi hanya berdasarkan pencitraan. Persetujuan tindakan (informed consent) mencakup penjelasan eksplisit mengenai risiko penyebaran sel ganas yang tidak terdiagnosis melalui morselasi tanpa wadah (uncontained morcellation), beserta alternatif morselasi dalam kantong (contained) atau pendekatan bedah lain, sesuai prinsip pengambilan keputusan bersama.</w:t>
      </w:r>
    </w:p>
    <w:p>
      <w:pPr>
        <w:pStyle w:val="ListParagraph"/>
        <w:numPr>
          <w:ilvl w:val="0"/>
          <w:numId w:val="1"/>
        </w:numPr>
        <w:spacing w:after="100"/>
      </w:pPr>
      <w:r>
        <w:rPr>
          <w:color w:val="334155"/>
          <w:sz w:val="22"/>
          <w:szCs w:val="22"/>
        </w:rPr>
        <w:t xml:space="preserve">Miomektomi (histeroskopi untuk mioma submukosa tipe 0-2; laparoskopi atau laparotomi untuk mioma intramural/subserosa) — pilihan utama bagi pasien yang masih menginginkan kesuburan atau ingin mempertahankan uterus.</w:t>
      </w:r>
    </w:p>
    <w:p>
      <w:pPr>
        <w:pStyle w:val="ListParagraph"/>
        <w:numPr>
          <w:ilvl w:val="0"/>
          <w:numId w:val="1"/>
        </w:numPr>
        <w:spacing w:after="100"/>
      </w:pPr>
      <w:r>
        <w:rPr>
          <w:color w:val="334155"/>
          <w:sz w:val="22"/>
          <w:szCs w:val="22"/>
        </w:rPr>
        <w:t xml:space="preserve">Histerektomi (per vaginam, laparoskopi, atau abdominal sesuai indikasi teknis) — tata laksana definitif bagi pasien yang tidak lagi menginginkan fertilitas dan gejala tidak teratasi dengan tata laksana konservatif.</w:t>
      </w:r>
    </w:p>
    <w:p>
      <w:pPr>
        <w:pStyle w:val="ListParagraph"/>
        <w:numPr>
          <w:ilvl w:val="0"/>
          <w:numId w:val="1"/>
        </w:numPr>
        <w:spacing w:after="100"/>
      </w:pPr>
      <w:r>
        <w:rPr>
          <w:color w:val="334155"/>
          <w:sz w:val="22"/>
          <w:szCs w:val="22"/>
        </w:rPr>
        <w:t xml:space="preserve">Embolisasi arteri uterina — alternatif minimal invasif bagi pasien yang ingin mempertahankan uterus namun bukan kandidat prioritas kehamilan di masa mendatang, dengan konseling mengenai kemungkinan dampak terhadap cadangan ovarium dan hasil kehamilan berikutnya.</w:t>
      </w:r>
    </w:p>
    <w:p>
      <w:pPr>
        <w:pStyle w:val="ListParagraph"/>
        <w:numPr>
          <w:ilvl w:val="0"/>
          <w:numId w:val="1"/>
        </w:numPr>
        <w:spacing w:after="100"/>
      </w:pPr>
      <w:r>
        <w:rPr>
          <w:color w:val="334155"/>
          <w:sz w:val="22"/>
          <w:szCs w:val="22"/>
        </w:rPr>
        <w:t xml:space="preserve">Ablasi radiofrekuensi laparoskopik atau transervikal dengan panduan pencitraan (termasuk modalitas ultrasound frekuensi tinggi terfokus/MR-guided focused ultrasound) — dipertimbangkan pada fasilitas dengan ketersediaan teknologi tersebut, sebagai opsi konservasi uterus tambahan sesuai profil mioma yang memenuhi kriteria teknis.</w:t>
      </w:r>
    </w:p>
    <w:p>
      <w:pPr>
        <w:pStyle w:val="Heading2"/>
        <w:spacing w:after="100" w:before="220"/>
      </w:pPr>
      <w:r>
        <w:rPr>
          <w:rFonts w:ascii="Source Serif 4" w:cs="Source Serif 4" w:eastAsia="Source Serif 4" w:hAnsi="Source Serif 4"/>
          <w:b/>
          <w:bCs/>
          <w:color w:val="4F46E5"/>
          <w:sz w:val="24"/>
          <w:szCs w:val="24"/>
        </w:rPr>
        <w:t xml:space="preserve">7.4 Kriteria Rujukan ke Subspesialis Obstetri Ginekologi Sosial (bila kondisi di luar kewenangan spesialis umum)</w:t>
      </w:r>
    </w:p>
    <w:p>
      <w:pPr>
        <w:spacing w:after="160"/>
      </w:pPr>
      <w:r>
        <w:rPr>
          <w:color w:val="334155"/>
          <w:sz w:val="22"/>
          <w:szCs w:val="22"/>
        </w:rPr>
        <w:t xml:space="preserve">Rujukan ke subspesialis Obstetri Ginekologi Sosial dipertimbangkan pada situasi yang memerlukan perspektif tambahan mengenai dampak sosial-ekonomi kondisi terhadap fungsi keluarga dan reproduksi pasien — misalnya pasien dengan keterbatasan akses layanan, kebutuhan konseling reproduksi kompleks terkait rencana kehamilan di tengah tata laksana mioma, ketidaksetaraan akses terhadap pilihan bedah konservasi uterus akibat faktor biaya atau geografis, atau pasien yang memerlukan pendampingan pengambilan keputusan lintas faktor sosial sebelum memilih antara tata laksana konservatif dan bedah.</w:t>
      </w:r>
    </w:p>
    <w:p>
      <w:pPr>
        <w:spacing w:after="160"/>
      </w:pPr>
      <w:r>
        <w:rPr>
          <w:color w:val="334155"/>
          <w:sz w:val="22"/>
          <w:szCs w:val="22"/>
        </w:rPr>
        <w:t xml:space="preserve">Rujukan ke subspesialis lain (Fetomaternal bila hamil dengan mioma; Fertilitas dan Endokrinologi Reproduksi bila terkait infertilitas kompleks; Onkologi Ginekologi bila dicurigai keganasan berdasarkan pertumbuhan cepat, nyeri atipikal, atau gambaran pencitraan mencurigakan) dilakukan sesuai indikasi klinis masing-masing, di luar cakupan PPK ini yang berfokus pada mioma tanpa penyulit.</w:t>
      </w:r>
    </w:p>
    <w:p>
      <w:pPr>
        <w:pStyle w:val="Heading1"/>
        <w:pBdr>
          <w:bottom w:val="single" w:color="4F46E5" w:sz="8" w:space="4"/>
        </w:pBdr>
        <w:spacing w:after="140" w:before="320"/>
      </w:pPr>
      <w:r>
        <w:rPr>
          <w:rFonts w:ascii="Source Serif 4" w:cs="Source Serif 4" w:eastAsia="Source Serif 4" w:hAnsi="Source Serif 4"/>
          <w:b/>
          <w:bCs/>
          <w:color w:val="0F172A"/>
          <w:sz w:val="28"/>
          <w:szCs w:val="28"/>
        </w:rPr>
        <w:t xml:space="preserve">8. Edukasi Pasien dan Keluarga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FFBEB" w:val="clear"/>
            <w:tcMar>
              <w:top w:type="dxa" w:w="120"/>
              <w:left w:type="dxa" w:w="160"/>
              <w:bottom w:type="dxa" w:w="120"/>
              <w:right w:type="dxa" w:w="160"/>
            </w:tcMar>
          </w:tcPr>
          <w:p>
            <w:r>
              <w:rPr>
                <w:rFonts w:ascii="IBM Plex Mono" w:cs="IBM Plex Mono" w:eastAsia="IBM Plex Mono" w:hAnsi="IBM Plex Mono"/>
                <w:b/>
                <w:bCs/>
                <w:color w:val="B45309"/>
                <w:sz w:val="16"/>
                <w:szCs w:val="16"/>
              </w:rPr>
              <w:t xml:space="preserve">DASAR REGULASI</w:t>
            </w:r>
          </w:p>
          <w:p>
            <w:pPr>
              <w:spacing w:before="60"/>
            </w:pPr>
            <w:r>
              <w:rPr>
                <w:color w:val="334155"/>
                <w:sz w:val="20"/>
                <w:szCs w:val="20"/>
              </w:rPr>
              <w:t xml:space="preserve">Kepkonsil Area Kompetensi 4 (Kompetensi Interpersonal dan Komunikasi)</w:t>
            </w:r>
          </w:p>
        </w:tc>
      </w:tr>
    </w:tbl>
    <w:p>
      <w:pPr>
        <w:spacing w:after="120"/>
      </w:pPr>
    </w:p>
    <w:p>
      <w:pPr>
        <w:spacing w:after="160"/>
      </w:pPr>
      <w:r>
        <w:rPr>
          <w:color w:val="334155"/>
          <w:sz w:val="22"/>
          <w:szCs w:val="22"/>
        </w:rPr>
        <w:t xml:space="preserve">Pasien dan keluarga diberikan penjelasan bahwa mioma uteri adalah tumor jinak yang umum dijumpai pada perempuan usia reproduksi, dengan risiko keganasan yang sangat rendah, sehingga tidak seluruh mioma memerlukan tindakan bedah.</w:t>
      </w:r>
    </w:p>
    <w:p>
      <w:pPr>
        <w:pStyle w:val="ListParagraph"/>
        <w:numPr>
          <w:ilvl w:val="0"/>
          <w:numId w:val="1"/>
        </w:numPr>
        <w:spacing w:after="100"/>
      </w:pPr>
      <w:r>
        <w:rPr>
          <w:color w:val="334155"/>
          <w:sz w:val="22"/>
          <w:szCs w:val="22"/>
        </w:rPr>
        <w:t xml:space="preserve">Penjelasan pilihan tata laksana yang tersedia beserta risiko, manfaat, dan dampaknya terhadap kesuburan, disampaikan secara seimbang agar pasien dapat mengambil keputusan bersama (shared decision making) sesuai prioritas hidupnya.</w:t>
      </w:r>
    </w:p>
    <w:p>
      <w:pPr>
        <w:pStyle w:val="ListParagraph"/>
        <w:numPr>
          <w:ilvl w:val="0"/>
          <w:numId w:val="1"/>
        </w:numPr>
        <w:spacing w:after="100"/>
      </w:pPr>
      <w:r>
        <w:rPr>
          <w:color w:val="334155"/>
          <w:sz w:val="22"/>
          <w:szCs w:val="22"/>
        </w:rPr>
        <w:t xml:space="preserve">Edukasi tanda bahaya yang memerlukan evaluasi segera — perdarahan mendadak banyak, nyeri perut hebat mendadak (curiga torsi/degenerasi), atau pertumbuhan massa yang cepat dirasakan pasien.</w:t>
      </w:r>
    </w:p>
    <w:p>
      <w:pPr>
        <w:pStyle w:val="ListParagraph"/>
        <w:numPr>
          <w:ilvl w:val="0"/>
          <w:numId w:val="1"/>
        </w:numPr>
        <w:spacing w:after="100"/>
      </w:pPr>
      <w:r>
        <w:rPr>
          <w:color w:val="334155"/>
          <w:sz w:val="22"/>
          <w:szCs w:val="22"/>
        </w:rPr>
        <w:t xml:space="preserve">Pada pasien dengan rencana kehamilan, disampaikan informasi mengenai potensi pengaruh lokasi dan ukuran mioma terhadap fertilitas dan luaran kehamilan, serta pentingnya jeda waktu tertentu pascamiomektomi sebelum mencoba hamil.</w:t>
      </w:r>
    </w:p>
    <w:p>
      <w:pPr>
        <w:pStyle w:val="Heading1"/>
        <w:pBdr>
          <w:bottom w:val="single" w:color="4F46E5" w:sz="8" w:space="4"/>
        </w:pBdr>
        <w:spacing w:after="140" w:before="320"/>
      </w:pPr>
      <w:r>
        <w:rPr>
          <w:rFonts w:ascii="Source Serif 4" w:cs="Source Serif 4" w:eastAsia="Source Serif 4" w:hAnsi="Source Serif 4"/>
          <w:b/>
          <w:bCs/>
          <w:color w:val="0F172A"/>
          <w:sz w:val="28"/>
          <w:szCs w:val="28"/>
        </w:rPr>
        <w:t xml:space="preserve">9. Prognosis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FFBEB" w:val="clear"/>
            <w:tcMar>
              <w:top w:type="dxa" w:w="120"/>
              <w:left w:type="dxa" w:w="160"/>
              <w:bottom w:type="dxa" w:w="120"/>
              <w:right w:type="dxa" w:w="160"/>
            </w:tcMar>
          </w:tcPr>
          <w:p>
            <w:r>
              <w:rPr>
                <w:rFonts w:ascii="IBM Plex Mono" w:cs="IBM Plex Mono" w:eastAsia="IBM Plex Mono" w:hAnsi="IBM Plex Mono"/>
                <w:b/>
                <w:bCs/>
                <w:color w:val="B45309"/>
                <w:sz w:val="16"/>
                <w:szCs w:val="16"/>
              </w:rPr>
              <w:t xml:space="preserve">DASAR REGULASI</w:t>
            </w:r>
          </w:p>
          <w:p>
            <w:pPr>
              <w:spacing w:before="60"/>
            </w:pPr>
            <w:r>
              <w:rPr>
                <w:color w:val="334155"/>
                <w:sz w:val="20"/>
                <w:szCs w:val="20"/>
              </w:rPr>
              <w:t xml:space="preserve">Kepkonsil Area Kompetensi 3 (Penguasaan Pengetahuan Medis)</w:t>
            </w:r>
          </w:p>
        </w:tc>
      </w:tr>
    </w:tbl>
    <w:p>
      <w:pPr>
        <w:spacing w:after="120"/>
      </w:pPr>
    </w:p>
    <w:p>
      <w:pPr>
        <w:spacing w:after="160"/>
      </w:pPr>
      <w:r>
        <w:rPr>
          <w:color w:val="334155"/>
          <w:sz w:val="22"/>
          <w:szCs w:val="22"/>
        </w:rPr>
        <w:t xml:space="preserve">Prognosis mioma uteri tanpa penyulit secara umum baik; mioma jinak tidak mengancam jiwa dan sebagian besar dapat dikendalikan dengan tata laksana konservatif atau bedah konservatif tanpa histerektomi.</w:t>
      </w:r>
    </w:p>
    <w:p>
      <w:pPr>
        <w:spacing w:after="160"/>
      </w:pPr>
      <w:r>
        <w:rPr>
          <w:color w:val="334155"/>
          <w:sz w:val="22"/>
          <w:szCs w:val="22"/>
        </w:rPr>
        <w:t xml:space="preserve">Mioma cenderung mengecil secara alami setelah menopause akibat penurunan kadar estrogen. Rekurensi pascamiomektomi dapat terjadi terutama pada mioma multipel, sehingga pemantauan berkala dengan USG tetap direkomendasikan pada pasien yang menjalani tata laksana konservasi uterus, dan pasien perlu diinformasikan bahwa miomektomi tidak menghilangkan kecenderungan biologis pembentukan mioma baru.</w:t>
      </w:r>
    </w:p>
    <w:p>
      <w:pPr>
        <w:spacing w:after="160"/>
      </w:pPr>
      <w:r>
        <w:rPr>
          <w:color w:val="334155"/>
          <w:sz w:val="22"/>
          <w:szCs w:val="22"/>
        </w:rPr>
        <w:t xml:space="preserve">Pada pasien dengan rencana kehamilan pascamiomektomi, prognosis reproduksi umumnya baik selama tidak dijumpai komplikasi perioperatif bermakna; jeda waktu pemulihan dinding uterus sebelum kehamilan berikutnya ditentukan secara individual oleh operator berdasarkan luas dan kedalaman insisi miometrium.</w:t>
      </w:r>
    </w:p>
    <w:p>
      <w:pPr>
        <w:pStyle w:val="Heading1"/>
        <w:pBdr>
          <w:bottom w:val="single" w:color="4F46E5" w:sz="8" w:space="4"/>
        </w:pBdr>
        <w:spacing w:after="140" w:before="320"/>
      </w:pPr>
      <w:r>
        <w:rPr>
          <w:rFonts w:ascii="Source Serif 4" w:cs="Source Serif 4" w:eastAsia="Source Serif 4" w:hAnsi="Source Serif 4"/>
          <w:b/>
          <w:bCs/>
          <w:color w:val="0F172A"/>
          <w:sz w:val="28"/>
          <w:szCs w:val="28"/>
        </w:rPr>
        <w:t xml:space="preserve">10. Tingkat Evidens dan Rekomendasi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FFBEB" w:val="clear"/>
            <w:tcMar>
              <w:top w:type="dxa" w:w="120"/>
              <w:left w:type="dxa" w:w="160"/>
              <w:bottom w:type="dxa" w:w="120"/>
              <w:right w:type="dxa" w:w="160"/>
            </w:tcMar>
          </w:tcPr>
          <w:p>
            <w:r>
              <w:rPr>
                <w:rFonts w:ascii="IBM Plex Mono" w:cs="IBM Plex Mono" w:eastAsia="IBM Plex Mono" w:hAnsi="IBM Plex Mono"/>
                <w:b/>
                <w:bCs/>
                <w:color w:val="B45309"/>
                <w:sz w:val="16"/>
                <w:szCs w:val="16"/>
              </w:rPr>
              <w:t xml:space="preserve">DASAR REGULASI</w:t>
            </w:r>
          </w:p>
          <w:p>
            <w:pPr>
              <w:spacing w:before="60"/>
            </w:pPr>
            <w:r>
              <w:rPr>
                <w:color w:val="334155"/>
                <w:sz w:val="20"/>
                <w:szCs w:val="20"/>
              </w:rPr>
              <w:t xml:space="preserve">ACOG Practice Bulletin No. 228 (2021); FIGO Munro dkk. (2018); Stewart dkk. (2017) — lihat Bagian 12 dan 13</w:t>
            </w:r>
          </w:p>
        </w:tc>
      </w:tr>
    </w:tbl>
    <w:p>
      <w:pPr>
        <w:spacing w:after="120"/>
      </w:pPr>
    </w:p>
    <w:p>
      <w:pPr>
        <w:spacing w:after="160"/>
      </w:pPr>
      <w:r>
        <w:rPr>
          <w:color w:val="334155"/>
          <w:sz w:val="22"/>
          <w:szCs w:val="22"/>
        </w:rPr>
        <w:t xml:space="preserve">Tingkat evidens mengikuti skala evidens standar yang digunakan pada literatur internasional acuan (Level A: bukti ilmiah baik dan konsisten; Level B: bukti ilmiah terbatas atau tidak konsisten; Level C: konsensus dan opini ahli).</w:t>
      </w:r>
    </w:p>
    <w:p>
      <w:pPr>
        <w:pStyle w:val="ListParagraph"/>
        <w:numPr>
          <w:ilvl w:val="0"/>
          <w:numId w:val="1"/>
        </w:numPr>
        <w:spacing w:after="100"/>
      </w:pPr>
      <w:r>
        <w:rPr>
          <w:color w:val="334155"/>
          <w:sz w:val="22"/>
          <w:szCs w:val="22"/>
        </w:rPr>
        <w:t xml:space="preserve">Kontrasepsi hormonal/progestin dan asam traneksamat sebagai lini pertama pengendalian menoragia terkait mioma tanpa distorsi kavum bermakna — Level A/B.</w:t>
      </w:r>
    </w:p>
    <w:p>
      <w:pPr>
        <w:pStyle w:val="ListParagraph"/>
        <w:numPr>
          <w:ilvl w:val="0"/>
          <w:numId w:val="1"/>
        </w:numPr>
        <w:spacing w:after="100"/>
      </w:pPr>
      <w:r>
        <w:rPr>
          <w:color w:val="334155"/>
          <w:sz w:val="22"/>
          <w:szCs w:val="22"/>
        </w:rPr>
        <w:t xml:space="preserve">Miomektomi histeroskopi sebagai tata laksana pilihan untuk mioma submukosa bergejala pada pasien dengan rencana fertilitas — Level A.</w:t>
      </w:r>
    </w:p>
    <w:p>
      <w:pPr>
        <w:pStyle w:val="ListParagraph"/>
        <w:numPr>
          <w:ilvl w:val="0"/>
          <w:numId w:val="1"/>
        </w:numPr>
        <w:spacing w:after="100"/>
      </w:pPr>
      <w:r>
        <w:rPr>
          <w:color w:val="334155"/>
          <w:sz w:val="22"/>
          <w:szCs w:val="22"/>
        </w:rPr>
        <w:t xml:space="preserve">Agonis GnRH praoperasi untuk mengecilkan volume mioma dan memperbaiki hemoglobin sebelum bedah — Level A, dengan pembatasan durasi akibat efek hipoestrogenik.</w:t>
      </w:r>
    </w:p>
    <w:p>
      <w:pPr>
        <w:pStyle w:val="ListParagraph"/>
        <w:numPr>
          <w:ilvl w:val="0"/>
          <w:numId w:val="1"/>
        </w:numPr>
        <w:spacing w:after="100"/>
      </w:pPr>
      <w:r>
        <w:rPr>
          <w:color w:val="334155"/>
          <w:sz w:val="22"/>
          <w:szCs w:val="22"/>
        </w:rPr>
        <w:t xml:space="preserve">Embolisasi arteri uterina sebagai alternatif minimal invasif bagi pasien yang tidak memprioritaskan kehamilan mendatang — Level B.</w:t>
      </w:r>
    </w:p>
    <w:p>
      <w:pPr>
        <w:pStyle w:val="Heading1"/>
        <w:pBdr>
          <w:bottom w:val="single" w:color="4F46E5" w:sz="8" w:space="4"/>
        </w:pBdr>
        <w:spacing w:after="140" w:before="320"/>
      </w:pPr>
      <w:r>
        <w:rPr>
          <w:rFonts w:ascii="Source Serif 4" w:cs="Source Serif 4" w:eastAsia="Source Serif 4" w:hAnsi="Source Serif 4"/>
          <w:b/>
          <w:bCs/>
          <w:color w:val="0F172A"/>
          <w:sz w:val="28"/>
          <w:szCs w:val="28"/>
        </w:rPr>
        <w:t xml:space="preserve">11. Indikator Medis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FFBEB" w:val="clear"/>
            <w:tcMar>
              <w:top w:type="dxa" w:w="120"/>
              <w:left w:type="dxa" w:w="160"/>
              <w:bottom w:type="dxa" w:w="120"/>
              <w:right w:type="dxa" w:w="160"/>
            </w:tcMar>
          </w:tcPr>
          <w:p>
            <w:r>
              <w:rPr>
                <w:rFonts w:ascii="IBM Plex Mono" w:cs="IBM Plex Mono" w:eastAsia="IBM Plex Mono" w:hAnsi="IBM Plex Mono"/>
                <w:b/>
                <w:bCs/>
                <w:color w:val="B45309"/>
                <w:sz w:val="16"/>
                <w:szCs w:val="16"/>
              </w:rPr>
              <w:t xml:space="preserve">DASAR REGULASI</w:t>
            </w:r>
          </w:p>
          <w:p>
            <w:pPr>
              <w:spacing w:before="60"/>
            </w:pPr>
            <w:r>
              <w:rPr>
                <w:color w:val="334155"/>
                <w:sz w:val="20"/>
                <w:szCs w:val="20"/>
              </w:rPr>
              <w:t xml:space="preserve">Kepkonsil Area Kompetensi 7 (Kesadaran Biaya dalam Pelayanan Medis)</w:t>
            </w:r>
          </w:p>
        </w:tc>
      </w:tr>
    </w:tbl>
    <w:p>
      <w:pPr>
        <w:spacing w:after="120"/>
      </w:pPr>
    </w:p>
    <w:p>
      <w:pPr>
        <w:spacing w:after="160"/>
      </w:pPr>
      <w:r>
        <w:rPr>
          <w:color w:val="334155"/>
          <w:sz w:val="22"/>
          <w:szCs w:val="22"/>
        </w:rPr>
        <w:t xml:space="preserve">Indikator keberhasilan tata laksana yang terukur pada pasien mioma uteri tanpa penyulit meliputi:</w:t>
      </w:r>
    </w:p>
    <w:p>
      <w:pPr>
        <w:pStyle w:val="ListParagraph"/>
        <w:numPr>
          <w:ilvl w:val="0"/>
          <w:numId w:val="1"/>
        </w:numPr>
        <w:spacing w:after="100"/>
      </w:pPr>
      <w:r>
        <w:rPr>
          <w:color w:val="334155"/>
          <w:sz w:val="22"/>
          <w:szCs w:val="22"/>
        </w:rPr>
        <w:t xml:space="preserve">Perbaikan skor gejala perdarahan (misalnya penurunan jumlah hari perdarahan atau kebutuhan pembalut per siklus) dan/atau perbaikan kadar hemoglobin pada kontrol pascaterapi konservatif.</w:t>
      </w:r>
    </w:p>
    <w:p>
      <w:pPr>
        <w:pStyle w:val="ListParagraph"/>
        <w:numPr>
          <w:ilvl w:val="0"/>
          <w:numId w:val="1"/>
        </w:numPr>
        <w:spacing w:after="100"/>
      </w:pPr>
      <w:r>
        <w:rPr>
          <w:color w:val="334155"/>
          <w:sz w:val="22"/>
          <w:szCs w:val="22"/>
        </w:rPr>
        <w:t xml:space="preserve">Tidak terjadi komplikasi perioperatif mayor (perdarahan masif, cedera organ sekitar) pada pasien yang menjalani tata laksana bedah/prosedural.</w:t>
      </w:r>
    </w:p>
    <w:p>
      <w:pPr>
        <w:pStyle w:val="ListParagraph"/>
        <w:numPr>
          <w:ilvl w:val="0"/>
          <w:numId w:val="1"/>
        </w:numPr>
        <w:spacing w:after="100"/>
      </w:pPr>
      <w:r>
        <w:rPr>
          <w:color w:val="334155"/>
          <w:sz w:val="22"/>
          <w:szCs w:val="22"/>
        </w:rPr>
        <w:t xml:space="preserve">Tercapainya kehamilan pada pasien dengan indikasi miomektomi terkait infertilitas, dievaluasi pada masa tindak lanjut sesuai kesepakatan klinis.</w:t>
      </w:r>
    </w:p>
    <w:p>
      <w:pPr>
        <w:pStyle w:val="ListParagraph"/>
        <w:numPr>
          <w:ilvl w:val="0"/>
          <w:numId w:val="1"/>
        </w:numPr>
        <w:spacing w:after="100"/>
      </w:pPr>
      <w:r>
        <w:rPr>
          <w:color w:val="334155"/>
          <w:sz w:val="22"/>
          <w:szCs w:val="22"/>
        </w:rPr>
        <w:t xml:space="preserve">Kepatuhan pelaksanaan pemantauan berkala (USG kontrol) pada pasien yang memilih tata laksana observasi.</w:t>
      </w:r>
    </w:p>
    <w:p>
      <w:pPr>
        <w:pStyle w:val="Heading1"/>
        <w:pBdr>
          <w:bottom w:val="single" w:color="4F46E5" w:sz="8" w:space="4"/>
        </w:pBdr>
        <w:spacing w:after="140" w:before="320"/>
      </w:pPr>
      <w:r>
        <w:rPr>
          <w:rFonts w:ascii="Source Serif 4" w:cs="Source Serif 4" w:eastAsia="Source Serif 4" w:hAnsi="Source Serif 4"/>
          <w:b/>
          <w:bCs/>
          <w:color w:val="0F172A"/>
          <w:sz w:val="28"/>
          <w:szCs w:val="28"/>
        </w:rPr>
        <w:t xml:space="preserve">12. Perbandingan dan Pengayaan Standar Internasional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FFBEB" w:val="clear"/>
            <w:tcMar>
              <w:top w:type="dxa" w:w="120"/>
              <w:left w:type="dxa" w:w="160"/>
              <w:bottom w:type="dxa" w:w="120"/>
              <w:right w:type="dxa" w:w="160"/>
            </w:tcMar>
          </w:tcPr>
          <w:p>
            <w:r>
              <w:rPr>
                <w:rFonts w:ascii="IBM Plex Mono" w:cs="IBM Plex Mono" w:eastAsia="IBM Plex Mono" w:hAnsi="IBM Plex Mono"/>
                <w:b/>
                <w:bCs/>
                <w:color w:val="B45309"/>
                <w:sz w:val="16"/>
                <w:szCs w:val="16"/>
              </w:rPr>
              <w:t xml:space="preserve">DASAR REGULASI</w:t>
            </w:r>
          </w:p>
          <w:p>
            <w:pPr>
              <w:spacing w:before="60"/>
            </w:pPr>
            <w:r>
              <w:rPr>
                <w:color w:val="334155"/>
                <w:sz w:val="20"/>
                <w:szCs w:val="20"/>
              </w:rPr>
              <w:t xml:space="preserve">Aturan 2 Perintah Umum — sumber non-superior, memperkaya bukan menggantikan Kepkonsil</w:t>
            </w:r>
          </w:p>
        </w:tc>
      </w:tr>
    </w:tbl>
    <w:p>
      <w:pPr>
        <w:spacing w:after="120"/>
      </w:pPr>
    </w:p>
    <w:p>
      <w:pPr>
        <w:spacing w:after="160"/>
      </w:pPr>
      <w:r>
        <w:rPr>
          <w:color w:val="334155"/>
          <w:sz w:val="22"/>
          <w:szCs w:val="22"/>
        </w:rPr>
        <w:t xml:space="preserve">Standar nasional (Kepkonsil) menetapkan kategori "mioma uteri tanpa penyulit" sebagai satu entri diagnosis tunggal (Tabel 7 No. 47) tanpa subklasifikasi anatomis wajib pada level kompetensi dasar spesialis; standar internasional ACOG dan FIGO merekomendasikan pendekatan yang lebih granular berbasis lokasi dan gejala spesifik untuk memandu pemilihan terapi — praktik di Indonesia mengikuti standar nasional sebagai kerangka kompetensi, dengan sistem subklasifikasi internasional digunakan sebagai alat bantu klinis operasional, bukan pengganti kriteria diagnosis Kepkonsil.</w:t>
      </w:r>
    </w:p>
    <w:p>
      <w:pPr>
        <w:spacing w:after="160"/>
      </w:pPr>
      <w:r>
        <w:rPr>
          <w:color w:val="334155"/>
          <w:sz w:val="22"/>
          <w:szCs w:val="22"/>
        </w:rPr>
        <w:t xml:space="preserve">ACOG Practice Bulletin No. 228, "Management of Symptomatic Uterine Leiomyomas" (2021), memberikan rekomendasi berbasis bukti terkini untuk tata laksana medis, prosedural, dan bedah leiomioma bergejala, termasuk penekanan bahwa histerektomi bukan satu-satunya pilihan definitif dan bahwa pilihan konservasi uterus (miomektomi, embolisasi arteri uterina, agonis GnRH, ablasi radiofrekuensi) harus dipertimbangkan sesuai preferensi dan rencana reproduksi pasien.</w:t>
      </w:r>
    </w:p>
    <w:p>
      <w:pPr>
        <w:spacing w:after="160"/>
      </w:pPr>
      <w:r>
        <w:rPr>
          <w:color w:val="334155"/>
          <w:sz w:val="22"/>
          <w:szCs w:val="22"/>
        </w:rPr>
        <w:t xml:space="preserve">FIGO, melalui publikasi Munro, Critchley, dan Fraser (2018) mengenai revisi sistem PALM-COEIN, menyediakan sistem subklasifikasi leiomioma (tipe 0 hingga 8 berdasarkan lokasi terhadap kavum uteri dan serosa) yang membantu standardisasi komunikasi klinis lintas negara mengenai lokasi mioma dan implikasinya terhadap pemilihan pendekatan bedah — standar nasional Kepkonsil belum mewajibkan subklasifikasi ini secara eksplisit dalam Tabel 7, sehingga penggunaannya bersifat pengayaan opsional pada dokumentasi klinis operasional.</w:t>
      </w:r>
    </w:p>
    <w:p>
      <w:pPr>
        <w:spacing w:after="160"/>
      </w:pPr>
      <w:r>
        <w:rPr>
          <w:color w:val="334155"/>
          <w:sz w:val="22"/>
          <w:szCs w:val="22"/>
        </w:rPr>
        <w:t xml:space="preserve">ACOG Committee Opinion No. 822, "Uterine Morcellation for Presumed Leiomyomas" (2021), menegaskan perlunya evaluasi risiko keganasan praoperasi dan persetujuan tindakan yang eksplisit mengenai risiko morselasi sebelum tindakan bedah minimal invasif — standar nasional Kepkonsil belum mengatur protokol konseling morselasi secara rinci pada level kompetensi dasar, sehingga poin ini menjadi pengayaan praktik keselamatan pasien yang relevan diterapkan pada layanan dengan fasilitas bedah minimal invasif.</w:t>
      </w:r>
    </w:p>
    <w:p>
      <w:pPr>
        <w:pStyle w:val="Heading1"/>
        <w:pBdr>
          <w:bottom w:val="single" w:color="4F46E5" w:sz="8" w:space="4"/>
        </w:pBdr>
        <w:spacing w:after="140" w:before="320"/>
      </w:pPr>
      <w:r>
        <w:rPr>
          <w:rFonts w:ascii="Source Serif 4" w:cs="Source Serif 4" w:eastAsia="Source Serif 4" w:hAnsi="Source Serif 4"/>
          <w:b/>
          <w:bCs/>
          <w:color w:val="0F172A"/>
          <w:sz w:val="28"/>
          <w:szCs w:val="28"/>
        </w:rPr>
        <w:t xml:space="preserve">13. Kepustakaan</w:t>
      </w:r>
    </w:p>
    <w:p>
      <w:pPr>
        <w:pStyle w:val="ListParagraph"/>
        <w:numPr>
          <w:ilvl w:val="0"/>
          <w:numId w:val="1"/>
        </w:numPr>
        <w:spacing w:after="100"/>
      </w:pPr>
      <w:r>
        <w:rPr>
          <w:color w:val="334155"/>
          <w:sz w:val="22"/>
          <w:szCs w:val="22"/>
        </w:rPr>
        <w:t xml:space="preserve">Keputusan Ketua Konsil Kesehatan Indonesia No. HK.01.02/KKI/1318/2026 tentang Standar Kompetensi Dokter Spesialis dan Subspesialis Bidang Obstetri dan Ginekologi, Tabel 7 Lampiran dan Glosarium Lampiran Bab I huruf D.</w:t>
      </w:r>
    </w:p>
    <w:p>
      <w:pPr>
        <w:pStyle w:val="ListParagraph"/>
        <w:numPr>
          <w:ilvl w:val="0"/>
          <w:numId w:val="1"/>
        </w:numPr>
        <w:spacing w:after="100"/>
      </w:pPr>
      <w:r>
        <w:rPr>
          <w:color w:val="334155"/>
          <w:sz w:val="22"/>
          <w:szCs w:val="22"/>
        </w:rPr>
        <w:t xml:space="preserve">American College of Obstetricians and Gynecologists. Management of Symptomatic Uterine Leiomyomas: ACOG Practice Bulletin No. 228. Obstetrics &amp; Gynecology. 2021;137(6):e100-e115. Tersedia pada: https://www.acog.org/clinical/clinical-guidance/practice-bulletin/articles/2021/06/management-of-symptomatic-uterine-leiomyomas</w:t>
      </w:r>
    </w:p>
    <w:p>
      <w:pPr>
        <w:pStyle w:val="ListParagraph"/>
        <w:numPr>
          <w:ilvl w:val="0"/>
          <w:numId w:val="1"/>
        </w:numPr>
        <w:spacing w:after="100"/>
      </w:pPr>
      <w:r>
        <w:rPr>
          <w:color w:val="334155"/>
          <w:sz w:val="22"/>
          <w:szCs w:val="22"/>
        </w:rPr>
        <w:t xml:space="preserve">Munro MG, Critchley HOD, Fraser IS; FIGO Menstrual Disorders Committee. The two FIGO systems for normal and abnormal uterine bleeding symptoms and classification of causes of abnormal uterine bleeding in the reproductive years: 2018 revisions. International Journal of Gynecology &amp; Obstetrics. 2018;143(3):393-408. Tersedia pada: https://obgyn.onlinelibrary.wiley.com/doi/10.1002/ijgo.12666</w:t>
      </w:r>
    </w:p>
    <w:p>
      <w:pPr>
        <w:pStyle w:val="ListParagraph"/>
        <w:numPr>
          <w:ilvl w:val="0"/>
          <w:numId w:val="1"/>
        </w:numPr>
        <w:spacing w:after="100"/>
      </w:pPr>
      <w:r>
        <w:rPr>
          <w:color w:val="334155"/>
          <w:sz w:val="22"/>
          <w:szCs w:val="22"/>
        </w:rPr>
        <w:t xml:space="preserve">American College of Obstetricians and Gynecologists. Uterine Morcellation for Presumed Leiomyomas: ACOG Committee Opinion No. 822. Obstetrics &amp; Gynecology. 2021;137(3):e63-e74. Tersedia pada: https://www.acog.org/clinical/clinical-guidance/committee-opinion/articles/2021/03/uterine-morcellation-for-presumed-leiomyomas</w:t>
      </w:r>
    </w:p>
    <w:p>
      <w:pPr>
        <w:pStyle w:val="ListParagraph"/>
        <w:numPr>
          <w:ilvl w:val="0"/>
          <w:numId w:val="1"/>
        </w:numPr>
        <w:spacing w:after="100"/>
      </w:pPr>
      <w:r>
        <w:rPr>
          <w:color w:val="334155"/>
          <w:sz w:val="22"/>
          <w:szCs w:val="22"/>
        </w:rPr>
        <w:t xml:space="preserve">Stewart EA, Cookson CL, Gandolfo RA, Schulze-Rath R. Epidemiology of uterine fibroids: a systematic review. BJOG: An International Journal of Obstetrics &amp; Gynaecology. 2017;124(10):1501-1512. Tersedia pada: https://obgyn.onlinelibrary.wiley.com/doi/10.1111/1471-0528.14640</w:t>
      </w:r>
    </w:p>
    <w:p>
      <w:pPr>
        <w:pStyle w:val="Heading1"/>
        <w:pBdr>
          <w:bottom w:val="single" w:color="4F46E5" w:sz="8" w:space="4"/>
        </w:pBdr>
        <w:spacing w:after="140" w:before="320"/>
      </w:pPr>
      <w:r>
        <w:rPr>
          <w:rFonts w:ascii="Source Serif 4" w:cs="Source Serif 4" w:eastAsia="Source Serif 4" w:hAnsi="Source Serif 4"/>
          <w:b/>
          <w:bCs/>
          <w:color w:val="0F172A"/>
          <w:sz w:val="28"/>
          <w:szCs w:val="28"/>
        </w:rPr>
        <w:t xml:space="preserve">Glosarium</w:t>
      </w:r>
    </w:p>
    <w:p>
      <w:pPr>
        <w:spacing w:after="20" w:before="100"/>
      </w:pPr>
      <w:r>
        <w:rPr>
          <w:rFonts w:ascii="IBM Plex Mono" w:cs="IBM Plex Mono" w:eastAsia="IBM Plex Mono" w:hAnsi="IBM Plex Mono"/>
          <w:b/>
          <w:bCs/>
          <w:color w:val="0F172A"/>
          <w:sz w:val="20"/>
          <w:szCs w:val="20"/>
        </w:rPr>
        <w:t xml:space="preserve">Leiomioma / Mioma uteri</w:t>
      </w:r>
    </w:p>
    <w:p>
      <w:pPr>
        <w:spacing w:after="100"/>
      </w:pPr>
      <w:r>
        <w:rPr>
          <w:color w:val="334155"/>
          <w:sz w:val="20"/>
          <w:szCs w:val="20"/>
        </w:rPr>
        <w:t xml:space="preserve">Neoplasma jinak monoklonal berasal dari sel otot polos miometrium uterus.</w:t>
      </w:r>
    </w:p>
    <w:p>
      <w:pPr>
        <w:spacing w:after="20" w:before="100"/>
      </w:pPr>
      <w:r>
        <w:rPr>
          <w:rFonts w:ascii="IBM Plex Mono" w:cs="IBM Plex Mono" w:eastAsia="IBM Plex Mono" w:hAnsi="IBM Plex Mono"/>
          <w:b/>
          <w:bCs/>
          <w:color w:val="0F172A"/>
          <w:sz w:val="20"/>
          <w:szCs w:val="20"/>
        </w:rPr>
        <w:t xml:space="preserve">Menoragia</w:t>
      </w:r>
    </w:p>
    <w:p>
      <w:pPr>
        <w:spacing w:after="100"/>
      </w:pPr>
      <w:r>
        <w:rPr>
          <w:color w:val="334155"/>
          <w:sz w:val="20"/>
          <w:szCs w:val="20"/>
        </w:rPr>
        <w:t xml:space="preserve">Perdarahan haid dengan volume banyak dan/atau durasi memanjang secara berulang.</w:t>
      </w:r>
    </w:p>
    <w:p>
      <w:pPr>
        <w:spacing w:after="20" w:before="100"/>
      </w:pPr>
      <w:r>
        <w:rPr>
          <w:rFonts w:ascii="IBM Plex Mono" w:cs="IBM Plex Mono" w:eastAsia="IBM Plex Mono" w:hAnsi="IBM Plex Mono"/>
          <w:b/>
          <w:bCs/>
          <w:color w:val="0F172A"/>
          <w:sz w:val="20"/>
          <w:szCs w:val="20"/>
        </w:rPr>
        <w:t xml:space="preserve">Miomektomi</w:t>
      </w:r>
    </w:p>
    <w:p>
      <w:pPr>
        <w:spacing w:after="100"/>
      </w:pPr>
      <w:r>
        <w:rPr>
          <w:color w:val="334155"/>
          <w:sz w:val="20"/>
          <w:szCs w:val="20"/>
        </w:rPr>
        <w:t xml:space="preserve">Tindakan bedah pengangkatan mioma dengan mempertahankan uterus.</w:t>
      </w:r>
    </w:p>
    <w:p>
      <w:pPr>
        <w:spacing w:after="20" w:before="100"/>
      </w:pPr>
      <w:r>
        <w:rPr>
          <w:rFonts w:ascii="IBM Plex Mono" w:cs="IBM Plex Mono" w:eastAsia="IBM Plex Mono" w:hAnsi="IBM Plex Mono"/>
          <w:b/>
          <w:bCs/>
          <w:color w:val="0F172A"/>
          <w:sz w:val="20"/>
          <w:szCs w:val="20"/>
        </w:rPr>
        <w:t xml:space="preserve">Embolisasi arteri uterina</w:t>
      </w:r>
    </w:p>
    <w:p>
      <w:pPr>
        <w:spacing w:after="100"/>
      </w:pPr>
      <w:r>
        <w:rPr>
          <w:color w:val="334155"/>
          <w:sz w:val="20"/>
          <w:szCs w:val="20"/>
        </w:rPr>
        <w:t xml:space="preserve">Prosedur radiologi intervensi untuk menyumbat suplai darah ke mioma guna mengecilkan ukurannya.</w:t>
      </w:r>
    </w:p>
    <w:p>
      <w:pPr>
        <w:spacing w:after="20" w:before="100"/>
      </w:pPr>
      <w:r>
        <w:rPr>
          <w:rFonts w:ascii="IBM Plex Mono" w:cs="IBM Plex Mono" w:eastAsia="IBM Plex Mono" w:hAnsi="IBM Plex Mono"/>
          <w:b/>
          <w:bCs/>
          <w:color w:val="0F172A"/>
          <w:sz w:val="20"/>
          <w:szCs w:val="20"/>
        </w:rPr>
        <w:t xml:space="preserve">PALM-COEIN</w:t>
      </w:r>
    </w:p>
    <w:p>
      <w:pPr>
        <w:spacing w:after="100"/>
      </w:pPr>
      <w:r>
        <w:rPr>
          <w:color w:val="334155"/>
          <w:sz w:val="20"/>
          <w:szCs w:val="20"/>
        </w:rPr>
        <w:t xml:space="preserve">Sistem klasifikasi FIGO untuk penyebab perdarahan uterus abnormal, salah satu kategorinya adalah leiomioma (L).</w:t>
      </w:r>
    </w:p>
    <w:p>
      <w:pPr>
        <w:spacing w:after="20" w:before="100"/>
      </w:pPr>
      <w:r>
        <w:rPr>
          <w:rFonts w:ascii="IBM Plex Mono" w:cs="IBM Plex Mono" w:eastAsia="IBM Plex Mono" w:hAnsi="IBM Plex Mono"/>
          <w:b/>
          <w:bCs/>
          <w:color w:val="0F172A"/>
          <w:sz w:val="20"/>
          <w:szCs w:val="20"/>
        </w:rPr>
        <w:t xml:space="preserve">Agonis GnRH</w:t>
      </w:r>
    </w:p>
    <w:p>
      <w:pPr>
        <w:spacing w:after="100"/>
      </w:pPr>
      <w:r>
        <w:rPr>
          <w:color w:val="334155"/>
          <w:sz w:val="20"/>
          <w:szCs w:val="20"/>
        </w:rPr>
        <w:t xml:space="preserve">Golongan obat yang menekan produksi estrogen ovarium untuk mengecilkan volume mioma sementara.</w:t>
      </w:r>
    </w:p>
    <w:p>
      <w:pPr>
        <w:spacing w:after="20" w:before="100"/>
      </w:pPr>
      <w:r>
        <w:rPr>
          <w:rFonts w:ascii="IBM Plex Mono" w:cs="IBM Plex Mono" w:eastAsia="IBM Plex Mono" w:hAnsi="IBM Plex Mono"/>
          <w:b/>
          <w:bCs/>
          <w:color w:val="0F172A"/>
          <w:sz w:val="20"/>
          <w:szCs w:val="20"/>
        </w:rPr>
        <w:t xml:space="preserve">Leiomiosarkoma</w:t>
      </w:r>
    </w:p>
    <w:p>
      <w:pPr>
        <w:spacing w:after="100"/>
      </w:pPr>
      <w:r>
        <w:rPr>
          <w:color w:val="334155"/>
          <w:sz w:val="20"/>
          <w:szCs w:val="20"/>
        </w:rPr>
        <w:t xml:space="preserve">Keganasan jaringan otot polos uterus yang menjadi diagnosis banding penting mioma bergejala berat/atipikal.</w:t>
      </w:r>
    </w:p>
    <w:p>
      <w:pPr>
        <w:spacing w:after="20" w:before="100"/>
      </w:pPr>
      <w:r>
        <w:rPr>
          <w:rFonts w:ascii="IBM Plex Mono" w:cs="IBM Plex Mono" w:eastAsia="IBM Plex Mono" w:hAnsi="IBM Plex Mono"/>
          <w:b/>
          <w:bCs/>
          <w:color w:val="0F172A"/>
          <w:sz w:val="20"/>
          <w:szCs w:val="20"/>
        </w:rPr>
        <w:t xml:space="preserve">Morselasi (morcellation)</w:t>
      </w:r>
    </w:p>
    <w:p>
      <w:pPr>
        <w:spacing w:after="100"/>
      </w:pPr>
      <w:r>
        <w:rPr>
          <w:color w:val="334155"/>
          <w:sz w:val="20"/>
          <w:szCs w:val="20"/>
        </w:rPr>
        <w:t xml:space="preserve">Teknik bedah memotong jaringan uterus/mioma menjadi bagian lebih kecil agar dapat diangkat melalui insisi kecil atau instrumen laparoskopik.</w:t>
      </w:r>
    </w:p>
    <w:p>
      <w:pPr>
        <w:pBdr>
          <w:top w:val="single" w:color="E2E8F0" w:sz="6" w:space="8"/>
        </w:pBdr>
        <w:spacing w:before="300"/>
      </w:pPr>
      <w:r>
        <w:rPr>
          <w:color w:val="64748B"/>
          <w:sz w:val="16"/>
          <w:szCs w:val="16"/>
        </w:rPr>
        <w:t xml:space="preserve">PPK No. 47 dari 73   |   Sebelumnya: PPK-046 — Infeksi Daerah Operasi   |   Berikutnya: PPK-048 — Adenomiosis Tanpa Penyulit Infertilitas</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Perpustakaan Digital ABBA — </w:t>
    </w:r>
    <w:r>
      <w:rPr>
        <w:color w:val="64748B"/>
        <w:sz w:val="16"/>
        <w:szCs w:val="16"/>
      </w:rPr>
      <w:t xml:space="preserve">Halaman </w:t>
    </w:r>
    <w:r>
      <w:rPr>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64748B"/>
        <w:sz w:val="16"/>
        <w:szCs w:val="16"/>
      </w:rPr>
      <w:t xml:space="preserve">PPK-047 — Mioma Uteri Tanpa Penyulit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2026-08-17T21:14:21.057Z</dcterms:created>
  <dcterms:modified xsi:type="dcterms:W3CDTF">2026-08-17T21:14:21.074Z</dcterms:modified>
</cp:coreProperties>
</file>

<file path=docProps/custom.xml><?xml version="1.0" encoding="utf-8"?>
<Properties xmlns="http://schemas.openxmlformats.org/officeDocument/2006/custom-properties" xmlns:vt="http://schemas.openxmlformats.org/officeDocument/2006/docPropsVTypes"/>
</file>