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IBM Plex Mono" w:cs="IBM Plex Mono" w:eastAsia="IBM Plex Mono" w:hAnsi="IBM Plex Mono"/>
          <w:b/>
          <w:bCs/>
          <w:color w:val="B45309"/>
          <w:sz w:val="18"/>
          <w:szCs w:val="18"/>
        </w:rPr>
        <w:t xml:space="preserve">PPK-049</w:t>
      </w:r>
    </w:p>
    <w:p>
      <w:pPr>
        <w:pStyle w:val="Title"/>
        <w:spacing w:after="120"/>
      </w:pPr>
      <w:r>
        <w:rPr>
          <w:rFonts w:ascii="Source Serif 4" w:cs="Source Serif 4" w:eastAsia="Source Serif 4" w:hAnsi="Source Serif 4"/>
          <w:b/>
          <w:bCs/>
          <w:color w:val="4F46E5"/>
          <w:sz w:val="40"/>
          <w:szCs w:val="40"/>
        </w:rPr>
        <w:t xml:space="preserve">Polip Endometrium (Endometrial Polyp)</w:t>
      </w:r>
    </w:p>
    <w:p>
      <w:pPr>
        <w:spacing w:after="120"/>
      </w:pPr>
      <w:r>
        <w:rPr>
          <w:rFonts w:ascii="IBM Plex Mono" w:cs="IBM Plex Mono" w:eastAsia="IBM Plex Mono" w:hAnsi="IBM Plex Mono"/>
          <w:color w:val="334155"/>
          <w:sz w:val="18"/>
          <w:szCs w:val="18"/>
        </w:rPr>
        <w:t xml:space="preserve">ICD-10 N84.0  |  ICD-11 GA16.0  |  Polip jinak endometrium</w:t>
      </w:r>
    </w:p>
    <w:p>
      <w:pPr>
        <w:spacing w:after="200"/>
      </w:pPr>
      <w:r>
        <w:rPr>
          <w:rFonts w:ascii="IBM Plex Sans" w:cs="IBM Plex Sans" w:eastAsia="IBM Plex Sans" w:hAnsi="IBM Plex Sans"/>
          <w:i/>
          <w:iCs/>
          <w:color w:val="334155"/>
          <w:sz w:val="19"/>
          <w:szCs w:val="19"/>
        </w:rPr>
        <w:t xml:space="preserve">Dr.dr. Budi Siswanto, Sp.OG., Subsp.Obginsos., SH., S.Kom.  ·  Perpustakaan Digital ABBA, 2026</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2FF" w:val="clear"/>
            <w:tcMar>
              <w:top w:type="dxa" w:w="140"/>
              <w:left w:type="dxa" w:w="200"/>
              <w:bottom w:type="dxa" w:w="140"/>
              <w:right w:type="dxa" w:w="200"/>
            </w:tcMar>
          </w:tcPr>
          <w:p>
            <w:pPr>
              <w:spacing w:after="40"/>
            </w:pPr>
            <w:r>
              <w:rPr>
                <w:rFonts w:ascii="IBM Plex Mono" w:cs="IBM Plex Mono" w:eastAsia="IBM Plex Mono" w:hAnsi="IBM Plex Mono"/>
                <w:b/>
                <w:bCs/>
                <w:color w:val="4F46E5"/>
                <w:sz w:val="17"/>
                <w:szCs w:val="17"/>
              </w:rPr>
              <w:t xml:space="preserve">DASAR REGULASI</w:t>
            </w:r>
          </w:p>
          <w:p>
            <w:r>
              <w:rPr>
                <w:rFonts w:ascii="IBM Plex Sans" w:cs="IBM Plex Sans" w:eastAsia="IBM Plex Sans" w:hAnsi="IBM Plex Sans"/>
                <w:i/>
                <w:iCs/>
                <w:color w:val="334155"/>
                <w:sz w:val="19"/>
                <w:szCs w:val="19"/>
              </w:rPr>
              <w:t xml:space="preserve">Keputusan Ketua Konsil Kesehatan Indonesia No. HK.01.02/KKI/1318/2026 tentang Standar Kompetensi Dokter Spesialis dan Subspesialis Bidang Obstetri dan Ginekologi, Tabel 7 No. 49 (hal. 62) jo. Lampiran Istilah (hal. 516).</w:t>
            </w:r>
          </w:p>
        </w:tc>
      </w:tr>
    </w:tbl>
    <w:p>
      <w:pPr>
        <w:spacing w:after="160" w:line="276"/>
        <w:jc w:val="both"/>
      </w:pPr>
      <w:r>
        <w:rPr>
          <w:rFonts w:ascii="IBM Plex Sans" w:cs="IBM Plex Sans" w:eastAsia="IBM Plex Sans" w:hAnsi="IBM Plex Sans"/>
          <w:color w:val="334155"/>
          <w:sz w:val="21"/>
          <w:szCs w:val="21"/>
        </w:rPr>
        <w:t xml:space="preserve"/>
      </w:r>
    </w:p>
    <w:p>
      <w:pPr>
        <w:spacing w:after="160" w:line="276"/>
        <w:jc w:val="both"/>
      </w:pPr>
      <w:r>
        <w:rPr>
          <w:rFonts w:ascii="IBM Plex Sans" w:cs="IBM Plex Sans" w:eastAsia="IBM Plex Sans" w:hAnsi="IBM Plex Sans"/>
          <w:color w:val="334155"/>
          <w:sz w:val="21"/>
          <w:szCs w:val="21"/>
        </w:rPr>
        <w:t xml:space="preserve">PPK ini merupakan turunan operasional dari Bab Tumor Jinak Kavum Uteri, Buku Tematik B7 — Tumor Jinak Ginekologi dan Kelainan Struktural Uterus, yang mengatur secara spesifik alur diagnosis dan tata laksana satu entitas klinis, yaitu polip endometrium, sesuai entri Tabel 7 No. 49 Kepkonsil.</w:t>
      </w:r>
    </w:p>
    <w:p>
      <w:pPr>
        <w:spacing w:after="160" w:line="276"/>
        <w:jc w:val="both"/>
      </w:pPr>
      <w:r>
        <w:rPr>
          <w:rFonts w:ascii="IBM Plex Sans" w:cs="IBM Plex Sans" w:eastAsia="IBM Plex Sans" w:hAnsi="IBM Plex Sans"/>
          <w:color w:val="334155"/>
          <w:sz w:val="21"/>
          <w:szCs w:val="21"/>
        </w:rPr>
        <w:t xml:space="preserve"/>
      </w:r>
    </w:p>
    <w:p>
      <w:pPr>
        <w:pStyle w:val="Heading1"/>
        <w:spacing w:after="160" w:before="320"/>
      </w:pPr>
      <w:r>
        <w:rPr>
          <w:rFonts w:ascii="Source Serif 4" w:cs="Source Serif 4" w:eastAsia="Source Serif 4" w:hAnsi="Source Serif 4"/>
          <w:b/>
          <w:bCs/>
          <w:color w:val="4F46E5"/>
          <w:sz w:val="28"/>
          <w:szCs w:val="28"/>
        </w:rPr>
        <w:t xml:space="preserve">1. Pengertian/Definisi</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2FF" w:val="clear"/>
            <w:tcMar>
              <w:top w:type="dxa" w:w="140"/>
              <w:left w:type="dxa" w:w="200"/>
              <w:bottom w:type="dxa" w:w="140"/>
              <w:right w:type="dxa" w:w="200"/>
            </w:tcMar>
          </w:tcPr>
          <w:p>
            <w:pPr>
              <w:spacing w:after="40"/>
            </w:pPr>
            <w:r>
              <w:rPr>
                <w:rFonts w:ascii="IBM Plex Mono" w:cs="IBM Plex Mono" w:eastAsia="IBM Plex Mono" w:hAnsi="IBM Plex Mono"/>
                <w:b/>
                <w:bCs/>
                <w:color w:val="4F46E5"/>
                <w:sz w:val="17"/>
                <w:szCs w:val="17"/>
              </w:rPr>
              <w:t xml:space="preserve">DASAR REGULASI</w:t>
            </w:r>
          </w:p>
          <w:p>
            <w:r>
              <w:rPr>
                <w:rFonts w:ascii="IBM Plex Sans" w:cs="IBM Plex Sans" w:eastAsia="IBM Plex Sans" w:hAnsi="IBM Plex Sans"/>
                <w:i/>
                <w:iCs/>
                <w:color w:val="334155"/>
                <w:sz w:val="19"/>
                <w:szCs w:val="19"/>
              </w:rPr>
              <w:t xml:space="preserve">Tabel 7 Kepkonsil No. 49 (hal. 62); Lampiran Istilah Kepkonsil (hal. 516).</w:t>
            </w:r>
          </w:p>
        </w:tc>
      </w:tr>
    </w:tbl>
    <w:p>
      <w:pPr>
        <w:spacing w:after="160" w:line="276"/>
        <w:jc w:val="both"/>
      </w:pPr>
      <w:r>
        <w:rPr>
          <w:rFonts w:ascii="IBM Plex Sans" w:cs="IBM Plex Sans" w:eastAsia="IBM Plex Sans" w:hAnsi="IBM Plex Sans"/>
          <w:color w:val="334155"/>
          <w:sz w:val="21"/>
          <w:szCs w:val="21"/>
        </w:rPr>
        <w:t xml:space="preserve">Polip endometrium (endometrial polyp) adalah pertumbuhan fokal mukosa endometrium — terdiri atas kelenjar, stroma, dan pembuluh darah yang dilapisi epitel — yang menonjol ke dalam kavum uteri, bersifat jinak pada sebagian besar kasus. Lesi dapat bertangkai (pedunculated) atau berdasar lebar (sessile), tunggal maupun multipel, dengan ukuran bervariasi dari beberapa milimeter hingga mengisi hampir seluruh kavum uteri.</w:t>
      </w:r>
    </w:p>
    <w:p>
      <w:pPr>
        <w:spacing w:after="160" w:line="276"/>
        <w:jc w:val="both"/>
      </w:pPr>
      <w:r>
        <w:rPr>
          <w:rFonts w:ascii="IBM Plex Sans" w:cs="IBM Plex Sans" w:eastAsia="IBM Plex Sans" w:hAnsi="IBM Plex Sans"/>
          <w:color w:val="334155"/>
          <w:sz w:val="21"/>
          <w:szCs w:val="21"/>
        </w:rPr>
        <w:t xml:space="preserve">Polip endometrium termasuk salah satu penyebab struktural perdarahan uterus abnormal (PUA) dalam sistem klasifikasi PALM-COEIN yang diterbitkan Federasi Obstetri dan Ginekologi Internasional (FIGO), tepat berada pada kategori "P" (Polyp) dari sembilan kategori penyebab PUA pada usia reproduksi (Munro dkk., 2018).</w:t>
      </w:r>
    </w:p>
    <w:p>
      <w:pPr>
        <w:spacing w:after="160" w:line="276"/>
        <w:jc w:val="both"/>
      </w:pPr>
      <w:r>
        <w:rPr>
          <w:rFonts w:ascii="IBM Plex Sans" w:cs="IBM Plex Sans" w:eastAsia="IBM Plex Sans" w:hAnsi="IBM Plex Sans"/>
          <w:color w:val="334155"/>
          <w:sz w:val="21"/>
          <w:szCs w:val="21"/>
        </w:rPr>
        <w:t xml:space="preserve">Insidensi meningkat seiring bertambahnya usia dan mencapai puncak pada masa perimenopause, dengan faktor risiko meliputi obesitas, hipertensi, disfungsi ovulasi, penggunaan tamoksifen, terapi hormon pengganti tanpa perlindungan progestogen adekuat, serta sindrom Lynch pada sebagian kecil kasus dengan riwayat keluarga kuat kanker kolorekta/endometrium (Han dan Munro, 2026). Potensi transformasi ganas bergantung pada status menopause dan ada tidaknya gejala, sehingga evaluasi histopatologi tetap menjadi standar penegakan diagnosis definitif setelah pengangkatan lesi.</w:t>
      </w:r>
    </w:p>
    <w:p>
      <w:pPr>
        <w:pStyle w:val="Heading1"/>
        <w:spacing w:after="160" w:before="320"/>
      </w:pPr>
      <w:r>
        <w:rPr>
          <w:rFonts w:ascii="Source Serif 4" w:cs="Source Serif 4" w:eastAsia="Source Serif 4" w:hAnsi="Source Serif 4"/>
          <w:b/>
          <w:bCs/>
          <w:color w:val="4F46E5"/>
          <w:sz w:val="28"/>
          <w:szCs w:val="28"/>
        </w:rPr>
        <w:t xml:space="preserve">2. Anamnesis</w:t>
      </w:r>
    </w:p>
    <w:p>
      <w:pPr>
        <w:spacing w:after="160" w:line="276"/>
        <w:jc w:val="both"/>
      </w:pPr>
      <w:r>
        <w:rPr>
          <w:rFonts w:ascii="IBM Plex Sans" w:cs="IBM Plex Sans" w:eastAsia="IBM Plex Sans" w:hAnsi="IBM Plex Sans"/>
          <w:color w:val="334155"/>
          <w:sz w:val="21"/>
          <w:szCs w:val="21"/>
        </w:rPr>
        <w:t xml:space="preserve">Keluhan tersering adalah perdarahan uterus abnormal dalam berbagai pola: perdarahan bercak intermenstrual (gejala tersering pada usia reproduksi), menoragia, perdarahan pascasenggama, atau perdarahan pascamenopause. Sebagian pasien tidak bergejala dan polip ditemukan insidental pada pemeriksaan ultrasonografi rutin atau evaluasi infertilitas — proporsi kasus asimtomatik dilaporkan cukup besar baik pada usia reproduksi maupun pascamenopause (Wong dkk., 2017).</w:t>
      </w:r>
    </w:p>
    <w:p>
      <w:pPr>
        <w:spacing w:after="160" w:line="276"/>
        <w:jc w:val="both"/>
      </w:pPr>
      <w:r>
        <w:rPr>
          <w:rFonts w:ascii="IBM Plex Sans" w:cs="IBM Plex Sans" w:eastAsia="IBM Plex Sans" w:hAnsi="IBM Plex Sans"/>
          <w:color w:val="334155"/>
          <w:sz w:val="21"/>
          <w:szCs w:val="21"/>
        </w:rPr>
        <w:t xml:space="preserve">Perlu digali secara terarah: pola dan lama perdarahan, hubungan dengan siklus haid, status menopause, riwayat infertilitas atau kegagalan implantasi berulang pada pasien yang menjalani program fertilitas, penggunaan tamoksifen atau terapi hormon pengganti, indeks massa tubuh, komorbid hipertensi/diabetes, serta riwayat keluarga kanker endometrium/kolorekta yang mengarah pada kecurigaan sindrom Lynch.</w:t>
      </w:r>
    </w:p>
    <w:p>
      <w:pPr>
        <w:pStyle w:val="Heading1"/>
        <w:spacing w:after="160" w:before="320"/>
      </w:pPr>
      <w:r>
        <w:rPr>
          <w:rFonts w:ascii="Source Serif 4" w:cs="Source Serif 4" w:eastAsia="Source Serif 4" w:hAnsi="Source Serif 4"/>
          <w:b/>
          <w:bCs/>
          <w:color w:val="4F46E5"/>
          <w:sz w:val="28"/>
          <w:szCs w:val="28"/>
        </w:rPr>
        <w:t xml:space="preserve">3. Pemeriksaan Fisik</w:t>
      </w:r>
    </w:p>
    <w:p>
      <w:pPr>
        <w:spacing w:after="160" w:line="276"/>
        <w:jc w:val="both"/>
      </w:pPr>
      <w:r>
        <w:rPr>
          <w:rFonts w:ascii="IBM Plex Sans" w:cs="IBM Plex Sans" w:eastAsia="IBM Plex Sans" w:hAnsi="IBM Plex Sans"/>
          <w:color w:val="334155"/>
          <w:sz w:val="21"/>
          <w:szCs w:val="21"/>
        </w:rPr>
        <w:t xml:space="preserve">Pemeriksaan umum dan tanda vital dilakukan untuk menilai dampak hemodinamik perdarahan bila signifikan. Pemeriksaan ginekologi bimanual umumnya dalam batas normal; ukuran dan kontur uterus tetap perlu dinilai untuk menyingkirkan kelainan struktural penyerta seperti mioma uteri atau adenomiosis.</w:t>
      </w:r>
    </w:p>
    <w:p>
      <w:pPr>
        <w:spacing w:after="160" w:line="276"/>
        <w:jc w:val="both"/>
      </w:pPr>
      <w:r>
        <w:rPr>
          <w:rFonts w:ascii="IBM Plex Sans" w:cs="IBM Plex Sans" w:eastAsia="IBM Plex Sans" w:hAnsi="IBM Plex Sans"/>
          <w:color w:val="334155"/>
          <w:sz w:val="21"/>
          <w:szCs w:val="21"/>
        </w:rPr>
        <w:t xml:space="preserve">Pemeriksaan inspekulo wajib dilakukan untuk menyingkirkan sumber perdarahan dari serviks (polip endoserviks, servisitis, lesi pra-kanker/kanker serviks) sebelum atribusi perdarahan pada patologi endometrium. Pada polip berukuran besar, bagian distal lesi kadang dapat terlihat menonjol keluar dari ostium uteri eksternum saat inspekulo.</w:t>
      </w:r>
    </w:p>
    <w:p>
      <w:pPr>
        <w:pStyle w:val="Heading1"/>
        <w:spacing w:after="160" w:before="320"/>
      </w:pPr>
      <w:r>
        <w:rPr>
          <w:rFonts w:ascii="Source Serif 4" w:cs="Source Serif 4" w:eastAsia="Source Serif 4" w:hAnsi="Source Serif 4"/>
          <w:b/>
          <w:bCs/>
          <w:color w:val="4F46E5"/>
          <w:sz w:val="28"/>
          <w:szCs w:val="28"/>
        </w:rPr>
        <w:t xml:space="preserve">4. Kriteria Diagnosis</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2FF" w:val="clear"/>
            <w:tcMar>
              <w:top w:type="dxa" w:w="140"/>
              <w:left w:type="dxa" w:w="200"/>
              <w:bottom w:type="dxa" w:w="140"/>
              <w:right w:type="dxa" w:w="200"/>
            </w:tcMar>
          </w:tcPr>
          <w:p>
            <w:pPr>
              <w:spacing w:after="40"/>
            </w:pPr>
            <w:r>
              <w:rPr>
                <w:rFonts w:ascii="IBM Plex Mono" w:cs="IBM Plex Mono" w:eastAsia="IBM Plex Mono" w:hAnsi="IBM Plex Mono"/>
                <w:b/>
                <w:bCs/>
                <w:color w:val="4F46E5"/>
                <w:sz w:val="17"/>
                <w:szCs w:val="17"/>
              </w:rPr>
              <w:t xml:space="preserve">DASAR REGULASI</w:t>
            </w:r>
          </w:p>
          <w:p>
            <w:r>
              <w:rPr>
                <w:rFonts w:ascii="IBM Plex Sans" w:cs="IBM Plex Sans" w:eastAsia="IBM Plex Sans" w:hAnsi="IBM Plex Sans"/>
                <w:i/>
                <w:iCs/>
                <w:color w:val="334155"/>
                <w:sz w:val="19"/>
                <w:szCs w:val="19"/>
              </w:rPr>
              <w:t xml:space="preserve">Tabel 7 Kepkonsil No. 49 (hal. 62) — ICD-10 N84.0; ICD-11 GA16.0.</w:t>
            </w:r>
          </w:p>
        </w:tc>
      </w:tr>
    </w:tbl>
    <w:p>
      <w:pPr>
        <w:spacing w:after="160" w:line="276"/>
        <w:jc w:val="both"/>
      </w:pPr>
      <w:r>
        <w:rPr>
          <w:rFonts w:ascii="IBM Plex Sans" w:cs="IBM Plex Sans" w:eastAsia="IBM Plex Sans" w:hAnsi="IBM Plex Sans"/>
          <w:color w:val="334155"/>
          <w:sz w:val="21"/>
          <w:szCs w:val="21"/>
        </w:rPr>
        <w:t xml:space="preserve">Kode diagnosis: ICD-10 N84.0 (Polip korpus uteri); ICD-11 GA16.0 (Polip endometrium).</w:t>
      </w:r>
    </w:p>
    <w:p>
      <w:pPr>
        <w:spacing w:after="160" w:line="276"/>
        <w:jc w:val="both"/>
      </w:pPr>
      <w:r>
        <w:rPr>
          <w:rFonts w:ascii="IBM Plex Sans" w:cs="IBM Plex Sans" w:eastAsia="IBM Plex Sans" w:hAnsi="IBM Plex Sans"/>
          <w:color w:val="334155"/>
          <w:sz w:val="21"/>
          <w:szCs w:val="21"/>
        </w:rPr>
        <w:t xml:space="preserve">Diagnosis definitif ditegakkan melalui pemeriksaan histopatologi jaringan yang diperoleh dari polipektomi histeroskopik terarah atau, bila tidak tersedia, dilatasi dan kuretase. Kecurigaan klinis dibangun dari temuan pencitraan berupa lesi fokal ekogenik intrakavum dengan satu pedikel vaskular tunggal pada pemeriksaan Doppler — tanda khas yang membedakan dari mioma submukosa yang umumnya bervaskularisasi multipel. Konsensus terbaru International Society of Ultrasound in Obstetrics and Gynecology (ISUOG) merekomendasikan penggunaan leksikon terstandardisasi International Endometrial Tumor Analysis (IETA) untuk melaporkan temuan sonografi endometrium secara konsisten antarpemeriksa (Van den Bosch dkk., 2026).</w:t>
      </w:r>
    </w:p>
    <w:p>
      <w:pPr>
        <w:pStyle w:val="Heading1"/>
        <w:spacing w:after="160" w:before="320"/>
      </w:pPr>
      <w:r>
        <w:rPr>
          <w:rFonts w:ascii="Source Serif 4" w:cs="Source Serif 4" w:eastAsia="Source Serif 4" w:hAnsi="Source Serif 4"/>
          <w:b/>
          <w:bCs/>
          <w:color w:val="4F46E5"/>
          <w:sz w:val="28"/>
          <w:szCs w:val="28"/>
        </w:rPr>
        <w:t xml:space="preserve">5. Diagnosis Kerja dan Diagnosis Banding</w:t>
      </w:r>
    </w:p>
    <w:p>
      <w:pPr>
        <w:spacing w:after="160" w:line="276"/>
        <w:jc w:val="both"/>
      </w:pPr>
      <w:r>
        <w:rPr>
          <w:rFonts w:ascii="IBM Plex Sans" w:cs="IBM Plex Sans" w:eastAsia="IBM Plex Sans" w:hAnsi="IBM Plex Sans"/>
          <w:color w:val="334155"/>
          <w:sz w:val="21"/>
          <w:szCs w:val="21"/>
        </w:rPr>
        <w:t xml:space="preserve">Diagnosis kerja: Polip endometrium (N84.0/GA16.0), ditegakkan berdasarkan korelasi klinis dan temuan pencitraan, dikonfirmasi histopatologi pascatindakan.</w:t>
      </w:r>
    </w:p>
    <w:p>
      <w:pPr>
        <w:pStyle w:val="ListParagraph"/>
        <w:numPr>
          <w:ilvl w:val="0"/>
          <w:numId w:val="1"/>
        </w:numPr>
        <w:spacing w:after="90"/>
      </w:pPr>
      <w:r>
        <w:rPr>
          <w:rFonts w:ascii="IBM Plex Sans" w:cs="IBM Plex Sans" w:eastAsia="IBM Plex Sans" w:hAnsi="IBM Plex Sans"/>
          <w:color w:val="334155"/>
          <w:sz w:val="21"/>
          <w:szCs w:val="21"/>
        </w:rPr>
        <w:t xml:space="preserve">Mioma uteri submukosa (D25.9/2E86.0) — vaskularisasi multipel, kontinuitas dengan miometrium.</w:t>
      </w:r>
    </w:p>
    <w:p>
      <w:pPr>
        <w:pStyle w:val="ListParagraph"/>
        <w:numPr>
          <w:ilvl w:val="0"/>
          <w:numId w:val="1"/>
        </w:numPr>
        <w:spacing w:after="90"/>
      </w:pPr>
      <w:r>
        <w:rPr>
          <w:rFonts w:ascii="IBM Plex Sans" w:cs="IBM Plex Sans" w:eastAsia="IBM Plex Sans" w:hAnsi="IBM Plex Sans"/>
          <w:color w:val="334155"/>
          <w:sz w:val="21"/>
          <w:szCs w:val="21"/>
        </w:rPr>
        <w:t xml:space="preserve">Hiperplasia endometrium (N85.0/GA16.0 varian difus) — penebalan difus, bukan lesi fokal bertangkai.</w:t>
      </w:r>
    </w:p>
    <w:p>
      <w:pPr>
        <w:pStyle w:val="ListParagraph"/>
        <w:numPr>
          <w:ilvl w:val="0"/>
          <w:numId w:val="1"/>
        </w:numPr>
        <w:spacing w:after="90"/>
      </w:pPr>
      <w:r>
        <w:rPr>
          <w:rFonts w:ascii="IBM Plex Sans" w:cs="IBM Plex Sans" w:eastAsia="IBM Plex Sans" w:hAnsi="IBM Plex Sans"/>
          <w:color w:val="334155"/>
          <w:sz w:val="21"/>
          <w:szCs w:val="21"/>
        </w:rPr>
        <w:t xml:space="preserve">Karsinoma endometrium — terutama pada perdarahan pascamenopause dengan faktor risiko; wajib disingkirkan melalui histopatologi, mengingat risiko keganasan pada polip meningkat signifikan setelah menopause (lihat bagian Prognosis).</w:t>
      </w:r>
    </w:p>
    <w:p>
      <w:pPr>
        <w:pStyle w:val="ListParagraph"/>
        <w:numPr>
          <w:ilvl w:val="0"/>
          <w:numId w:val="1"/>
        </w:numPr>
        <w:spacing w:after="90"/>
      </w:pPr>
      <w:r>
        <w:rPr>
          <w:rFonts w:ascii="IBM Plex Sans" w:cs="IBM Plex Sans" w:eastAsia="IBM Plex Sans" w:hAnsi="IBM Plex Sans"/>
          <w:color w:val="334155"/>
          <w:sz w:val="21"/>
          <w:szCs w:val="21"/>
        </w:rPr>
        <w:t xml:space="preserve">Polip endoserviks — berasal dari kanalis servikalis, tampak pada inspekulo.</w:t>
      </w:r>
    </w:p>
    <w:p>
      <w:pPr>
        <w:pStyle w:val="ListParagraph"/>
        <w:numPr>
          <w:ilvl w:val="0"/>
          <w:numId w:val="1"/>
        </w:numPr>
        <w:spacing w:after="90"/>
      </w:pPr>
      <w:r>
        <w:rPr>
          <w:rFonts w:ascii="IBM Plex Sans" w:cs="IBM Plex Sans" w:eastAsia="IBM Plex Sans" w:hAnsi="IBM Plex Sans"/>
          <w:color w:val="334155"/>
          <w:sz w:val="21"/>
          <w:szCs w:val="21"/>
        </w:rPr>
        <w:t xml:space="preserve">Sisa hasil konsepsi (retained products of conception) pada pasien usia reproduksi dengan riwayat kehamilan/keguguran terkini.</w:t>
      </w:r>
    </w:p>
    <w:p>
      <w:pPr>
        <w:pStyle w:val="ListParagraph"/>
        <w:numPr>
          <w:ilvl w:val="0"/>
          <w:numId w:val="1"/>
        </w:numPr>
        <w:spacing w:after="90"/>
      </w:pPr>
      <w:r>
        <w:rPr>
          <w:rFonts w:ascii="IBM Plex Sans" w:cs="IBM Plex Sans" w:eastAsia="IBM Plex Sans" w:hAnsi="IBM Plex Sans"/>
          <w:color w:val="334155"/>
          <w:sz w:val="21"/>
          <w:szCs w:val="21"/>
        </w:rPr>
        <w:t xml:space="preserve">Malformasi arteriovena uterus — jarang, dibedakan dengan pemeriksaan Doppler.</w:t>
      </w:r>
    </w:p>
    <w:p>
      <w:pPr>
        <w:pStyle w:val="Heading1"/>
        <w:spacing w:after="160" w:before="320"/>
      </w:pPr>
      <w:r>
        <w:rPr>
          <w:rFonts w:ascii="Source Serif 4" w:cs="Source Serif 4" w:eastAsia="Source Serif 4" w:hAnsi="Source Serif 4"/>
          <w:b/>
          <w:bCs/>
          <w:color w:val="4F46E5"/>
          <w:sz w:val="28"/>
          <w:szCs w:val="28"/>
        </w:rPr>
        <w:t xml:space="preserve">6. Pemeriksaan Penunjang</w:t>
      </w:r>
    </w:p>
    <w:p>
      <w:pPr>
        <w:spacing w:after="160" w:line="276"/>
        <w:jc w:val="both"/>
      </w:pPr>
      <w:r>
        <w:rPr>
          <w:rFonts w:ascii="IBM Plex Sans" w:cs="IBM Plex Sans" w:eastAsia="IBM Plex Sans" w:hAnsi="IBM Plex Sans"/>
          <w:color w:val="334155"/>
          <w:sz w:val="21"/>
          <w:szCs w:val="21"/>
        </w:rPr>
        <w:t xml:space="preserve">Ultrasonografi transvaginal (USG TV) merupakan modalitas lini pertama untuk deteksi awal lesi intrakavum. Sonohisterografi infus salin (saline infusion sonohysterography/SIS) meningkatkan sensitivitas dan spesifisitas dengan membedakan lesi fokal dari penebalan difus endometrium; sonohisterografi diindikasikan bila endometrium tidak dapat dinilai secara utuh dengan USG TV standar atau bila dicurigai adanya lesi intrakavum (Van den Bosch dkk., 2026).</w:t>
      </w:r>
    </w:p>
    <w:p>
      <w:pPr>
        <w:spacing w:after="160" w:line="276"/>
        <w:jc w:val="both"/>
      </w:pPr>
      <w:r>
        <w:rPr>
          <w:rFonts w:ascii="IBM Plex Sans" w:cs="IBM Plex Sans" w:eastAsia="IBM Plex Sans" w:hAnsi="IBM Plex Sans"/>
          <w:color w:val="334155"/>
          <w:sz w:val="21"/>
          <w:szCs w:val="21"/>
        </w:rPr>
        <w:t xml:space="preserve">Histeroskopi diagnostik merupakan baku emas (gold standard) karena memungkinkan visualisasi langsung, penilaian karakteristik permukaan dan vaskularisasi polip, sekaligus tindakan biopsi atau reseksi terarah dalam satu sesi ("see-and-treat"). Biopsi endometrium buta (misalnya dengan kanula aspirasi) memiliki sensitivitas rendah untuk lesi fokal karena berisiko tidak mengenai jaringan polip, sehingga tidak direkomendasikan sebagai modalitas tunggal untuk menyingkirkan polip; pedoman NICE NG88 secara eksplisit menyatakan dilatasi dan kuretase tidak digunakan sebagai alat diagnostik tunggal untuk perdarahan haid berat.</w:t>
      </w:r>
    </w:p>
    <w:p>
      <w:pPr>
        <w:spacing w:after="160" w:line="276"/>
        <w:jc w:val="both"/>
      </w:pPr>
      <w:r>
        <w:rPr>
          <w:rFonts w:ascii="IBM Plex Sans" w:cs="IBM Plex Sans" w:eastAsia="IBM Plex Sans" w:hAnsi="IBM Plex Sans"/>
          <w:color w:val="334155"/>
          <w:sz w:val="21"/>
          <w:szCs w:val="21"/>
        </w:rPr>
        <w:t xml:space="preserve">Pencitraan lanjutan seperti MRI panggul dicadangkan untuk kasus kompleks dengan kecurigaan keterlibatan miometrium dalam atau keganasan yang tidak dapat dipastikan dengan USG dan histeroskopi.</w:t>
      </w:r>
    </w:p>
    <w:p>
      <w:pPr>
        <w:pStyle w:val="Heading1"/>
        <w:spacing w:after="160" w:before="320"/>
      </w:pPr>
      <w:r>
        <w:rPr>
          <w:rFonts w:ascii="Source Serif 4" w:cs="Source Serif 4" w:eastAsia="Source Serif 4" w:hAnsi="Source Serif 4"/>
          <w:b/>
          <w:bCs/>
          <w:color w:val="4F46E5"/>
          <w:sz w:val="28"/>
          <w:szCs w:val="28"/>
        </w:rPr>
        <w:t xml:space="preserve">7. Tata Laksana</w:t>
      </w:r>
    </w:p>
    <w:p>
      <w:pPr>
        <w:pStyle w:val="Heading2"/>
        <w:spacing w:after="120" w:before="220"/>
      </w:pPr>
      <w:r>
        <w:rPr>
          <w:rFonts w:ascii="Source Serif 4" w:cs="Source Serif 4" w:eastAsia="Source Serif 4" w:hAnsi="Source Serif 4"/>
          <w:b/>
          <w:bCs/>
          <w:color w:val="334155"/>
          <w:sz w:val="24"/>
          <w:szCs w:val="24"/>
        </w:rPr>
        <w:t xml:space="preserve">7.1 Tata Laksana Non-Farmakologis</w:t>
      </w:r>
    </w:p>
    <w:p>
      <w:pPr>
        <w:spacing w:after="160" w:line="276"/>
        <w:jc w:val="both"/>
      </w:pPr>
      <w:r>
        <w:rPr>
          <w:rFonts w:ascii="IBM Plex Sans" w:cs="IBM Plex Sans" w:eastAsia="IBM Plex Sans" w:hAnsi="IBM Plex Sans"/>
          <w:color w:val="334155"/>
          <w:sz w:val="21"/>
          <w:szCs w:val="21"/>
        </w:rPr>
        <w:t xml:space="preserve">Pemantauan berkala (watchful waiting) merupakan pilihan wajar untuk polip asimtomatik berukuran kecil (&lt;10 mm), khususnya pada pasien usia reproduksi tanpa faktor risiko keganasan. Studi kohort retrospektif oleh Wong dkk. (2017) menunjukkan bahwa laju pertumbuhan polip yang dipantau secara ekspektatif sangat bervariasi dan tidak dapat diprediksi secara konsisten pada tingkat individu, sehingga keputusan pemantauan versus tindakan tetap perlu disesuaikan dengan gejala dan preferensi pasien, bukan semata ukuran polip pada satu titik waktu. Edukasi tanda bahaya (perdarahan memberat, perdarahan pascamenopause baru) menjadi bagian penting pemantauan ini.</w:t>
      </w:r>
    </w:p>
    <w:p>
      <w:pPr>
        <w:pStyle w:val="Heading2"/>
        <w:spacing w:after="120" w:before="220"/>
      </w:pPr>
      <w:r>
        <w:rPr>
          <w:rFonts w:ascii="Source Serif 4" w:cs="Source Serif 4" w:eastAsia="Source Serif 4" w:hAnsi="Source Serif 4"/>
          <w:b/>
          <w:bCs/>
          <w:color w:val="334155"/>
          <w:sz w:val="24"/>
          <w:szCs w:val="24"/>
        </w:rPr>
        <w:t xml:space="preserve">7.2 Tata Laksana Farmakologis</w:t>
      </w:r>
    </w:p>
    <w:p>
      <w:pPr>
        <w:spacing w:after="160" w:line="276"/>
        <w:jc w:val="both"/>
      </w:pPr>
      <w:r>
        <w:rPr>
          <w:rFonts w:ascii="IBM Plex Sans" w:cs="IBM Plex Sans" w:eastAsia="IBM Plex Sans" w:hAnsi="IBM Plex Sans"/>
          <w:color w:val="334155"/>
          <w:sz w:val="21"/>
          <w:szCs w:val="21"/>
        </w:rPr>
        <w:t xml:space="preserve">Belum terdapat terapi farmakologis yang menghilangkan polip secara definitif. Progestogen (oral, atau melalui alat kontrasepsi dalam rahim berlevonorgestrel) dapat digunakan untuk mengendalikan gejala perdarahan pada pasien yang menunda tindakan bedah, tanpa menjamin resolusi lesi. Pada pasien pengguna tamoksifen, keputusan penghentian atau penyesuaian terapi tidak dilakukan sepihak oleh dokter kandungan, melainkan melalui konsultasi bersama tim onkologi yang mengelola terapi kanker payudara pasien, mengingat tamoksifen tetap diperlukan untuk pengendalian kanker payudara meski berasosiasi dengan pembentukan polip endometrium.</w:t>
      </w:r>
    </w:p>
    <w:p>
      <w:pPr>
        <w:pStyle w:val="Heading2"/>
        <w:spacing w:after="120" w:before="220"/>
      </w:pPr>
      <w:r>
        <w:rPr>
          <w:rFonts w:ascii="Source Serif 4" w:cs="Source Serif 4" w:eastAsia="Source Serif 4" w:hAnsi="Source Serif 4"/>
          <w:b/>
          <w:bCs/>
          <w:color w:val="334155"/>
          <w:sz w:val="24"/>
          <w:szCs w:val="24"/>
        </w:rPr>
        <w:t xml:space="preserve">7.3 Tata Laksana Bedah/Prosedural</w:t>
      </w:r>
    </w:p>
    <w:p>
      <w:pPr>
        <w:spacing w:after="160" w:line="276"/>
        <w:jc w:val="both"/>
      </w:pPr>
      <w:r>
        <w:rPr>
          <w:rFonts w:ascii="IBM Plex Sans" w:cs="IBM Plex Sans" w:eastAsia="IBM Plex Sans" w:hAnsi="IBM Plex Sans"/>
          <w:color w:val="334155"/>
          <w:sz w:val="21"/>
          <w:szCs w:val="21"/>
        </w:rPr>
        <w:t xml:space="preserve">Polipektomi histeroskopik terarah merupakan tata laksana pilihan (preferred) dibandingkan dilatasi dan kuretase buta, karena memberikan tingkat kelengkapan reseksi yang lebih tinggi dan visualisasi langsung selama tindakan; pedoman No. 447 Society of Obstetricians and Gynaecologists of Canada (SOGC) menegaskan hal ini sebagai rekomendasi utama tata laksana bedah polip endometrium (Bougie dkk., 2024). Tindakan dapat dilakukan secara rawat jalan (office hysteroscopy) tanpa anestesi umum pada sebagian besar kasus, sebagaimana dirangkum dalam tinjauan klinis terbaru di Obstetrics &amp; Gynecology (Han dan Munro, 2026).</w:t>
      </w:r>
    </w:p>
    <w:p>
      <w:pPr>
        <w:spacing w:after="160" w:line="276"/>
        <w:jc w:val="both"/>
      </w:pPr>
      <w:r>
        <w:rPr>
          <w:rFonts w:ascii="IBM Plex Sans" w:cs="IBM Plex Sans" w:eastAsia="IBM Plex Sans" w:hAnsi="IBM Plex Sans"/>
          <w:color w:val="334155"/>
          <w:sz w:val="21"/>
          <w:szCs w:val="21"/>
        </w:rPr>
        <w:t xml:space="preserve">Indikasi tindakan bedah meliputi: polip simtomatik (PUA, terkait infertilitas), polip pada pasien pascamenopause, polip berukuran besar atau mengganggu evaluasi kavum uteri, polip dengan gambaran mencurigakan pada pencitraan/histeroskopi, serta polip rekuren. Jaringan hasil reseksi wajib dikirim untuk pemeriksaan histopatologi pada setiap kasus, tanpa kecuali, guna menyingkirkan atipia atau keganasan tersembunyi.</w:t>
      </w:r>
    </w:p>
    <w:p>
      <w:pPr>
        <w:pStyle w:val="Heading2"/>
        <w:spacing w:after="120" w:before="220"/>
      </w:pPr>
      <w:r>
        <w:rPr>
          <w:rFonts w:ascii="Source Serif 4" w:cs="Source Serif 4" w:eastAsia="Source Serif 4" w:hAnsi="Source Serif 4"/>
          <w:b/>
          <w:bCs/>
          <w:color w:val="334155"/>
          <w:sz w:val="24"/>
          <w:szCs w:val="24"/>
        </w:rPr>
        <w:t xml:space="preserve">7.4 Kriteria Rujukan ke Subspesialis Onkologi Ginekologi</w:t>
      </w:r>
    </w:p>
    <w:p>
      <w:pPr>
        <w:spacing w:after="160" w:line="276"/>
        <w:jc w:val="both"/>
      </w:pPr>
      <w:r>
        <w:rPr>
          <w:rFonts w:ascii="IBM Plex Sans" w:cs="IBM Plex Sans" w:eastAsia="IBM Plex Sans" w:hAnsi="IBM Plex Sans"/>
          <w:color w:val="334155"/>
          <w:sz w:val="21"/>
          <w:szCs w:val="21"/>
        </w:rPr>
        <w:t xml:space="preserve">Rujukan ke subspesialis Onkologi Ginekologi dilakukan bila ditemukan salah satu kondisi berikut: hasil histopatologi menunjukkan atipia kompleks atau keganasan; gambaran sonografi/histeroskopi mencurigakan (vaskularisasi ireguler, ukuran besar, ekogenisitas campuran); pasien pascamenopause dengan perdarahan disertai faktor risiko keganasan endometrium (obesitas, riwayat sindrom Lynch/riwayat keluarga kuat); atau polip rekuren berulang meski telah dilakukan reseksi adekuat.</w:t>
      </w:r>
    </w:p>
    <w:p>
      <w:pPr>
        <w:pStyle w:val="Heading1"/>
        <w:spacing w:after="160" w:before="320"/>
      </w:pPr>
      <w:r>
        <w:rPr>
          <w:rFonts w:ascii="Source Serif 4" w:cs="Source Serif 4" w:eastAsia="Source Serif 4" w:hAnsi="Source Serif 4"/>
          <w:b/>
          <w:bCs/>
          <w:color w:val="4F46E5"/>
          <w:sz w:val="28"/>
          <w:szCs w:val="28"/>
        </w:rPr>
        <w:t xml:space="preserve">8. Kontribusi Divisi Pengampu — Onkologi Ginekologi</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60"/>
              <w:left w:type="dxa" w:w="220"/>
              <w:bottom w:type="dxa" w:w="160"/>
              <w:right w:type="dxa" w:w="220"/>
            </w:tcMar>
          </w:tcPr>
          <w:p>
            <w:pPr>
              <w:spacing w:after="100"/>
            </w:pPr>
            <w:r>
              <w:rPr>
                <w:rFonts w:ascii="IBM Plex Sans" w:cs="IBM Plex Sans" w:eastAsia="IBM Plex Sans" w:hAnsi="IBM Plex Sans"/>
                <w:b/>
                <w:bCs/>
                <w:color w:val="B45309"/>
                <w:sz w:val="19"/>
                <w:szCs w:val="19"/>
              </w:rPr>
              <w:t xml:space="preserve">A. Deskripsi</w:t>
            </w:r>
          </w:p>
          <w:p>
            <w:pPr>
              <w:spacing w:after="140"/>
            </w:pPr>
            <w:r>
              <w:rPr>
                <w:rFonts w:ascii="IBM Plex Sans" w:cs="IBM Plex Sans" w:eastAsia="IBM Plex Sans" w:hAnsi="IBM Plex Sans"/>
                <w:color w:val="334155"/>
                <w:sz w:val="19"/>
                <w:szCs w:val="19"/>
              </w:rPr>
              <w:t xml:space="preserve">Perspektif Onkologi Ginekologi relevan pada tata laksana polip endometrium karena, meski mayoritas lesi bersifat jinak, sebagian kecil membawa risiko keganasan tersembunyi yang meningkat bermakna pada kelompok pascamenopause dan simtomatik, sehingga jalur skrining dan rujukan perlu tersusun jelas agar kasus berisiko tidak terlambat teridentifikasi.</w:t>
            </w:r>
          </w:p>
          <w:p>
            <w:pPr>
              <w:spacing w:after="100"/>
            </w:pPr>
            <w:r>
              <w:rPr>
                <w:rFonts w:ascii="IBM Plex Sans" w:cs="IBM Plex Sans" w:eastAsia="IBM Plex Sans" w:hAnsi="IBM Plex Sans"/>
                <w:b/>
                <w:bCs/>
                <w:color w:val="B45309"/>
                <w:sz w:val="19"/>
                <w:szCs w:val="19"/>
              </w:rPr>
              <w:t xml:space="preserve">B. Stratifikasi Risiko Keganasan pada Polip Endometrium</w:t>
            </w:r>
          </w:p>
          <w:p>
            <w:pPr>
              <w:spacing w:after="140"/>
            </w:pPr>
            <w:r>
              <w:rPr>
                <w:rFonts w:ascii="IBM Plex Sans" w:cs="IBM Plex Sans" w:eastAsia="IBM Plex Sans" w:hAnsi="IBM Plex Sans"/>
                <w:color w:val="334155"/>
                <w:sz w:val="19"/>
                <w:szCs w:val="19"/>
              </w:rPr>
              <w:t xml:space="preserve">Meta-analisis oleh Lee dkk. (2010) terhadap data lebih dari tujuh ribu polip endometrium menunjukkan prevalensi lesi premaligna atau maligna sebesar 5,42% pada wanita pascamenopause dibandingkan 1,7% pada usia reproduksi (risiko relatif 3,86; IK95% 2,92-5,11). Pada subkelompok pascamenopause yang simtomatik (perdarahan), prevalensi keganasan meningkat menjadi 4,47%, dibandingkan 1,51% pada pascamenopause yang asimtomatik (risiko relatif 3,36; IK95% 1,45-7,80). Temuan ini menjadi dasar penetapan status menopause dan ada tidaknya gejala perdarahan sebagai dua penstratifikasi risiko utama yang menentukan urgensi dan jalur rujukan onkologi ginekologi, di samping ukuran polip dan gambaran vaskularisasi pada pencitraan.</w:t>
            </w:r>
          </w:p>
          <w:p>
            <w:pPr>
              <w:spacing w:after="100"/>
            </w:pPr>
            <w:r>
              <w:rPr>
                <w:rFonts w:ascii="IBM Plex Sans" w:cs="IBM Plex Sans" w:eastAsia="IBM Plex Sans" w:hAnsi="IBM Plex Sans"/>
                <w:b/>
                <w:bCs/>
                <w:color w:val="B45309"/>
                <w:sz w:val="19"/>
                <w:szCs w:val="19"/>
              </w:rPr>
              <w:t xml:space="preserve">C. Ilustrasi Kasus Lapangan</w:t>
            </w:r>
          </w:p>
          <w:p>
            <w:r>
              <w:rPr>
                <w:rFonts w:ascii="IBM Plex Sans" w:cs="IBM Plex Sans" w:eastAsia="IBM Plex Sans" w:hAnsi="IBM Plex Sans"/>
                <w:i/>
                <w:iCs/>
                <w:color w:val="334155"/>
                <w:sz w:val="19"/>
                <w:szCs w:val="19"/>
              </w:rPr>
              <w:t xml:space="preserve">Seorang perempuan usia 58 tahun, pascamenopause lima tahun, datang dengan bercak perdarahan berulang selama tiga bulan. USG TV menunjukkan lesi ekogenik intrakavum berukuran 22 mm dengan vaskularisasi ireguler. Histeroskopi rawat jalan dilakukan dan polipektomi terarah berhasil mengangkat lesi secara utuh. Hasil histopatologi menunjukkan hiperplasia atipik fokal dalam polip. Berdasarkan kriteria rujukan pada bagian 7.4, pasien dirujuk ke subspesialis Onkologi Ginekologi untuk evaluasi lanjut dan tata laksana definitif, dengan hasil akhir tata laksana konservatif uterus-sparing tetap dapat dipertimbangkan mengingat lesi atipik terbatas pada polip dan telah terangkat lengkap, disertai rencana pemantauan histopatologi ketat.</w:t>
            </w:r>
          </w:p>
        </w:tc>
      </w:tr>
    </w:tbl>
    <w:p>
      <w:pPr>
        <w:spacing w:after="160" w:line="276"/>
        <w:jc w:val="both"/>
      </w:pPr>
      <w:r>
        <w:rPr>
          <w:rFonts w:ascii="IBM Plex Sans" w:cs="IBM Plex Sans" w:eastAsia="IBM Plex Sans" w:hAnsi="IBM Plex Sans"/>
          <w:color w:val="334155"/>
          <w:sz w:val="21"/>
          <w:szCs w:val="21"/>
        </w:rPr>
        <w:t xml:space="preserve"/>
      </w:r>
    </w:p>
    <w:p>
      <w:pPr>
        <w:pStyle w:val="Heading1"/>
        <w:spacing w:after="160" w:before="320"/>
      </w:pPr>
      <w:r>
        <w:rPr>
          <w:rFonts w:ascii="Source Serif 4" w:cs="Source Serif 4" w:eastAsia="Source Serif 4" w:hAnsi="Source Serif 4"/>
          <w:b/>
          <w:bCs/>
          <w:color w:val="4F46E5"/>
          <w:sz w:val="28"/>
          <w:szCs w:val="28"/>
        </w:rPr>
        <w:t xml:space="preserve">9. Edukasi Pasien dan Keluarga</w:t>
      </w:r>
    </w:p>
    <w:p>
      <w:pPr>
        <w:spacing w:after="160" w:line="276"/>
        <w:jc w:val="both"/>
      </w:pPr>
      <w:r>
        <w:rPr>
          <w:rFonts w:ascii="IBM Plex Sans" w:cs="IBM Plex Sans" w:eastAsia="IBM Plex Sans" w:hAnsi="IBM Plex Sans"/>
          <w:color w:val="334155"/>
          <w:sz w:val="21"/>
          <w:szCs w:val="21"/>
        </w:rPr>
        <w:t xml:space="preserve">Pasien dan keluarga diberikan penjelasan bahwa polip endometrium pada mayoritas kasus bersifat jinak, namun evaluasi jaringan tetap diperlukan untuk memastikan tidak ada perubahan sel abnormal, terutama pada kelompok pascamenopause yang memiliki risiko keganasan lebih tinggi dibandingkan usia reproduksi. Perlu dijelaskan pilihan pemantauan versus tindakan bedah beserta manfaat dan risikonya, kemungkinan variasi pertumbuhan polip bila dipantau, serta pentingnya kontrol ulang bila keluhan perdarahan muncul kembali — khususnya pada kelompok pascamenopause, di mana perdarahan berulang wajib dievaluasi ulang tanpa penundaan.</w:t>
      </w:r>
    </w:p>
    <w:p>
      <w:pPr>
        <w:pStyle w:val="Heading1"/>
        <w:spacing w:after="160" w:before="320"/>
      </w:pPr>
      <w:r>
        <w:rPr>
          <w:rFonts w:ascii="Source Serif 4" w:cs="Source Serif 4" w:eastAsia="Source Serif 4" w:hAnsi="Source Serif 4"/>
          <w:b/>
          <w:bCs/>
          <w:color w:val="4F46E5"/>
          <w:sz w:val="28"/>
          <w:szCs w:val="28"/>
        </w:rPr>
        <w:t xml:space="preserve">10. Prognosis</w:t>
      </w:r>
    </w:p>
    <w:p>
      <w:pPr>
        <w:spacing w:after="160" w:line="276"/>
        <w:jc w:val="both"/>
      </w:pPr>
      <w:r>
        <w:rPr>
          <w:rFonts w:ascii="IBM Plex Sans" w:cs="IBM Plex Sans" w:eastAsia="IBM Plex Sans" w:hAnsi="IBM Plex Sans"/>
          <w:color w:val="334155"/>
          <w:sz w:val="21"/>
          <w:szCs w:val="21"/>
        </w:rPr>
        <w:t xml:space="preserve">Prognosis umumnya baik pada polip tanpa atipia. Risiko transformasi premaligna atau maligna meningkat bermakna pada kelompok pascamenopause dibandingkan usia reproduksi (5,42% berbanding 1,7%; Lee dkk., 2010), dan meningkat lebih lanjut pada kelompok pascamenopause yang simtomatik dibandingkan asimtomatik. Laju pertumbuhan polip yang dipantau secara ekspektatif bervariasi antarindividu dan belum dapat diprediksi secara akurat berdasarkan karakteristik awal (Wong dkk., 2017), sehingga pemantauan berkala dengan ambang waktu evaluasi ulang yang jelas tetap diperlukan pada kasus yang dikelola secara ekspektatif.</w:t>
      </w:r>
    </w:p>
    <w:p>
      <w:pPr>
        <w:pStyle w:val="Heading1"/>
        <w:spacing w:after="160" w:before="320"/>
      </w:pPr>
      <w:r>
        <w:rPr>
          <w:rFonts w:ascii="Source Serif 4" w:cs="Source Serif 4" w:eastAsia="Source Serif 4" w:hAnsi="Source Serif 4"/>
          <w:b/>
          <w:bCs/>
          <w:color w:val="4F46E5"/>
          <w:sz w:val="28"/>
          <w:szCs w:val="28"/>
        </w:rPr>
        <w:t xml:space="preserve">11. Tingkat Evidens dan Rekomendasi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rPr>
          <w:tblHeader/>
        </w:trPr>
        <w:tc>
          <w:tcPr>
            <w:tcW w:type="dxa" w:w="2256"/>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Pernyataan</w:t>
            </w:r>
          </w:p>
        </w:tc>
        <w:tc>
          <w:tcPr>
            <w:tcW w:type="dxa" w:w="2256"/>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Tingkat Evidens</w:t>
            </w:r>
          </w:p>
        </w:tc>
        <w:tc>
          <w:tcPr>
            <w:tcW w:type="dxa" w:w="2256"/>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Kekuatan Rekomendasi</w:t>
            </w:r>
          </w:p>
        </w:tc>
        <w:tc>
          <w:tcPr>
            <w:tcW w:type="dxa" w:w="2256"/>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Sumber</w:t>
            </w:r>
          </w:p>
        </w:tc>
      </w:tr>
      <w:tr>
        <w:tc>
          <w:tcPr>
            <w:tcW w:type="dxa" w:w="2256"/>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Polipektomi histeroskopik terarah lebih disarankan dibandingkan dilatasi dan kuretase buta untuk polip simtomatik.</w:t>
            </w:r>
          </w:p>
        </w:tc>
        <w:tc>
          <w:tcPr>
            <w:tcW w:type="dxa" w:w="2256"/>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II-2</w:t>
            </w:r>
          </w:p>
        </w:tc>
        <w:tc>
          <w:tcPr>
            <w:tcW w:type="dxa" w:w="2256"/>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B</w:t>
            </w:r>
          </w:p>
        </w:tc>
        <w:tc>
          <w:tcPr>
            <w:tcW w:type="dxa" w:w="2256"/>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SOGC Guideline No. 447 (2024); ACOG Practice Bulletin No. 128</w:t>
            </w:r>
          </w:p>
        </w:tc>
      </w:tr>
      <w:tr>
        <w:tc>
          <w:tcPr>
            <w:tcW w:type="dxa" w:w="2256"/>
            <w:shd w:fill="F1F5F9"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Pemantauan berkala dapat dipertimbangkan untuk polip asimtomatik berukuran kecil pada usia reproduksi tanpa faktor risiko keganasan.</w:t>
            </w:r>
          </w:p>
        </w:tc>
        <w:tc>
          <w:tcPr>
            <w:tcW w:type="dxa" w:w="2256"/>
            <w:shd w:fill="F1F5F9"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II-3</w:t>
            </w:r>
          </w:p>
        </w:tc>
        <w:tc>
          <w:tcPr>
            <w:tcW w:type="dxa" w:w="2256"/>
            <w:shd w:fill="F1F5F9"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C</w:t>
            </w:r>
          </w:p>
        </w:tc>
        <w:tc>
          <w:tcPr>
            <w:tcW w:type="dxa" w:w="2256"/>
            <w:shd w:fill="F1F5F9"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Wong dkk., Hum Reprod 2017</w:t>
            </w:r>
          </w:p>
        </w:tc>
      </w:tr>
      <w:tr>
        <w:tc>
          <w:tcPr>
            <w:tcW w:type="dxa" w:w="2256"/>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Setiap jaringan hasil reseksi polip wajib dikirim untuk pemeriksaan histopatologi, khususnya pada kelompok pascamenopause dan/atau simtomatik.</w:t>
            </w:r>
          </w:p>
        </w:tc>
        <w:tc>
          <w:tcPr>
            <w:tcW w:type="dxa" w:w="2256"/>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II-2</w:t>
            </w:r>
          </w:p>
        </w:tc>
        <w:tc>
          <w:tcPr>
            <w:tcW w:type="dxa" w:w="2256"/>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B</w:t>
            </w:r>
          </w:p>
        </w:tc>
        <w:tc>
          <w:tcPr>
            <w:tcW w:type="dxa" w:w="2256"/>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Lee dkk., Obstet Gynecol 2010; SOGC Guideline No. 447</w:t>
            </w:r>
          </w:p>
        </w:tc>
      </w:tr>
      <w:tr>
        <w:tc>
          <w:tcPr>
            <w:tcW w:type="dxa" w:w="2256"/>
            <w:shd w:fill="F1F5F9"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Dilatasi dan kuretase tidak digunakan sebagai modalitas diagnostik tunggal untuk perdarahan haid berat/polip.</w:t>
            </w:r>
          </w:p>
        </w:tc>
        <w:tc>
          <w:tcPr>
            <w:tcW w:type="dxa" w:w="2256"/>
            <w:shd w:fill="F1F5F9"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II-2</w:t>
            </w:r>
          </w:p>
        </w:tc>
        <w:tc>
          <w:tcPr>
            <w:tcW w:type="dxa" w:w="2256"/>
            <w:shd w:fill="F1F5F9"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B</w:t>
            </w:r>
          </w:p>
        </w:tc>
        <w:tc>
          <w:tcPr>
            <w:tcW w:type="dxa" w:w="2256"/>
            <w:shd w:fill="F1F5F9"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NICE NG88 (2018, diperbarui berkelanjutan)</w:t>
            </w:r>
          </w:p>
        </w:tc>
      </w:tr>
    </w:tbl>
    <w:p>
      <w:pPr>
        <w:spacing w:after="160" w:line="276"/>
        <w:jc w:val="both"/>
      </w:pPr>
      <w:r>
        <w:rPr>
          <w:rFonts w:ascii="IBM Plex Sans" w:cs="IBM Plex Sans" w:eastAsia="IBM Plex Sans" w:hAnsi="IBM Plex Sans"/>
          <w:color w:val="334155"/>
          <w:sz w:val="21"/>
          <w:szCs w:val="21"/>
        </w:rPr>
        <w:t xml:space="preserve"/>
      </w:r>
    </w:p>
    <w:p>
      <w:pPr>
        <w:pStyle w:val="Heading1"/>
        <w:spacing w:after="160" w:before="320"/>
      </w:pPr>
      <w:r>
        <w:rPr>
          <w:rFonts w:ascii="Source Serif 4" w:cs="Source Serif 4" w:eastAsia="Source Serif 4" w:hAnsi="Source Serif 4"/>
          <w:b/>
          <w:bCs/>
          <w:color w:val="4F46E5"/>
          <w:sz w:val="28"/>
          <w:szCs w:val="28"/>
        </w:rPr>
        <w:t xml:space="preserve">12. Indikator Medis</w:t>
      </w:r>
    </w:p>
    <w:p>
      <w:pPr>
        <w:pStyle w:val="ListParagraph"/>
        <w:numPr>
          <w:ilvl w:val="0"/>
          <w:numId w:val="1"/>
        </w:numPr>
        <w:spacing w:after="90"/>
      </w:pPr>
      <w:r>
        <w:rPr>
          <w:rFonts w:ascii="IBM Plex Sans" w:cs="IBM Plex Sans" w:eastAsia="IBM Plex Sans" w:hAnsi="IBM Plex Sans"/>
          <w:color w:val="334155"/>
          <w:sz w:val="21"/>
          <w:szCs w:val="21"/>
        </w:rPr>
        <w:t xml:space="preserve">Proporsi tindakan reseksi polip yang dilakukan secara histeroskopik terarah dibandingkan kuretase buta.</w:t>
      </w:r>
    </w:p>
    <w:p>
      <w:pPr>
        <w:pStyle w:val="ListParagraph"/>
        <w:numPr>
          <w:ilvl w:val="0"/>
          <w:numId w:val="1"/>
        </w:numPr>
        <w:spacing w:after="90"/>
      </w:pPr>
      <w:r>
        <w:rPr>
          <w:rFonts w:ascii="IBM Plex Sans" w:cs="IBM Plex Sans" w:eastAsia="IBM Plex Sans" w:hAnsi="IBM Plex Sans"/>
          <w:color w:val="334155"/>
          <w:sz w:val="21"/>
          <w:szCs w:val="21"/>
        </w:rPr>
        <w:t xml:space="preserve">Proporsi kasus dengan konfirmasi histopatologi lengkap pascatindakan (target 100%).</w:t>
      </w:r>
    </w:p>
    <w:p>
      <w:pPr>
        <w:pStyle w:val="ListParagraph"/>
        <w:numPr>
          <w:ilvl w:val="0"/>
          <w:numId w:val="1"/>
        </w:numPr>
        <w:spacing w:after="90"/>
      </w:pPr>
      <w:r>
        <w:rPr>
          <w:rFonts w:ascii="IBM Plex Sans" w:cs="IBM Plex Sans" w:eastAsia="IBM Plex Sans" w:hAnsi="IBM Plex Sans"/>
          <w:color w:val="334155"/>
          <w:sz w:val="21"/>
          <w:szCs w:val="21"/>
        </w:rPr>
        <w:t xml:space="preserve">Tingkat komplikasi prosedural (perforasi uterus, infeksi, perdarahan) per tindakan.</w:t>
      </w:r>
    </w:p>
    <w:p>
      <w:pPr>
        <w:pStyle w:val="ListParagraph"/>
        <w:numPr>
          <w:ilvl w:val="0"/>
          <w:numId w:val="1"/>
        </w:numPr>
        <w:spacing w:after="90"/>
      </w:pPr>
      <w:r>
        <w:rPr>
          <w:rFonts w:ascii="IBM Plex Sans" w:cs="IBM Plex Sans" w:eastAsia="IBM Plex Sans" w:hAnsi="IBM Plex Sans"/>
          <w:color w:val="334155"/>
          <w:sz w:val="21"/>
          <w:szCs w:val="21"/>
        </w:rPr>
        <w:t xml:space="preserve">Proporsi kasus pascamenopause simtomatik dengan atipia/keganasan yang dirujuk tepat waktu ke subspesialis Onkologi Ginekologi sesuai kriteria bagian 7.4.</w:t>
      </w:r>
    </w:p>
    <w:p>
      <w:pPr>
        <w:pStyle w:val="ListParagraph"/>
        <w:numPr>
          <w:ilvl w:val="0"/>
          <w:numId w:val="1"/>
        </w:numPr>
        <w:spacing w:after="90"/>
      </w:pPr>
      <w:r>
        <w:rPr>
          <w:rFonts w:ascii="IBM Plex Sans" w:cs="IBM Plex Sans" w:eastAsia="IBM Plex Sans" w:hAnsi="IBM Plex Sans"/>
          <w:color w:val="334155"/>
          <w:sz w:val="21"/>
          <w:szCs w:val="21"/>
        </w:rPr>
        <w:t xml:space="preserve">Tingkat rekurensi gejala atau lesi pada kontrol ulang 6-12 bulan pascatindakan.</w:t>
      </w:r>
    </w:p>
    <w:p>
      <w:pPr>
        <w:pStyle w:val="Heading1"/>
        <w:spacing w:after="160" w:before="320"/>
      </w:pPr>
      <w:r>
        <w:rPr>
          <w:rFonts w:ascii="Source Serif 4" w:cs="Source Serif 4" w:eastAsia="Source Serif 4" w:hAnsi="Source Serif 4"/>
          <w:b/>
          <w:bCs/>
          <w:color w:val="4F46E5"/>
          <w:sz w:val="28"/>
          <w:szCs w:val="28"/>
        </w:rPr>
        <w:t xml:space="preserve">13. Perbandingan dan Pengayaan Standar Internasional</w:t>
      </w:r>
    </w:p>
    <w:p>
      <w:pPr>
        <w:spacing w:after="160" w:line="276"/>
        <w:jc w:val="both"/>
      </w:pPr>
      <w:r>
        <w:rPr>
          <w:rFonts w:ascii="IBM Plex Sans" w:cs="IBM Plex Sans" w:eastAsia="IBM Plex Sans" w:hAnsi="IBM Plex Sans"/>
          <w:color w:val="334155"/>
          <w:sz w:val="21"/>
          <w:szCs w:val="21"/>
        </w:rPr>
        <w:t xml:space="preserve">Standar nasional (Kepkonsil) menempatkan polip endometrium sebagai entri kompetensi mandiri (Tabel 7 No. 49) tanpa merinci algoritme tindakan spesifik; rincian teknis tata laksana pada PPK ini disusun mengacu pengayaan standar internasional berikut.</w:t>
      </w:r>
    </w:p>
    <w:p>
      <w:pPr>
        <w:spacing w:after="160" w:line="276"/>
        <w:jc w:val="both"/>
      </w:pPr>
      <w:r>
        <w:rPr>
          <w:rFonts w:ascii="IBM Plex Sans" w:cs="IBM Plex Sans" w:eastAsia="IBM Plex Sans" w:hAnsi="IBM Plex Sans"/>
          <w:color w:val="334155"/>
          <w:sz w:val="21"/>
          <w:szCs w:val="21"/>
        </w:rPr>
        <w:t xml:space="preserve">Pedoman No. 447 Society of Obstetricians and Gynaecologists of Canada (SOGC), diterbitkan 2024, secara khusus membahas diagnosis dan tata laksana polip endometrium dan merekomendasikan polipektomi histeroskopik terarah sebagai pendekatan pilihan untuk polip simtomatik, dengan opsi tata laksana ekspektatif, medikamentosa, atau bedah disesuaikan gejala, risiko keganasan, dan preferensi pasien.</w:t>
      </w:r>
    </w:p>
    <w:p>
      <w:pPr>
        <w:spacing w:after="160" w:line="276"/>
        <w:jc w:val="both"/>
      </w:pPr>
      <w:r>
        <w:rPr>
          <w:rFonts w:ascii="IBM Plex Sans" w:cs="IBM Plex Sans" w:eastAsia="IBM Plex Sans" w:hAnsi="IBM Plex Sans"/>
          <w:color w:val="334155"/>
          <w:sz w:val="21"/>
          <w:szCs w:val="21"/>
        </w:rPr>
        <w:t xml:space="preserve">Pedoman NICE NG88 (Inggris) tentang perdarahan haid berat menyatakan secara eksplisit bahwa dilatasi dan kuretase tidak digunakan sebagai alat diagnostik lini pertama, dan mendukung histeroskopi rawat jalan sebagai layanan see-and-treat; standar internasional tersebut mengasumsikan ketersediaan histeroskop kantor secara luas, sedangkan praktik di Indonesia mengikuti standar nasional yang menyesuaikan pada ketersediaan fasilitas — pada pusat layanan tanpa histeroskopi kantor, dilatasi dan kuretase terpandu USG dapat menjadi alternatif sementara sebelum rujukan ke fasilitas dengan kapasitas histeroskopik.</w:t>
      </w:r>
    </w:p>
    <w:p>
      <w:pPr>
        <w:spacing w:after="160" w:line="276"/>
        <w:jc w:val="both"/>
      </w:pPr>
      <w:r>
        <w:rPr>
          <w:rFonts w:ascii="IBM Plex Sans" w:cs="IBM Plex Sans" w:eastAsia="IBM Plex Sans" w:hAnsi="IBM Plex Sans"/>
          <w:color w:val="334155"/>
          <w:sz w:val="21"/>
          <w:szCs w:val="21"/>
        </w:rPr>
        <w:t xml:space="preserve">Tinjauan klinis terkini di Obstetrics &amp; Gynecology oleh Han dan Munro (2026) merangkum bahwa Doppler warna dan power Doppler dapat membantu membedakan polip jinak dari yang berisiko premaligna/maligna, namun belum terbukti setara dengan evaluasi histopatologi — menegaskan posisi histopatologi sebagai standar baku definitif yang juga dianut PPK ini.</w:t>
      </w:r>
    </w:p>
    <w:p>
      <w:pPr>
        <w:spacing w:after="160" w:line="276"/>
        <w:jc w:val="both"/>
      </w:pPr>
      <w:r>
        <w:rPr>
          <w:rFonts w:ascii="IBM Plex Sans" w:cs="IBM Plex Sans" w:eastAsia="IBM Plex Sans" w:hAnsi="IBM Plex Sans"/>
          <w:color w:val="334155"/>
          <w:sz w:val="21"/>
          <w:szCs w:val="21"/>
        </w:rPr>
        <w:t xml:space="preserve">Konsensus ISUOG 2026 mengenai penilaian sonografi endometrium (Van den Bosch dkk.) merekomendasikan penggunaan leksikon terstandardisasi (IETA) dalam pelaporan temuan sonografi endometrium; standar internasional ini memperkaya, bukan menggantikan, kriteria diagnosis klinis nasional pada bagian 4 PPK ini.</w:t>
      </w:r>
    </w:p>
    <w:p>
      <w:pPr>
        <w:pStyle w:val="Heading1"/>
        <w:spacing w:after="160" w:before="320"/>
      </w:pPr>
      <w:r>
        <w:rPr>
          <w:rFonts w:ascii="Source Serif 4" w:cs="Source Serif 4" w:eastAsia="Source Serif 4" w:hAnsi="Source Serif 4"/>
          <w:b/>
          <w:bCs/>
          <w:color w:val="4F46E5"/>
          <w:sz w:val="28"/>
          <w:szCs w:val="28"/>
        </w:rPr>
        <w:t xml:space="preserve">14. Kepustakaan</w:t>
      </w:r>
    </w:p>
    <w:p>
      <w:pPr>
        <w:pStyle w:val="ListParagraph"/>
        <w:numPr>
          <w:ilvl w:val="0"/>
          <w:numId w:val="1"/>
        </w:numPr>
        <w:spacing w:after="90"/>
      </w:pPr>
      <w:r>
        <w:rPr>
          <w:rFonts w:ascii="IBM Plex Sans" w:cs="IBM Plex Sans" w:eastAsia="IBM Plex Sans" w:hAnsi="IBM Plex Sans"/>
          <w:color w:val="334155"/>
          <w:sz w:val="21"/>
          <w:szCs w:val="21"/>
        </w:rPr>
        <w:t xml:space="preserve">Konsil Kesehatan Indonesia. Keputusan Ketua Konsil Kesehatan Indonesia No. HK.01.02/KKI/1318/2026 tentang Standar Kompetensi Dokter Spesialis dan Subspesialis Bidang Obstetri dan Ginekologi. Tabel 7 No. 49; Lampiran Istilah.</w:t>
      </w:r>
    </w:p>
    <w:p>
      <w:pPr>
        <w:pStyle w:val="ListParagraph"/>
        <w:numPr>
          <w:ilvl w:val="0"/>
          <w:numId w:val="1"/>
        </w:numPr>
        <w:spacing w:after="90"/>
      </w:pPr>
      <w:r>
        <w:rPr>
          <w:rFonts w:ascii="IBM Plex Sans" w:cs="IBM Plex Sans" w:eastAsia="IBM Plex Sans" w:hAnsi="IBM Plex Sans"/>
          <w:color w:val="334155"/>
          <w:sz w:val="21"/>
          <w:szCs w:val="21"/>
        </w:rPr>
        <w:t xml:space="preserve">American College of Obstetricians and Gynecologists. Practice Bulletin No. 128: Diagnosis of Abnormal Uterine Bleeding in Reproductive-Aged Women. Obstet Gynecol. 2012;120:197-206 (reaffirmed 2024). https://www.acog.org/clinical/clinical-guidance/practice-bulletin/articles/2012/07/diagnosis-of-abnormal-uterine-bleeding-in-reproductive-aged-women</w:t>
      </w:r>
    </w:p>
    <w:p>
      <w:pPr>
        <w:pStyle w:val="ListParagraph"/>
        <w:numPr>
          <w:ilvl w:val="0"/>
          <w:numId w:val="1"/>
        </w:numPr>
        <w:spacing w:after="90"/>
      </w:pPr>
      <w:r>
        <w:rPr>
          <w:rFonts w:ascii="IBM Plex Sans" w:cs="IBM Plex Sans" w:eastAsia="IBM Plex Sans" w:hAnsi="IBM Plex Sans"/>
          <w:color w:val="334155"/>
          <w:sz w:val="21"/>
          <w:szCs w:val="21"/>
        </w:rPr>
        <w:t xml:space="preserve">Bougie O, dkk. Guideline No. 447: Diagnosis and Management of Endometrial Polyps. J Obstet Gynaecol Can. 2024. https://www.jogc.com/article/S1701-2163(24)00178-6/abstract</w:t>
      </w:r>
    </w:p>
    <w:p>
      <w:pPr>
        <w:pStyle w:val="ListParagraph"/>
        <w:numPr>
          <w:ilvl w:val="0"/>
          <w:numId w:val="1"/>
        </w:numPr>
        <w:spacing w:after="90"/>
      </w:pPr>
      <w:r>
        <w:rPr>
          <w:rFonts w:ascii="IBM Plex Sans" w:cs="IBM Plex Sans" w:eastAsia="IBM Plex Sans" w:hAnsi="IBM Plex Sans"/>
          <w:color w:val="334155"/>
          <w:sz w:val="21"/>
          <w:szCs w:val="21"/>
        </w:rPr>
        <w:t xml:space="preserve">Han MN, Munro MG. Endometrial Polyps. Obstet Gynecol. 2026 Mar 12. DOI: 10.1097/AOG.0000000000006232. https://doi.org/10.1097/AOG.0000000000006232</w:t>
      </w:r>
    </w:p>
    <w:p>
      <w:pPr>
        <w:pStyle w:val="ListParagraph"/>
        <w:numPr>
          <w:ilvl w:val="0"/>
          <w:numId w:val="1"/>
        </w:numPr>
        <w:spacing w:after="90"/>
      </w:pPr>
      <w:r>
        <w:rPr>
          <w:rFonts w:ascii="IBM Plex Sans" w:cs="IBM Plex Sans" w:eastAsia="IBM Plex Sans" w:hAnsi="IBM Plex Sans"/>
          <w:color w:val="334155"/>
          <w:sz w:val="21"/>
          <w:szCs w:val="21"/>
        </w:rPr>
        <w:t xml:space="preserve">Lee SC, Kaunitz AM, Sanchez-Ramos L, Rhatigan RM. The Oncogenic Potential of Endometrial Polyps: A Systematic Review and Meta-Analysis. Obstet Gynecol. 2010;116(5):1197-1205. DOI: 10.1097/AOG.0b013e3181f74864.</w:t>
      </w:r>
    </w:p>
    <w:p>
      <w:pPr>
        <w:pStyle w:val="ListParagraph"/>
        <w:numPr>
          <w:ilvl w:val="0"/>
          <w:numId w:val="1"/>
        </w:numPr>
        <w:spacing w:after="90"/>
      </w:pPr>
      <w:r>
        <w:rPr>
          <w:rFonts w:ascii="IBM Plex Sans" w:cs="IBM Plex Sans" w:eastAsia="IBM Plex Sans" w:hAnsi="IBM Plex Sans"/>
          <w:color w:val="334155"/>
          <w:sz w:val="21"/>
          <w:szCs w:val="21"/>
        </w:rPr>
        <w:t xml:space="preserve">Munro MG, Critchley HOD, Fraser IS; FIGO Menstrual Disorders Committee. The Two FIGO Systems for Normal and Abnormal Uterine Bleeding Symptoms and Classification of Causes of Abnormal Uterine Bleeding in the Reproductive Years: 2018 Revisions. Int J Gynaecol Obstet. 2018;143(3):393-408. DOI: 10.1002/ijgo.12666. https://doi.org/10.1002/ijgo.12666</w:t>
      </w:r>
    </w:p>
    <w:p>
      <w:pPr>
        <w:pStyle w:val="ListParagraph"/>
        <w:numPr>
          <w:ilvl w:val="0"/>
          <w:numId w:val="1"/>
        </w:numPr>
        <w:spacing w:after="90"/>
      </w:pPr>
      <w:r>
        <w:rPr>
          <w:rFonts w:ascii="IBM Plex Sans" w:cs="IBM Plex Sans" w:eastAsia="IBM Plex Sans" w:hAnsi="IBM Plex Sans"/>
          <w:color w:val="334155"/>
          <w:sz w:val="21"/>
          <w:szCs w:val="21"/>
        </w:rPr>
        <w:t xml:space="preserve">National Institute for Health and Care Excellence (NICE). Heavy Menstrual Bleeding: Assessment and Management (NG88). https://www.nice.org.uk/guidance/ng88</w:t>
      </w:r>
    </w:p>
    <w:p>
      <w:pPr>
        <w:pStyle w:val="ListParagraph"/>
        <w:numPr>
          <w:ilvl w:val="0"/>
          <w:numId w:val="1"/>
        </w:numPr>
        <w:spacing w:after="90"/>
      </w:pPr>
      <w:r>
        <w:rPr>
          <w:rFonts w:ascii="IBM Plex Sans" w:cs="IBM Plex Sans" w:eastAsia="IBM Plex Sans" w:hAnsi="IBM Plex Sans"/>
          <w:color w:val="334155"/>
          <w:sz w:val="21"/>
          <w:szCs w:val="21"/>
        </w:rPr>
        <w:t xml:space="preserve">Van den Bosch T, dkk. ISUOG Consensus Statement on Sonographic Assessment of the Endometrium: How to Perform a Gynecological Ultrasound Scan and Report the Findings. Ultrasound Obstet Gynecol. 2026. DOI: 10.1002/uog.70163. https://doi.org/10.1002/uog.70163</w:t>
      </w:r>
    </w:p>
    <w:p>
      <w:pPr>
        <w:pStyle w:val="ListParagraph"/>
        <w:numPr>
          <w:ilvl w:val="0"/>
          <w:numId w:val="1"/>
        </w:numPr>
        <w:spacing w:after="90"/>
      </w:pPr>
      <w:r>
        <w:rPr>
          <w:rFonts w:ascii="IBM Plex Sans" w:cs="IBM Plex Sans" w:eastAsia="IBM Plex Sans" w:hAnsi="IBM Plex Sans"/>
          <w:color w:val="334155"/>
          <w:sz w:val="21"/>
          <w:szCs w:val="21"/>
        </w:rPr>
        <w:t xml:space="preserve">Wong M, Crnobrnja B, Liberale V, Dharmarajah K, Widschwendter M, Jurkovic D. The Natural History of Endometrial Polyps. Hum Reprod. 2017;32(2):340-345. DOI: 10.1093/humrep/dew307.</w:t>
      </w:r>
    </w:p>
    <w:p>
      <w:pPr>
        <w:pStyle w:val="Heading1"/>
        <w:spacing w:after="160" w:before="320"/>
      </w:pPr>
      <w:r>
        <w:rPr>
          <w:rFonts w:ascii="Source Serif 4" w:cs="Source Serif 4" w:eastAsia="Source Serif 4" w:hAnsi="Source Serif 4"/>
          <w:b/>
          <w:bCs/>
          <w:color w:val="4F46E5"/>
          <w:sz w:val="28"/>
          <w:szCs w:val="28"/>
        </w:rPr>
        <w:t xml:space="preserve">Glosarium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6426"/>
      </w:tblGrid>
      <w:tr>
        <w:trPr>
          <w:tblHeader/>
        </w:trPr>
        <w:tc>
          <w:tcPr>
            <w:tcW w:type="dxa" w:w="2600"/>
            <w:shd w:fill="4F46E5" w:val="clear"/>
            <w:tcMar>
              <w:top w:type="dxa" w:w="100"/>
              <w:left w:type="dxa" w:w="100"/>
              <w:bottom w:type="dxa" w:w="100"/>
              <w:right w:type="dxa" w:w="100"/>
            </w:tcMar>
          </w:tcPr>
          <w:p>
            <w:r>
              <w:rPr>
                <w:rFonts w:ascii="IBM Plex Sans" w:cs="IBM Plex Sans" w:eastAsia="IBM Plex Sans" w:hAnsi="IBM Plex Sans"/>
                <w:b/>
                <w:bCs/>
                <w:color w:val="FFFFFF"/>
                <w:sz w:val="18"/>
                <w:szCs w:val="18"/>
              </w:rPr>
              <w:t xml:space="preserve">Istilah</w:t>
            </w:r>
          </w:p>
        </w:tc>
        <w:tc>
          <w:tcPr>
            <w:tcW w:type="dxa" w:w="6426"/>
            <w:shd w:fill="4F46E5" w:val="clear"/>
            <w:tcMar>
              <w:top w:type="dxa" w:w="100"/>
              <w:left w:type="dxa" w:w="100"/>
              <w:bottom w:type="dxa" w:w="100"/>
              <w:right w:type="dxa" w:w="100"/>
            </w:tcMar>
          </w:tcPr>
          <w:p>
            <w:r>
              <w:rPr>
                <w:rFonts w:ascii="IBM Plex Sans" w:cs="IBM Plex Sans" w:eastAsia="IBM Plex Sans" w:hAnsi="IBM Plex Sans"/>
                <w:b/>
                <w:bCs/>
                <w:color w:val="FFFFFF"/>
                <w:sz w:val="18"/>
                <w:szCs w:val="18"/>
              </w:rPr>
              <w:t xml:space="preserve">Definisi</w:t>
            </w:r>
          </w:p>
        </w:tc>
      </w:tr>
      <w:tr>
        <w:tc>
          <w:tcPr>
            <w:tcW w:type="dxa" w:w="2600"/>
            <w:shd w:fill="FFFFFF" w:val="clear"/>
            <w:tcMar>
              <w:top w:type="dxa" w:w="90"/>
              <w:left w:type="dxa" w:w="100"/>
              <w:bottom w:type="dxa" w:w="90"/>
              <w:right w:type="dxa" w:w="100"/>
            </w:tcMar>
          </w:tcPr>
          <w:p>
            <w:r>
              <w:rPr>
                <w:rFonts w:ascii="IBM Plex Sans" w:cs="IBM Plex Sans" w:eastAsia="IBM Plex Sans" w:hAnsi="IBM Plex Sans"/>
                <w:b/>
                <w:bCs/>
                <w:color w:val="334155"/>
                <w:sz w:val="18"/>
                <w:szCs w:val="18"/>
              </w:rPr>
              <w:t xml:space="preserve">Polip endometrium</w:t>
            </w:r>
          </w:p>
        </w:tc>
        <w:tc>
          <w:tcPr>
            <w:tcW w:type="dxa" w:w="6426"/>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Pertumbuhan fokal jinak mukosa endometrium (kelenjar, stroma, dan pembuluh darah berepitel) yang menonjol ke kavum uteri.</w:t>
            </w:r>
          </w:p>
        </w:tc>
      </w:tr>
      <w:tr>
        <w:tc>
          <w:tcPr>
            <w:tcW w:type="dxa" w:w="2600"/>
            <w:shd w:fill="F1F5F9" w:val="clear"/>
            <w:tcMar>
              <w:top w:type="dxa" w:w="90"/>
              <w:left w:type="dxa" w:w="100"/>
              <w:bottom w:type="dxa" w:w="90"/>
              <w:right w:type="dxa" w:w="100"/>
            </w:tcMar>
          </w:tcPr>
          <w:p>
            <w:r>
              <w:rPr>
                <w:rFonts w:ascii="IBM Plex Sans" w:cs="IBM Plex Sans" w:eastAsia="IBM Plex Sans" w:hAnsi="IBM Plex Sans"/>
                <w:b/>
                <w:bCs/>
                <w:color w:val="334155"/>
                <w:sz w:val="18"/>
                <w:szCs w:val="18"/>
              </w:rPr>
              <w:t xml:space="preserve">Histeroskopi</w:t>
            </w:r>
          </w:p>
        </w:tc>
        <w:tc>
          <w:tcPr>
            <w:tcW w:type="dxa" w:w="6426"/>
            <w:shd w:fill="F1F5F9"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Prosedur visualisasi langsung kavum uteri menggunakan endoskop tipis yang dimasukkan melalui kanalis servikalis, dapat dilakukan untuk tujuan diagnostik maupun operatif.</w:t>
            </w:r>
          </w:p>
        </w:tc>
      </w:tr>
      <w:tr>
        <w:tc>
          <w:tcPr>
            <w:tcW w:type="dxa" w:w="2600"/>
            <w:shd w:fill="FFFFFF" w:val="clear"/>
            <w:tcMar>
              <w:top w:type="dxa" w:w="90"/>
              <w:left w:type="dxa" w:w="100"/>
              <w:bottom w:type="dxa" w:w="90"/>
              <w:right w:type="dxa" w:w="100"/>
            </w:tcMar>
          </w:tcPr>
          <w:p>
            <w:r>
              <w:rPr>
                <w:rFonts w:ascii="IBM Plex Sans" w:cs="IBM Plex Sans" w:eastAsia="IBM Plex Sans" w:hAnsi="IBM Plex Sans"/>
                <w:b/>
                <w:bCs/>
                <w:color w:val="334155"/>
                <w:sz w:val="18"/>
                <w:szCs w:val="18"/>
              </w:rPr>
              <w:t xml:space="preserve">Polipektomi</w:t>
            </w:r>
          </w:p>
        </w:tc>
        <w:tc>
          <w:tcPr>
            <w:tcW w:type="dxa" w:w="6426"/>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Tindakan pengangkatan polip, pada konteks ini dilakukan secara histeroskopik terarah dengan visualisasi langsung.</w:t>
            </w:r>
          </w:p>
        </w:tc>
      </w:tr>
      <w:tr>
        <w:tc>
          <w:tcPr>
            <w:tcW w:type="dxa" w:w="2600"/>
            <w:shd w:fill="F1F5F9" w:val="clear"/>
            <w:tcMar>
              <w:top w:type="dxa" w:w="90"/>
              <w:left w:type="dxa" w:w="100"/>
              <w:bottom w:type="dxa" w:w="90"/>
              <w:right w:type="dxa" w:w="100"/>
            </w:tcMar>
          </w:tcPr>
          <w:p>
            <w:r>
              <w:rPr>
                <w:rFonts w:ascii="IBM Plex Sans" w:cs="IBM Plex Sans" w:eastAsia="IBM Plex Sans" w:hAnsi="IBM Plex Sans"/>
                <w:b/>
                <w:bCs/>
                <w:color w:val="334155"/>
                <w:sz w:val="18"/>
                <w:szCs w:val="18"/>
              </w:rPr>
              <w:t xml:space="preserve">Sonohisterografi infus salin (SIS)</w:t>
            </w:r>
          </w:p>
        </w:tc>
        <w:tc>
          <w:tcPr>
            <w:tcW w:type="dxa" w:w="6426"/>
            <w:shd w:fill="F1F5F9"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Pemeriksaan ultrasonografi dengan instilasi cairan salin steril ke kavum uteri untuk meningkatkan visualisasi lesi intrakavum.</w:t>
            </w:r>
          </w:p>
        </w:tc>
      </w:tr>
      <w:tr>
        <w:tc>
          <w:tcPr>
            <w:tcW w:type="dxa" w:w="2600"/>
            <w:shd w:fill="FFFFFF" w:val="clear"/>
            <w:tcMar>
              <w:top w:type="dxa" w:w="90"/>
              <w:left w:type="dxa" w:w="100"/>
              <w:bottom w:type="dxa" w:w="90"/>
              <w:right w:type="dxa" w:w="100"/>
            </w:tcMar>
          </w:tcPr>
          <w:p>
            <w:r>
              <w:rPr>
                <w:rFonts w:ascii="IBM Plex Sans" w:cs="IBM Plex Sans" w:eastAsia="IBM Plex Sans" w:hAnsi="IBM Plex Sans"/>
                <w:b/>
                <w:bCs/>
                <w:color w:val="334155"/>
                <w:sz w:val="18"/>
                <w:szCs w:val="18"/>
              </w:rPr>
              <w:t xml:space="preserve">Doppler</w:t>
            </w:r>
          </w:p>
        </w:tc>
        <w:tc>
          <w:tcPr>
            <w:tcW w:type="dxa" w:w="6426"/>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Modalitas ultrasonografi untuk menilai pola aliran darah/vaskularisasi suatu lesi, membantu membedakan karakteristik jinak dan mencurigakan.</w:t>
            </w:r>
          </w:p>
        </w:tc>
      </w:tr>
      <w:tr>
        <w:tc>
          <w:tcPr>
            <w:tcW w:type="dxa" w:w="2600"/>
            <w:shd w:fill="F1F5F9" w:val="clear"/>
            <w:tcMar>
              <w:top w:type="dxa" w:w="90"/>
              <w:left w:type="dxa" w:w="100"/>
              <w:bottom w:type="dxa" w:w="90"/>
              <w:right w:type="dxa" w:w="100"/>
            </w:tcMar>
          </w:tcPr>
          <w:p>
            <w:r>
              <w:rPr>
                <w:rFonts w:ascii="IBM Plex Sans" w:cs="IBM Plex Sans" w:eastAsia="IBM Plex Sans" w:hAnsi="IBM Plex Sans"/>
                <w:b/>
                <w:bCs/>
                <w:color w:val="334155"/>
                <w:sz w:val="18"/>
                <w:szCs w:val="18"/>
              </w:rPr>
              <w:t xml:space="preserve">PALM-COEIN</w:t>
            </w:r>
          </w:p>
        </w:tc>
        <w:tc>
          <w:tcPr>
            <w:tcW w:type="dxa" w:w="6426"/>
            <w:shd w:fill="F1F5F9"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Sistem klasifikasi FIGO untuk penyebab perdarahan uterus abnormal, terdiri atas kategori struktural (Polip, Adenomiosis, Leiomioma, Malignansi/hiperplasia) dan non-struktural (Koagulopati, disfungsi Ovulasi, Endometrium, Iatrogenik, belum terklasifikasi/Not yet classified).</w:t>
            </w:r>
          </w:p>
        </w:tc>
      </w:tr>
      <w:tr>
        <w:tc>
          <w:tcPr>
            <w:tcW w:type="dxa" w:w="2600"/>
            <w:shd w:fill="FFFFFF" w:val="clear"/>
            <w:tcMar>
              <w:top w:type="dxa" w:w="90"/>
              <w:left w:type="dxa" w:w="100"/>
              <w:bottom w:type="dxa" w:w="90"/>
              <w:right w:type="dxa" w:w="100"/>
            </w:tcMar>
          </w:tcPr>
          <w:p>
            <w:r>
              <w:rPr>
                <w:rFonts w:ascii="IBM Plex Sans" w:cs="IBM Plex Sans" w:eastAsia="IBM Plex Sans" w:hAnsi="IBM Plex Sans"/>
                <w:b/>
                <w:bCs/>
                <w:color w:val="334155"/>
                <w:sz w:val="18"/>
                <w:szCs w:val="18"/>
              </w:rPr>
              <w:t xml:space="preserve">Watchful waiting</w:t>
            </w:r>
          </w:p>
        </w:tc>
        <w:tc>
          <w:tcPr>
            <w:tcW w:type="dxa" w:w="6426"/>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Strategi pemantauan berkala tanpa tindakan segera, digunakan pada kasus berisiko rendah dan asimtomatik.</w:t>
            </w:r>
          </w:p>
        </w:tc>
      </w:tr>
      <w:tr>
        <w:tc>
          <w:tcPr>
            <w:tcW w:type="dxa" w:w="2600"/>
            <w:shd w:fill="F1F5F9" w:val="clear"/>
            <w:tcMar>
              <w:top w:type="dxa" w:w="90"/>
              <w:left w:type="dxa" w:w="100"/>
              <w:bottom w:type="dxa" w:w="90"/>
              <w:right w:type="dxa" w:w="100"/>
            </w:tcMar>
          </w:tcPr>
          <w:p>
            <w:r>
              <w:rPr>
                <w:rFonts w:ascii="IBM Plex Sans" w:cs="IBM Plex Sans" w:eastAsia="IBM Plex Sans" w:hAnsi="IBM Plex Sans"/>
                <w:b/>
                <w:bCs/>
                <w:color w:val="334155"/>
                <w:sz w:val="18"/>
                <w:szCs w:val="18"/>
              </w:rPr>
              <w:t xml:space="preserve">Atipia</w:t>
            </w:r>
          </w:p>
        </w:tc>
        <w:tc>
          <w:tcPr>
            <w:tcW w:type="dxa" w:w="6426"/>
            <w:shd w:fill="F1F5F9"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Perubahan morfologi sel yang menyimpang dari bentuk normal, dapat menjadi penanda risiko pramaligna pada pemeriksaan histopatologi.</w:t>
            </w:r>
          </w:p>
        </w:tc>
      </w:tr>
      <w:tr>
        <w:tc>
          <w:tcPr>
            <w:tcW w:type="dxa" w:w="2600"/>
            <w:shd w:fill="FFFFFF" w:val="clear"/>
            <w:tcMar>
              <w:top w:type="dxa" w:w="90"/>
              <w:left w:type="dxa" w:w="100"/>
              <w:bottom w:type="dxa" w:w="90"/>
              <w:right w:type="dxa" w:w="100"/>
            </w:tcMar>
          </w:tcPr>
          <w:p>
            <w:r>
              <w:rPr>
                <w:rFonts w:ascii="IBM Plex Sans" w:cs="IBM Plex Sans" w:eastAsia="IBM Plex Sans" w:hAnsi="IBM Plex Sans"/>
                <w:b/>
                <w:bCs/>
                <w:color w:val="334155"/>
                <w:sz w:val="18"/>
                <w:szCs w:val="18"/>
              </w:rPr>
              <w:t xml:space="preserve">Tamoksifen</w:t>
            </w:r>
          </w:p>
        </w:tc>
        <w:tc>
          <w:tcPr>
            <w:tcW w:type="dxa" w:w="6426"/>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Obat anti-estrogen yang digunakan pada terapi kanker payudara, diketahui berasosiasi dengan peningkatan risiko polip dan perubahan endometrium lain.</w:t>
            </w:r>
          </w:p>
        </w:tc>
      </w:tr>
      <w:tr>
        <w:tc>
          <w:tcPr>
            <w:tcW w:type="dxa" w:w="2600"/>
            <w:shd w:fill="F1F5F9" w:val="clear"/>
            <w:tcMar>
              <w:top w:type="dxa" w:w="90"/>
              <w:left w:type="dxa" w:w="100"/>
              <w:bottom w:type="dxa" w:w="90"/>
              <w:right w:type="dxa" w:w="100"/>
            </w:tcMar>
          </w:tcPr>
          <w:p>
            <w:r>
              <w:rPr>
                <w:rFonts w:ascii="IBM Plex Sans" w:cs="IBM Plex Sans" w:eastAsia="IBM Plex Sans" w:hAnsi="IBM Plex Sans"/>
                <w:b/>
                <w:bCs/>
                <w:color w:val="334155"/>
                <w:sz w:val="18"/>
                <w:szCs w:val="18"/>
              </w:rPr>
              <w:t xml:space="preserve">Sindrom Lynch</w:t>
            </w:r>
          </w:p>
        </w:tc>
        <w:tc>
          <w:tcPr>
            <w:tcW w:type="dxa" w:w="6426"/>
            <w:shd w:fill="F1F5F9"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Kondisi genetik herediter yang meningkatkan risiko beberapa jenis kanker, termasuk kanker kolorekta dan endometrium.</w:t>
            </w:r>
          </w:p>
        </w:tc>
      </w:tr>
      <w:tr>
        <w:tc>
          <w:tcPr>
            <w:tcW w:type="dxa" w:w="2600"/>
            <w:shd w:fill="FFFFFF" w:val="clear"/>
            <w:tcMar>
              <w:top w:type="dxa" w:w="90"/>
              <w:left w:type="dxa" w:w="100"/>
              <w:bottom w:type="dxa" w:w="90"/>
              <w:right w:type="dxa" w:w="100"/>
            </w:tcMar>
          </w:tcPr>
          <w:p>
            <w:r>
              <w:rPr>
                <w:rFonts w:ascii="IBM Plex Sans" w:cs="IBM Plex Sans" w:eastAsia="IBM Plex Sans" w:hAnsi="IBM Plex Sans"/>
                <w:b/>
                <w:bCs/>
                <w:color w:val="334155"/>
                <w:sz w:val="18"/>
                <w:szCs w:val="18"/>
              </w:rPr>
              <w:t xml:space="preserve">IETA (International Endometrial Tumor Analysis)</w:t>
            </w:r>
          </w:p>
        </w:tc>
        <w:tc>
          <w:tcPr>
            <w:tcW w:type="dxa" w:w="6426"/>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Leksikon terstandardisasi internasional untuk mendeskripsikan temuan sonografi endometrium dan lesi intrakavum secara konsisten.</w:t>
            </w:r>
          </w:p>
        </w:tc>
      </w:tr>
      <w:tr>
        <w:tc>
          <w:tcPr>
            <w:tcW w:type="dxa" w:w="2600"/>
            <w:shd w:fill="F1F5F9" w:val="clear"/>
            <w:tcMar>
              <w:top w:type="dxa" w:w="90"/>
              <w:left w:type="dxa" w:w="100"/>
              <w:bottom w:type="dxa" w:w="90"/>
              <w:right w:type="dxa" w:w="100"/>
            </w:tcMar>
          </w:tcPr>
          <w:p>
            <w:r>
              <w:rPr>
                <w:rFonts w:ascii="IBM Plex Sans" w:cs="IBM Plex Sans" w:eastAsia="IBM Plex Sans" w:hAnsi="IBM Plex Sans"/>
                <w:b/>
                <w:bCs/>
                <w:color w:val="334155"/>
                <w:sz w:val="18"/>
                <w:szCs w:val="18"/>
              </w:rPr>
              <w:t xml:space="preserve">PUA (Perdarahan Uterus Abnormal)</w:t>
            </w:r>
          </w:p>
        </w:tc>
        <w:tc>
          <w:tcPr>
            <w:tcW w:type="dxa" w:w="6426"/>
            <w:shd w:fill="F1F5F9"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Perdarahan dari uterus yang menyimpang dari pola normal dalam hal volume, durasi, frekuensi, dan/atau keteraturan.</w:t>
            </w:r>
          </w:p>
        </w:tc>
      </w:tr>
    </w:tbl>
    <w:p>
      <w:pPr>
        <w:spacing w:after="160" w:line="276"/>
        <w:jc w:val="both"/>
      </w:pPr>
      <w:r>
        <w:rPr>
          <w:rFonts w:ascii="IBM Plex Sans" w:cs="IBM Plex Sans" w:eastAsia="IBM Plex Sans" w:hAnsi="IBM Plex Sans"/>
          <w:color w:val="334155"/>
          <w:sz w:val="21"/>
          <w:szCs w:val="21"/>
        </w:rPr>
        <w:t xml:space="preserve"/>
      </w:r>
    </w:p>
    <w:p>
      <w:pPr>
        <w:pageBreakBefore/>
        <w:spacing w:after="40"/>
      </w:pPr>
      <w:r>
        <w:rPr>
          <w:rFonts w:ascii="Source Serif 4" w:cs="Source Serif 4" w:eastAsia="Source Serif 4" w:hAnsi="Source Serif 4"/>
          <w:b/>
          <w:bCs/>
          <w:color w:val="4F46E5"/>
          <w:sz w:val="22"/>
          <w:szCs w:val="22"/>
        </w:rPr>
        <w:t xml:space="preserve">Kolofon</w:t>
      </w:r>
    </w:p>
    <w:p>
      <w:pPr>
        <w:spacing w:after="160" w:line="276"/>
        <w:jc w:val="both"/>
      </w:pPr>
      <w:r>
        <w:rPr>
          <w:rFonts w:ascii="IBM Plex Sans" w:cs="IBM Plex Sans" w:eastAsia="IBM Plex Sans" w:hAnsi="IBM Plex Sans"/>
          <w:color w:val="334155"/>
          <w:sz w:val="21"/>
          <w:szCs w:val="21"/>
        </w:rPr>
        <w:t xml:space="preserve">Penulis: Dr.dr. Budi Siswanto, Sp.OG., Subsp.Obginsos., SH., S.Kom.</w:t>
      </w:r>
    </w:p>
    <w:p>
      <w:pPr>
        <w:spacing w:after="160" w:line="276"/>
        <w:jc w:val="both"/>
      </w:pPr>
      <w:r>
        <w:rPr>
          <w:rFonts w:ascii="IBM Plex Sans" w:cs="IBM Plex Sans" w:eastAsia="IBM Plex Sans" w:hAnsi="IBM Plex Sans"/>
          <w:color w:val="334155"/>
          <w:sz w:val="21"/>
          <w:szCs w:val="21"/>
        </w:rPr>
        <w:t xml:space="preserve">Penerbit: Perpustakaan Digital ABBA</w:t>
      </w:r>
    </w:p>
    <w:p>
      <w:pPr>
        <w:spacing w:after="160" w:line="276"/>
        <w:jc w:val="both"/>
      </w:pPr>
      <w:r>
        <w:rPr>
          <w:rFonts w:ascii="IBM Plex Sans" w:cs="IBM Plex Sans" w:eastAsia="IBM Plex Sans" w:hAnsi="IBM Plex Sans"/>
          <w:color w:val="334155"/>
          <w:sz w:val="21"/>
          <w:szCs w:val="21"/>
        </w:rPr>
        <w:t xml:space="preserve">Alamat: Jl. Kerinci Raya No. 9, Malang 65138</w:t>
      </w:r>
    </w:p>
    <w:p>
      <w:pPr>
        <w:spacing w:after="160" w:line="276"/>
        <w:jc w:val="both"/>
      </w:pPr>
      <w:r>
        <w:rPr>
          <w:rFonts w:ascii="IBM Plex Sans" w:cs="IBM Plex Sans" w:eastAsia="IBM Plex Sans" w:hAnsi="IBM Plex Sans"/>
          <w:color w:val="334155"/>
          <w:sz w:val="21"/>
          <w:szCs w:val="21"/>
        </w:rPr>
        <w:t xml:space="preserve">Edisi Agustus 2026</w:t>
      </w:r>
    </w:p>
    <w:p>
      <w:pPr>
        <w:pBdr>
          <w:top w:val="single" w:color="B45309" w:sz="6" w:space="8"/>
        </w:pBdr>
        <w:spacing w:before="300"/>
      </w:pPr>
      <w:r>
        <w:rPr>
          <w:rFonts w:ascii="IBM Plex Mono" w:cs="IBM Plex Mono" w:eastAsia="IBM Plex Mono" w:hAnsi="IBM Plex Mono"/>
          <w:color w:val="334155"/>
          <w:sz w:val="16"/>
          <w:szCs w:val="16"/>
        </w:rPr>
        <w:t xml:space="preserve">PPK-049 — Dokumen 49 dari 73 (kategori PPK)  |  Sebelumnya: PPK-048 Adenomiosis tanpa Penyulit Infertilitas  |  Berikutnya: PPK-050 Hiperplasia Endometrium tanpa Infertilitas</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334155"/>
        <w:sz w:val="15"/>
        <w:szCs w:val="15"/>
      </w:rPr>
      <w:t xml:space="preserve">PPK-049 — Halaman </w:t>
    </w:r>
    <w:r>
      <w:rPr>
        <w:rFonts w:ascii="IBM Plex Mono" w:cs="IBM Plex Mono" w:eastAsia="IBM Plex Mono" w:hAnsi="IBM Plex Mono"/>
        <w:color w:val="334155"/>
        <w:sz w:val="15"/>
        <w:szCs w:val="15"/>
      </w:rPr>
      <w:fldChar w:fldCharType="begin"/>
      <w:instrText xml:space="preserve">PAGE</w:instrText>
      <w:fldChar w:fldCharType="separate"/>
      <w:fldChar w:fldCharType="end"/>
    </w:r>
    <w:r>
      <w:rPr>
        <w:rFonts w:ascii="IBM Plex Mono" w:cs="IBM Plex Mono" w:eastAsia="IBM Plex Mono" w:hAnsi="IBM Plex Mono"/>
        <w:color w:val="334155"/>
        <w:sz w:val="15"/>
        <w:szCs w:val="15"/>
      </w:rPr>
      <w:t xml:space="preserve"> dari </w:t>
    </w:r>
    <w:r>
      <w:rPr>
        <w:rFonts w:ascii="IBM Plex Mono" w:cs="IBM Plex Mono" w:eastAsia="IBM Plex Mono" w:hAnsi="IBM Plex Mono"/>
        <w:color w:val="3341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Mono" w:cs="IBM Plex Mono" w:eastAsia="IBM Plex Mono" w:hAnsi="IBM Plex Mono"/>
        <w:color w:val="B45309"/>
        <w:sz w:val="15"/>
        <w:szCs w:val="15"/>
      </w:rPr>
      <w:t xml:space="preserve">Departemen/SMF Obstetri dan Ginekologi  ·  Polip Endometrium (Endometrial Polyp)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2026-08-17T23:32:10.769Z</dcterms:created>
  <dcterms:modified xsi:type="dcterms:W3CDTF">2026-08-17T23:32:10.769Z</dcterms:modified>
</cp:coreProperties>
</file>

<file path=docProps/custom.xml><?xml version="1.0" encoding="utf-8"?>
<Properties xmlns="http://schemas.openxmlformats.org/officeDocument/2006/custom-properties" xmlns:vt="http://schemas.openxmlformats.org/officeDocument/2006/docPropsVTypes"/>
</file>