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0"/>
      </w:pPr>
    </w:p>
    <w:p>
      <w:pPr>
        <w:jc w:val="center"/>
      </w:pPr>
      <w:r>
        <w:rPr>
          <w:rFonts w:ascii="IBM Plex Sans" w:cs="IBM Plex Sans" w:eastAsia="IBM Plex Sans" w:hAnsi="IBM Plex Sans"/>
          <w:b/>
          <w:bCs/>
          <w:color w:val="B45309"/>
          <w:sz w:val="22"/>
          <w:szCs w:val="22"/>
        </w:rPr>
        <w:t xml:space="preserve">PANDUAN PRAKTIK KLINIS</w:t>
      </w:r>
    </w:p>
    <w:p>
      <w:pPr>
        <w:spacing w:after="200" w:before="200"/>
        <w:jc w:val="center"/>
      </w:pPr>
      <w:r>
        <w:rPr>
          <w:rFonts w:ascii="Source Serif 4" w:cs="Source Serif 4" w:eastAsia="Source Serif 4" w:hAnsi="Source Serif 4"/>
          <w:b/>
          <w:bCs/>
          <w:color w:val="4F46E5"/>
          <w:sz w:val="44"/>
          <w:szCs w:val="44"/>
        </w:rPr>
        <w:t xml:space="preserve">Hiperplasia Endometrium tanpa Infertilitas</w:t>
      </w:r>
    </w:p>
    <w:p>
      <w:pPr>
        <w:jc w:val="center"/>
      </w:pPr>
      <w:r>
        <w:rPr>
          <w:rFonts w:ascii="IBM Plex Sans" w:cs="IBM Plex Sans" w:eastAsia="IBM Plex Sans" w:hAnsi="IBM Plex Sans"/>
          <w:i/>
          <w:iCs/>
          <w:color w:val="334155"/>
          <w:sz w:val="26"/>
          <w:szCs w:val="26"/>
        </w:rPr>
        <w:t xml:space="preserve">Endometrial Hyperplasia without Infertility</w:t>
      </w:r>
    </w:p>
    <w:p>
      <w:pPr>
        <w:spacing w:after="500"/>
      </w:pPr>
    </w:p>
    <w:p>
      <w:pPr>
        <w:jc w:val="center"/>
      </w:pPr>
      <w:r>
        <w:rPr>
          <w:rFonts w:ascii="IBM Plex Mono" w:cs="IBM Plex Mono" w:eastAsia="IBM Plex Mono" w:hAnsi="IBM Plex Mono"/>
          <w:color w:val="334155"/>
          <w:sz w:val="20"/>
          <w:szCs w:val="20"/>
        </w:rPr>
        <w:t xml:space="preserve">Kode Unit: PPK-050  |  ICD-10: N85.0  |  ICD-11: GA16.0</w:t>
      </w:r>
    </w:p>
    <w:p>
      <w:pPr>
        <w:spacing w:before="120"/>
        <w:jc w:val="center"/>
      </w:pPr>
      <w:r>
        <w:rPr>
          <w:rFonts w:ascii="IBM Plex Sans" w:cs="IBM Plex Sans" w:eastAsia="IBM Plex Sans" w:hAnsi="IBM Plex Sans"/>
          <w:color w:val="334155"/>
          <w:sz w:val="20"/>
          <w:szCs w:val="20"/>
        </w:rPr>
        <w:t xml:space="preserve">Dokumen 50 dari 73 — Kategori PPK</w:t>
      </w:r>
    </w:p>
    <w:p>
      <w:pPr>
        <w:spacing w:before="120"/>
        <w:jc w:val="center"/>
      </w:pPr>
      <w:r>
        <w:rPr>
          <w:rFonts w:ascii="IBM Plex Sans" w:cs="IBM Plex Sans" w:eastAsia="IBM Plex Sans" w:hAnsi="IBM Plex Sans"/>
          <w:color w:val="334155"/>
          <w:sz w:val="20"/>
          <w:szCs w:val="20"/>
        </w:rPr>
        <w:t xml:space="preserve">Turunan operasional Buku Tematik B7 — Tumor Jinak Ginekologi dan Kelainan Struktural Uterus</w:t>
      </w:r>
    </w:p>
    <w:p>
      <w:pPr>
        <w:spacing w:before="120"/>
        <w:jc w:val="center"/>
      </w:pPr>
      <w:r>
        <w:rPr>
          <w:rFonts w:ascii="IBM Plex Sans" w:cs="IBM Plex Sans" w:eastAsia="IBM Plex Sans" w:hAnsi="IBM Plex Sans"/>
          <w:color w:val="334155"/>
          <w:sz w:val="20"/>
          <w:szCs w:val="20"/>
        </w:rPr>
        <w:t xml:space="preserve">Divisi Pengampu Kontributor: Onkologi Ginekologi</w:t>
      </w:r>
    </w:p>
    <w:p>
      <w:pPr>
        <w:spacing w:after="500"/>
      </w:pPr>
    </w:p>
    <w:p>
      <w:pPr>
        <w:jc w:val="center"/>
      </w:pPr>
      <w:r>
        <w:rPr>
          <w:rFonts w:ascii="IBM Plex Sans" w:cs="IBM Plex Sans" w:eastAsia="IBM Plex Sans" w:hAnsi="IBM Plex Sans"/>
          <w:b/>
          <w:bCs/>
          <w:color w:val="4F46E5"/>
          <w:sz w:val="22"/>
          <w:szCs w:val="22"/>
        </w:rPr>
        <w:t xml:space="preserve">Dr.dr. Budi Siswanto, Sp.OG., Subsp.Obginsos., SH., S.Kom.</w:t>
      </w:r>
    </w:p>
    <w:p>
      <w:pPr>
        <w:spacing w:before="60"/>
        <w:jc w:val="center"/>
      </w:pPr>
      <w:r>
        <w:rPr>
          <w:rFonts w:ascii="IBM Plex Sans" w:cs="IBM Plex Sans" w:eastAsia="IBM Plex Sans" w:hAnsi="IBM Plex Sans"/>
          <w:color w:val="334155"/>
          <w:sz w:val="19"/>
          <w:szCs w:val="19"/>
        </w:rPr>
        <w:t xml:space="preserve">Penerbit: Perpustakaan Digital ABBA</w:t>
      </w:r>
    </w:p>
    <w:p>
      <w:pPr>
        <w:jc w:val="center"/>
      </w:pPr>
      <w:r>
        <w:rPr>
          <w:rFonts w:ascii="IBM Plex Sans" w:cs="IBM Plex Sans" w:eastAsia="IBM Plex Sans" w:hAnsi="IBM Plex Sans"/>
          <w:color w:val="334155"/>
          <w:sz w:val="19"/>
          <w:szCs w:val="19"/>
        </w:rPr>
        <w:t xml:space="preserve">Jl. Kerinci Raya No. 9, Malang 65138</w:t>
      </w:r>
    </w:p>
    <w:p>
      <w:pPr>
        <w:spacing w:before="60"/>
        <w:jc w:val="center"/>
      </w:pPr>
      <w:r>
        <w:rPr>
          <w:rFonts w:ascii="IBM Plex Sans" w:cs="IBM Plex Sans" w:eastAsia="IBM Plex Sans" w:hAnsi="IBM Plex Sans"/>
          <w:color w:val="334155"/>
          <w:sz w:val="19"/>
          <w:szCs w:val="19"/>
        </w:rPr>
        <w:t xml:space="preserve">2026</w:t>
      </w:r>
    </w:p>
    <w:p>
      <w:pPr>
        <w:spacing w:after="500"/>
      </w:pPr>
    </w:p>
    <w:p>
      <w:pPr>
        <w:jc w:val="center"/>
      </w:pPr>
      <w:r>
        <w:rPr>
          <w:rFonts w:ascii="IBM Plex Sans" w:cs="IBM Plex Sans" w:eastAsia="IBM Plex Sans" w:hAnsi="IBM Plex Sans"/>
          <w:color w:val="B45309"/>
          <w:sz w:val="18"/>
          <w:szCs w:val="18"/>
        </w:rPr>
        <w:t xml:space="preserve">Ekosistem Literatur Standar SpOG</w:t>
      </w:r>
    </w:p>
    <w:p>
      <w:pPr>
        <w:jc w:val="center"/>
      </w:pPr>
      <w:r>
        <w:rPr>
          <w:rFonts w:ascii="IBM Plex Sans" w:cs="IBM Plex Sans" w:eastAsia="IBM Plex Sans" w:hAnsi="IBM Plex Sans"/>
          <w:color w:val="334155"/>
          <w:sz w:val="18"/>
          <w:szCs w:val="18"/>
        </w:rPr>
        <w:t xml:space="preserve">Berdasarkan Kepkonsil No. HK.01.02/KKI/1318/2026</w:t>
      </w:r>
    </w:p>
    <w:p>
      <w:r>
        <w:br w:type="page"/>
      </w:r>
    </w:p>
    <w:p>
      <w:pPr>
        <w:pStyle w:val="Heading1"/>
        <w:spacing w:after="140" w:before="260"/>
      </w:pPr>
      <w:r>
        <w:rPr>
          <w:rFonts w:ascii="Source Serif 4" w:cs="Source Serif 4" w:eastAsia="Source Serif 4" w:hAnsi="Source Serif 4"/>
          <w:b/>
          <w:bCs/>
          <w:color w:val="4F46E5"/>
        </w:rPr>
        <w:t xml:space="preserve">1. Pengertian/Definisi</w:t>
      </w:r>
    </w:p>
    <w:p>
      <w:pPr>
        <w:spacing w:after="160"/>
        <w:jc w:val="both"/>
      </w:pPr>
      <w:r>
        <w:rPr>
          <w:rFonts w:ascii="IBM Plex Sans" w:cs="IBM Plex Sans" w:eastAsia="IBM Plex Sans" w:hAnsi="IBM Plex Sans"/>
          <w:color w:val="334155"/>
          <w:sz w:val="22"/>
          <w:szCs w:val="22"/>
        </w:rPr>
        <w:t xml:space="preserve">PPK ini merupakan turunan operasional dari Bab Kelainan Proliferasi dan Struktural Endometrium, Buku Tematik B7 — Tumor Jinak Ginekologi dan Kelainan Struktural Uterus, dan disusun sebagai pendalaman tata laksana tingkat individu pasien untuk entri diagnosis Tabel 7 No. 50 Kepkonsil.</w:t>
      </w:r>
    </w:p>
    <w:p>
      <w:pPr>
        <w:spacing w:after="160"/>
        <w:jc w:val="both"/>
      </w:pPr>
      <w:r>
        <w:rPr>
          <w:rFonts w:ascii="IBM Plex Sans" w:cs="IBM Plex Sans" w:eastAsia="IBM Plex Sans" w:hAnsi="IBM Plex Sans"/>
          <w:color w:val="334155"/>
          <w:sz w:val="22"/>
          <w:szCs w:val="22"/>
        </w:rPr>
        <w:t xml:space="preserve">Hiperplasia endometrium tanpa infertilitas (Endometrial hyperplasia without infertility) adalah penebalan endometrium akibat proliferasi kelenjar yang berlebihan, dengan atau tanpa atipia sitologik, tanpa disertai isu infertilitas yang sedang berlangsung pada pasien saat penilaian dilakukan.</w:t>
      </w:r>
    </w:p>
    <w:tbl>
      <w:tblPr>
        <w:tblW w:type="dxa" w:w="9360"/>
        <w:tblBorders>
          <w:top w:val="single" w:color="B45309" w:sz="4"/>
          <w:left w:val="single" w:color="B45309" w:sz="24"/>
          <w:bottom w:val="single" w:color="B45309" w:sz="4"/>
          <w:right w:val="single" w:color="B45309" w:sz="4"/>
          <w:insideH w:val="single" w:color="auto" w:sz="4"/>
          <w:insideV w:val="single" w:color="auto" w:sz="4"/>
        </w:tblBorders>
      </w:tblPr>
      <w:tblGrid>
        <w:gridCol w:w="9360"/>
      </w:tblGrid>
      <w:tr>
        <w:tc>
          <w:tcPr>
            <w:tcW w:type="dxa" w:w="9360"/>
            <w:shd w:fill="FEF3E2" w:val="clear"/>
            <w:tcMar>
              <w:top w:type="dxa" w:w="150"/>
              <w:left w:type="dxa" w:w="200"/>
              <w:bottom w:type="dxa" w:w="150"/>
              <w:right w:type="dxa" w:w="200"/>
            </w:tcMar>
          </w:tcPr>
          <w:p>
            <w:r>
              <w:rPr>
                <w:rFonts w:ascii="IBM Plex Sans" w:cs="IBM Plex Sans" w:eastAsia="IBM Plex Sans" w:hAnsi="IBM Plex Sans"/>
                <w:b/>
                <w:bCs/>
                <w:color w:val="B45309"/>
                <w:sz w:val="18"/>
                <w:szCs w:val="18"/>
              </w:rPr>
              <w:t xml:space="preserve">DASAR REGULASI</w:t>
            </w:r>
          </w:p>
          <w:p>
            <w:r>
              <w:rPr>
                <w:rFonts w:ascii="IBM Plex Sans" w:cs="IBM Plex Sans" w:eastAsia="IBM Plex Sans" w:hAnsi="IBM Plex Sans"/>
                <w:color w:val="334155"/>
                <w:sz w:val="20"/>
                <w:szCs w:val="20"/>
              </w:rPr>
              <w:t xml:space="preserve">Dasar Regulasi: Keputusan Ketua Konsil Kesehatan Indonesia No. HK.01.02/KKI/1318/2026 tentang Standar Kompetensi Dokter Spesialis dan Subspesialis Bidang Obstetri dan Ginekologi, Tabel 7 No. 50. Keterangan/Populasi resmi: "Hiperplasia tanpa infertilitas".</w:t>
            </w:r>
          </w:p>
        </w:tc>
      </w:tr>
    </w:tbl>
    <w:p>
      <w:pPr>
        <w:spacing w:after="120"/>
      </w:pPr>
    </w:p>
    <w:p>
      <w:pPr>
        <w:spacing w:after="160"/>
        <w:jc w:val="both"/>
      </w:pPr>
      <w:r>
        <w:rPr>
          <w:rFonts w:ascii="IBM Plex Sans" w:cs="IBM Plex Sans" w:eastAsia="IBM Plex Sans" w:hAnsi="IBM Plex Sans"/>
          <w:color w:val="334155"/>
          <w:sz w:val="22"/>
          <w:szCs w:val="22"/>
        </w:rPr>
        <w:t xml:space="preserve">Secara patofisiologi, kondisi ini timbul akibat paparan estrogen yang tidak diimbangi (unopposed estrogen) oleh progesteron dalam jangka waktu tertentu, sehingga terjadi proliferasi kelenjar endometrium yang berlebihan relatif terhadap stroma. Skema klasifikasi histopatologik dua-tingkat yang pertama kali diperkenalkan WHO pada tahun 2014 — dan dipertahankan dengan penajaman kriteria esensial serta kriteria penunjang pada WHO Classification of Tumours edisi ke-5 (2020) — membagi hiperplasia endometrium menjadi dua kelompok besar berdasarkan ada tidaknya atipia sitologik nukleus: hiperplasia tanpa atipia (non-atypical hyperplasia) dan hiperplasia atipik/neoplasia intraepitel endometrium (atypical hyperplasia/endometrial intraepithelial neoplasia, disingkat EIN atau AEH), karena kedua kelompok ini memiliki risiko progresivitas ke keganasan dan pendekatan tata laksana yang berbeda secara bermakna.</w:t>
      </w:r>
    </w:p>
    <w:p>
      <w:pPr>
        <w:spacing w:after="160"/>
        <w:jc w:val="both"/>
      </w:pPr>
      <w:r>
        <w:rPr>
          <w:rFonts w:ascii="IBM Plex Sans" w:cs="IBM Plex Sans" w:eastAsia="IBM Plex Sans" w:hAnsi="IBM Plex Sans"/>
          <w:color w:val="334155"/>
          <w:sz w:val="22"/>
          <w:szCs w:val="22"/>
        </w:rPr>
        <w:t xml:space="preserve">Ruang lingkup PPK ini adalah pasien dengan hiperplasia endometrium tanpa disertai masalah infertilitas aktif, dengan penekanan utama pada kelompok tanpa atipia yang menjadi kewenangan lini pertama spesialis Obstetri dan Ginekologi. Pasien dengan hiperplasia endometrium atipik yang tercantum sebagai entri kompetensi tersendiri (Tabel Kompetensi Onkologi Ginekologi No. 21, ICD-10 N85.1) memerlukan intensitas tata laksana dan kewenangan rujukan yang lebih tinggi sebagaimana diuraikan pada bagian 7.4, mengingat risiko keganasan tersamar (occult carcinoma) yang jauh lebih tinggi pada kelompok atipia dibanding kelompok tanpa atipia.</w:t>
      </w:r>
    </w:p>
    <w:p>
      <w:pPr>
        <w:pStyle w:val="Heading1"/>
        <w:spacing w:after="140" w:before="260"/>
      </w:pPr>
      <w:r>
        <w:rPr>
          <w:rFonts w:ascii="Source Serif 4" w:cs="Source Serif 4" w:eastAsia="Source Serif 4" w:hAnsi="Source Serif 4"/>
          <w:b/>
          <w:bCs/>
          <w:color w:val="4F46E5"/>
        </w:rPr>
        <w:t xml:space="preserve">2. Anamnesis</w:t>
      </w:r>
    </w:p>
    <w:p>
      <w:pPr>
        <w:spacing w:after="160"/>
        <w:jc w:val="both"/>
      </w:pPr>
      <w:r>
        <w:rPr>
          <w:rFonts w:ascii="IBM Plex Sans" w:cs="IBM Plex Sans" w:eastAsia="IBM Plex Sans" w:hAnsi="IBM Plex Sans"/>
          <w:color w:val="334155"/>
          <w:sz w:val="22"/>
          <w:szCs w:val="22"/>
        </w:rPr>
        <w:t xml:space="preserve">Keluhan utama yang paling sering membawa pasien datang berobat adalah perdarahan uterus abnormal dalam berbagai bentuk: perdarahan menstruasi berlebihan (heavy menstrual bleeding), perdarahan intermenstrual, perdarahan tidak teratur, perdarahan tanpa jadwal pada pengguna terapi hormon pengganti (HRT), maupun perdarahan pascamenopause. Perdarahan pascamenopause harus selalu dianggap sebagai tanda bahaya (red flag) hingga terbukti sebaliknya.</w:t>
      </w:r>
    </w:p>
    <w:p>
      <w:pPr>
        <w:pStyle w:val="ListParagraph"/>
        <w:numPr>
          <w:ilvl w:val="0"/>
          <w:numId w:val="1"/>
        </w:numPr>
        <w:spacing w:after="90"/>
      </w:pPr>
      <w:r>
        <w:rPr>
          <w:rFonts w:ascii="IBM Plex Sans" w:cs="IBM Plex Sans" w:eastAsia="IBM Plex Sans" w:hAnsi="IBM Plex Sans"/>
          <w:color w:val="334155"/>
          <w:sz w:val="22"/>
          <w:szCs w:val="22"/>
        </w:rPr>
        <w:t xml:space="preserve">Karakteristik perdarahan: awitan, durasi, volume (jumlah pembalut/hari), pola siklik atau asiklik, ada tidaknya bekuan.</w:t>
      </w:r>
    </w:p>
    <w:p>
      <w:pPr>
        <w:pStyle w:val="ListParagraph"/>
        <w:numPr>
          <w:ilvl w:val="0"/>
          <w:numId w:val="1"/>
        </w:numPr>
        <w:spacing w:after="90"/>
      </w:pPr>
      <w:r>
        <w:rPr>
          <w:rFonts w:ascii="IBM Plex Sans" w:cs="IBM Plex Sans" w:eastAsia="IBM Plex Sans" w:hAnsi="IBM Plex Sans"/>
          <w:color w:val="334155"/>
          <w:sz w:val="22"/>
          <w:szCs w:val="22"/>
        </w:rPr>
        <w:t xml:space="preserve">Status menopause: premenopause, perimenopause, atau pascamenopause, beserta tanggal haid terakhir bila relevan.</w:t>
      </w:r>
    </w:p>
    <w:p>
      <w:pPr>
        <w:pStyle w:val="ListParagraph"/>
        <w:numPr>
          <w:ilvl w:val="0"/>
          <w:numId w:val="1"/>
        </w:numPr>
        <w:spacing w:after="90"/>
      </w:pPr>
      <w:r>
        <w:rPr>
          <w:rFonts w:ascii="IBM Plex Sans" w:cs="IBM Plex Sans" w:eastAsia="IBM Plex Sans" w:hAnsi="IBM Plex Sans"/>
          <w:color w:val="334155"/>
          <w:sz w:val="22"/>
          <w:szCs w:val="22"/>
        </w:rPr>
        <w:t xml:space="preserve">Riwayat paparan estrogen tanpa lawan (unopposed estrogen): obesitas, sindrom ovarium polikistik (SOPK), tumor penghasil estrogen, terapi estrogen tunggal tanpa progestogen, tamoksifen pada pasien kanker payudara.</w:t>
      </w:r>
    </w:p>
    <w:p>
      <w:pPr>
        <w:pStyle w:val="ListParagraph"/>
        <w:numPr>
          <w:ilvl w:val="0"/>
          <w:numId w:val="1"/>
        </w:numPr>
        <w:spacing w:after="90"/>
      </w:pPr>
      <w:r>
        <w:rPr>
          <w:rFonts w:ascii="IBM Plex Sans" w:cs="IBM Plex Sans" w:eastAsia="IBM Plex Sans" w:hAnsi="IBM Plex Sans"/>
          <w:color w:val="334155"/>
          <w:sz w:val="22"/>
          <w:szCs w:val="22"/>
        </w:rPr>
        <w:t xml:space="preserve">Riwayat penyakit penyerta: diabetes melitus tipe 2, hipertensi, sindrom metabolik — merupakan faktor risiko yang saling tumpang tindih dengan hiperplasia endometrium.</w:t>
      </w:r>
    </w:p>
    <w:p>
      <w:pPr>
        <w:pStyle w:val="ListParagraph"/>
        <w:numPr>
          <w:ilvl w:val="0"/>
          <w:numId w:val="1"/>
        </w:numPr>
        <w:spacing w:after="90"/>
      </w:pPr>
      <w:r>
        <w:rPr>
          <w:rFonts w:ascii="IBM Plex Sans" w:cs="IBM Plex Sans" w:eastAsia="IBM Plex Sans" w:hAnsi="IBM Plex Sans"/>
          <w:color w:val="334155"/>
          <w:sz w:val="22"/>
          <w:szCs w:val="22"/>
        </w:rPr>
        <w:t xml:space="preserve">Riwayat obstetri dan ginekologi: paritas, riwayat infertilitas (untuk memastikan tidak ada isu infertilitas aktif sesuai cakupan PPK ini), riwayat kontrasepsi hormonal.</w:t>
      </w:r>
    </w:p>
    <w:p>
      <w:pPr>
        <w:pStyle w:val="ListParagraph"/>
        <w:numPr>
          <w:ilvl w:val="0"/>
          <w:numId w:val="1"/>
        </w:numPr>
        <w:spacing w:after="90"/>
      </w:pPr>
      <w:r>
        <w:rPr>
          <w:rFonts w:ascii="IBM Plex Sans" w:cs="IBM Plex Sans" w:eastAsia="IBM Plex Sans" w:hAnsi="IBM Plex Sans"/>
          <w:color w:val="334155"/>
          <w:sz w:val="22"/>
          <w:szCs w:val="22"/>
        </w:rPr>
        <w:t xml:space="preserve">Riwayat keluarga kanker endometrium atau sindrom Lynch (kanker kolorektal non-poliposis herediter).</w:t>
      </w:r>
    </w:p>
    <w:p>
      <w:pPr>
        <w:pStyle w:val="ListParagraph"/>
        <w:numPr>
          <w:ilvl w:val="0"/>
          <w:numId w:val="1"/>
        </w:numPr>
        <w:spacing w:after="90"/>
      </w:pPr>
      <w:r>
        <w:rPr>
          <w:rFonts w:ascii="IBM Plex Sans" w:cs="IBM Plex Sans" w:eastAsia="IBM Plex Sans" w:hAnsi="IBM Plex Sans"/>
          <w:color w:val="334155"/>
          <w:sz w:val="22"/>
          <w:szCs w:val="22"/>
        </w:rPr>
        <w:t xml:space="preserve">Obat-obatan yang sedang dikonsumsi, termasuk tamoksifen dan terapi hormon.</w:t>
      </w:r>
    </w:p>
    <w:p>
      <w:pPr>
        <w:pStyle w:val="Heading1"/>
        <w:spacing w:after="140" w:before="260"/>
      </w:pPr>
      <w:r>
        <w:rPr>
          <w:rFonts w:ascii="Source Serif 4" w:cs="Source Serif 4" w:eastAsia="Source Serif 4" w:hAnsi="Source Serif 4"/>
          <w:b/>
          <w:bCs/>
          <w:color w:val="4F46E5"/>
        </w:rPr>
        <w:t xml:space="preserve">3. Pemeriksaan Fisik</w:t>
      </w:r>
    </w:p>
    <w:p>
      <w:pPr>
        <w:pStyle w:val="ListParagraph"/>
        <w:numPr>
          <w:ilvl w:val="0"/>
          <w:numId w:val="1"/>
        </w:numPr>
        <w:spacing w:after="90"/>
      </w:pPr>
      <w:r>
        <w:rPr>
          <w:rFonts w:ascii="IBM Plex Sans" w:cs="IBM Plex Sans" w:eastAsia="IBM Plex Sans" w:hAnsi="IBM Plex Sans"/>
          <w:color w:val="334155"/>
          <w:sz w:val="22"/>
          <w:szCs w:val="22"/>
        </w:rPr>
        <w:t xml:space="preserve">Status generalis: indeks massa tubuh (obesitas merupakan faktor risiko utama), tekanan darah, tanda-tanda resistensi insulin (akantosis nigrikans) bila dicurigai SOPK.</w:t>
      </w:r>
    </w:p>
    <w:p>
      <w:pPr>
        <w:pStyle w:val="ListParagraph"/>
        <w:numPr>
          <w:ilvl w:val="0"/>
          <w:numId w:val="1"/>
        </w:numPr>
        <w:spacing w:after="90"/>
      </w:pPr>
      <w:r>
        <w:rPr>
          <w:rFonts w:ascii="IBM Plex Sans" w:cs="IBM Plex Sans" w:eastAsia="IBM Plex Sans" w:hAnsi="IBM Plex Sans"/>
          <w:color w:val="334155"/>
          <w:sz w:val="22"/>
          <w:szCs w:val="22"/>
        </w:rPr>
        <w:t xml:space="preserve">Pemeriksaan abdomen: teraba tidaknya massa pelvis-abdomen.</w:t>
      </w:r>
    </w:p>
    <w:p>
      <w:pPr>
        <w:pStyle w:val="ListParagraph"/>
        <w:numPr>
          <w:ilvl w:val="0"/>
          <w:numId w:val="1"/>
        </w:numPr>
        <w:spacing w:after="90"/>
      </w:pPr>
      <w:r>
        <w:rPr>
          <w:rFonts w:ascii="IBM Plex Sans" w:cs="IBM Plex Sans" w:eastAsia="IBM Plex Sans" w:hAnsi="IBM Plex Sans"/>
          <w:color w:val="334155"/>
          <w:sz w:val="22"/>
          <w:szCs w:val="22"/>
        </w:rPr>
        <w:t xml:space="preserve">Pemeriksaan ginekologik bimanual: ukuran, bentuk, dan konsistensi uterus; nyeri tekan; teraba tidaknya massa adneksa.</w:t>
      </w:r>
    </w:p>
    <w:p>
      <w:pPr>
        <w:pStyle w:val="ListParagraph"/>
        <w:numPr>
          <w:ilvl w:val="0"/>
          <w:numId w:val="1"/>
        </w:numPr>
        <w:spacing w:after="90"/>
      </w:pPr>
      <w:r>
        <w:rPr>
          <w:rFonts w:ascii="IBM Plex Sans" w:cs="IBM Plex Sans" w:eastAsia="IBM Plex Sans" w:hAnsi="IBM Plex Sans"/>
          <w:color w:val="334155"/>
          <w:sz w:val="22"/>
          <w:szCs w:val="22"/>
        </w:rPr>
        <w:t xml:space="preserve">Inspeksi spekulum: menilai sumber perdarahan (serviks vs. uterus) untuk menyingkirkan penyebab perdarahan dari serviks atau vagina.</w:t>
      </w:r>
    </w:p>
    <w:p>
      <w:pPr>
        <w:spacing w:after="160"/>
        <w:jc w:val="both"/>
      </w:pPr>
      <w:r>
        <w:rPr>
          <w:rFonts w:ascii="IBM Plex Sans" w:cs="IBM Plex Sans" w:eastAsia="IBM Plex Sans" w:hAnsi="IBM Plex Sans"/>
          <w:color w:val="334155"/>
          <w:sz w:val="22"/>
          <w:szCs w:val="22"/>
        </w:rPr>
        <w:t xml:space="preserve">Pemeriksaan fisik pada hiperplasia endometrium umumnya tidak spesifik; tujuan utamanya adalah menyingkirkan diagnosis banding struktural (mioma, polip besar, massa adneksa) dan mengidentifikasi faktor risiko metabolik yang memerlukan tata laksana bersamaan.</w:t>
      </w:r>
    </w:p>
    <w:p>
      <w:pPr>
        <w:pStyle w:val="Heading1"/>
        <w:spacing w:after="140" w:before="260"/>
      </w:pPr>
      <w:r>
        <w:rPr>
          <w:rFonts w:ascii="Source Serif 4" w:cs="Source Serif 4" w:eastAsia="Source Serif 4" w:hAnsi="Source Serif 4"/>
          <w:b/>
          <w:bCs/>
          <w:color w:val="4F46E5"/>
        </w:rPr>
        <w:t xml:space="preserve">4. Kriteria Diagnosis</w:t>
      </w:r>
    </w:p>
    <w:p>
      <w:pPr>
        <w:spacing w:after="160"/>
        <w:jc w:val="both"/>
      </w:pPr>
      <w:r>
        <w:rPr>
          <w:rFonts w:ascii="IBM Plex Sans" w:cs="IBM Plex Sans" w:eastAsia="IBM Plex Sans" w:hAnsi="IBM Plex Sans"/>
          <w:color w:val="334155"/>
          <w:sz w:val="22"/>
          <w:szCs w:val="22"/>
        </w:rPr>
        <w:t xml:space="preserve">Diagnosis definitif hiperplasia endometrium tanpa infertilitas ditegakkan berdasarkan konfirmasi histopatologik jaringan endometrium yang diperoleh melalui biopsi endometrium atau kuretase, menunjukkan proliferasi kelenjar berlebihan relatif terhadap stroma, disertai penilaian eksplisit ada/tidaknya atipia sitologik nukleus sesuai skema klasifikasi WHO Classification of Tumours edisi ke-5 (2020).</w:t>
      </w:r>
    </w:p>
    <w:tbl>
      <w:tblPr>
        <w:tblW w:type="dxa" w:w="9360"/>
        <w:tblBorders>
          <w:top w:val="single" w:color="B45309" w:sz="4"/>
          <w:left w:val="single" w:color="B45309" w:sz="24"/>
          <w:bottom w:val="single" w:color="B45309" w:sz="4"/>
          <w:right w:val="single" w:color="B45309" w:sz="4"/>
          <w:insideH w:val="single" w:color="auto" w:sz="4"/>
          <w:insideV w:val="single" w:color="auto" w:sz="4"/>
        </w:tblBorders>
      </w:tblPr>
      <w:tblGrid>
        <w:gridCol w:w="9360"/>
      </w:tblGrid>
      <w:tr>
        <w:tc>
          <w:tcPr>
            <w:tcW w:type="dxa" w:w="9360"/>
            <w:shd w:fill="FEF3E2" w:val="clear"/>
            <w:tcMar>
              <w:top w:type="dxa" w:w="150"/>
              <w:left w:type="dxa" w:w="200"/>
              <w:bottom w:type="dxa" w:w="150"/>
              <w:right w:type="dxa" w:w="200"/>
            </w:tcMar>
          </w:tcPr>
          <w:p>
            <w:r>
              <w:rPr>
                <w:rFonts w:ascii="IBM Plex Sans" w:cs="IBM Plex Sans" w:eastAsia="IBM Plex Sans" w:hAnsi="IBM Plex Sans"/>
                <w:b/>
                <w:bCs/>
                <w:color w:val="B45309"/>
                <w:sz w:val="18"/>
                <w:szCs w:val="18"/>
              </w:rPr>
              <w:t xml:space="preserve">DASAR REGULASI</w:t>
            </w:r>
          </w:p>
          <w:p>
            <w:r>
              <w:rPr>
                <w:rFonts w:ascii="IBM Plex Sans" w:cs="IBM Plex Sans" w:eastAsia="IBM Plex Sans" w:hAnsi="IBM Plex Sans"/>
                <w:color w:val="334155"/>
                <w:sz w:val="20"/>
                <w:szCs w:val="20"/>
              </w:rPr>
              <w:t xml:space="preserve">Kode diagnosis (hasil verifikasi ulang terhadap Tabel 7 Kepkonsil No. 50): ICD-10 N85.0 — Endometrial hyperplasia without infertility; ICD-11 GA16.0.</w:t>
            </w:r>
          </w:p>
        </w:tc>
      </w:tr>
    </w:tbl>
    <w:p>
      <w:pPr>
        <w:spacing w:after="120"/>
      </w:pPr>
    </w:p>
    <w:p>
      <w:pPr>
        <w:pStyle w:val="ListParagraph"/>
        <w:numPr>
          <w:ilvl w:val="0"/>
          <w:numId w:val="1"/>
        </w:numPr>
        <w:spacing w:after="90"/>
      </w:pPr>
      <w:r>
        <w:rPr>
          <w:rFonts w:ascii="IBM Plex Sans" w:cs="IBM Plex Sans" w:eastAsia="IBM Plex Sans" w:hAnsi="IBM Plex Sans"/>
          <w:color w:val="334155"/>
          <w:sz w:val="22"/>
          <w:szCs w:val="22"/>
        </w:rPr>
        <w:t xml:space="preserve">Klinis: perdarahan uterus abnormal pada kelompok risiko (obesitas, SOPK, unopposed estrogen, pascamenopause) tanpa masalah infertilitas aktif.</w:t>
      </w:r>
    </w:p>
    <w:p>
      <w:pPr>
        <w:pStyle w:val="ListParagraph"/>
        <w:numPr>
          <w:ilvl w:val="0"/>
          <w:numId w:val="1"/>
        </w:numPr>
        <w:spacing w:after="90"/>
      </w:pPr>
      <w:r>
        <w:rPr>
          <w:rFonts w:ascii="IBM Plex Sans" w:cs="IBM Plex Sans" w:eastAsia="IBM Plex Sans" w:hAnsi="IBM Plex Sans"/>
          <w:color w:val="334155"/>
          <w:sz w:val="22"/>
          <w:szCs w:val="22"/>
        </w:rPr>
        <w:t xml:space="preserve">Radiologik penunjang: ketebalan endometrium pada USG transvaginal di luar rentang normal sesuai status menopause dan fase siklus (lihat bagian Pemeriksaan Penunjang).</w:t>
      </w:r>
    </w:p>
    <w:p>
      <w:pPr>
        <w:pStyle w:val="ListParagraph"/>
        <w:numPr>
          <w:ilvl w:val="0"/>
          <w:numId w:val="1"/>
        </w:numPr>
        <w:spacing w:after="90"/>
      </w:pPr>
      <w:r>
        <w:rPr>
          <w:rFonts w:ascii="IBM Plex Sans" w:cs="IBM Plex Sans" w:eastAsia="IBM Plex Sans" w:hAnsi="IBM Plex Sans"/>
          <w:color w:val="334155"/>
          <w:sz w:val="22"/>
          <w:szCs w:val="22"/>
        </w:rPr>
        <w:t xml:space="preserve">Histopatologik (baku emas): proliferasi kelenjar endometrium berlebihan dengan rasio kelenjar-stroma meningkat, tanpa atau dengan atipia sitologik nukleus.</w:t>
      </w:r>
    </w:p>
    <w:p>
      <w:pPr>
        <w:spacing w:after="160"/>
        <w:jc w:val="both"/>
      </w:pPr>
      <w:r>
        <w:rPr>
          <w:rFonts w:ascii="IBM Plex Sans" w:cs="IBM Plex Sans" w:eastAsia="IBM Plex Sans" w:hAnsi="IBM Plex Sans"/>
          <w:color w:val="334155"/>
          <w:sz w:val="22"/>
          <w:szCs w:val="22"/>
        </w:rPr>
        <w:t xml:space="preserve">Klasifikasi WHO Classification of Tumours edisi ke-5 (2020) yang berlaku saat ini membagi temuan histopatologik menjadi dua kategori: (1) hiperplasia endometrium tanpa atipia, dan (2) hiperplasia endometrium atipik/neoplasia intraepitel endometrium (atypical hyperplasia/EIN), dengan kriteria esensial berupa kepadatan arsitektur kelenjar disertai perubahan sitologi epitel yang berbeda dari endometrium sekitarnya. PPK ini mencakup kategori pertama sebagai fokus utama tata laksana primer; temuan atipia mengarahkan pasien pada jalur rujukan subspesialis sebagaimana diuraikan pada bagian 7.4.</w:t>
      </w:r>
    </w:p>
    <w:p>
      <w:pPr>
        <w:pStyle w:val="Heading1"/>
        <w:spacing w:after="140" w:before="260"/>
      </w:pPr>
      <w:r>
        <w:rPr>
          <w:rFonts w:ascii="Source Serif 4" w:cs="Source Serif 4" w:eastAsia="Source Serif 4" w:hAnsi="Source Serif 4"/>
          <w:b/>
          <w:bCs/>
          <w:color w:val="4F46E5"/>
        </w:rPr>
        <w:t xml:space="preserve">5. Diagnosis Kerja dan Diagnosis Banding</w:t>
      </w:r>
    </w:p>
    <w:p>
      <w:pPr>
        <w:spacing w:after="160"/>
        <w:jc w:val="both"/>
      </w:pPr>
      <w:r>
        <w:rPr>
          <w:rFonts w:ascii="IBM Plex Sans" w:cs="IBM Plex Sans" w:eastAsia="IBM Plex Sans" w:hAnsi="IBM Plex Sans"/>
          <w:color w:val="334155"/>
          <w:sz w:val="22"/>
          <w:szCs w:val="22"/>
        </w:rPr>
        <w:t xml:space="preserve">Diagnosis kerja: Hiperplasia endometrium tanpa infertilitas (ICD-10 N85.0; ICD-11 GA16.0).</w:t>
      </w:r>
    </w:p>
    <w:p>
      <w:pPr>
        <w:spacing w:after="160"/>
        <w:jc w:val="both"/>
      </w:pPr>
      <w:r>
        <w:rPr>
          <w:rFonts w:ascii="IBM Plex Sans" w:cs="IBM Plex Sans" w:eastAsia="IBM Plex Sans" w:hAnsi="IBM Plex Sans"/>
          <w:color w:val="334155"/>
          <w:sz w:val="22"/>
          <w:szCs w:val="22"/>
        </w:rPr>
        <w:t xml:space="preserve">Diagnosis banding pada pasien dengan perdarahan uterus abnormal dan/atau penebalan endometrium meliputi:</w:t>
      </w:r>
    </w:p>
    <w:p>
      <w:pPr>
        <w:pStyle w:val="ListParagraph"/>
        <w:numPr>
          <w:ilvl w:val="0"/>
          <w:numId w:val="1"/>
        </w:numPr>
        <w:spacing w:after="90"/>
      </w:pPr>
      <w:r>
        <w:rPr>
          <w:rFonts w:ascii="IBM Plex Sans" w:cs="IBM Plex Sans" w:eastAsia="IBM Plex Sans" w:hAnsi="IBM Plex Sans"/>
          <w:color w:val="334155"/>
          <w:sz w:val="22"/>
          <w:szCs w:val="22"/>
        </w:rPr>
        <w:t xml:space="preserve">Polip endometrium (ICD-10 N84.0; ICD-11 GA16.Y) — lesi fokal jinak, berbeda dari proses proliferatif difus pada hiperplasia.</w:t>
      </w:r>
    </w:p>
    <w:p>
      <w:pPr>
        <w:pStyle w:val="ListParagraph"/>
        <w:numPr>
          <w:ilvl w:val="0"/>
          <w:numId w:val="1"/>
        </w:numPr>
        <w:spacing w:after="90"/>
      </w:pPr>
      <w:r>
        <w:rPr>
          <w:rFonts w:ascii="IBM Plex Sans" w:cs="IBM Plex Sans" w:eastAsia="IBM Plex Sans" w:hAnsi="IBM Plex Sans"/>
          <w:color w:val="334155"/>
          <w:sz w:val="22"/>
          <w:szCs w:val="22"/>
        </w:rPr>
        <w:t xml:space="preserve">Mioma uteri submukosa — massa struktural yang dapat menimbulkan perdarahan serupa.</w:t>
      </w:r>
    </w:p>
    <w:p>
      <w:pPr>
        <w:pStyle w:val="ListParagraph"/>
        <w:numPr>
          <w:ilvl w:val="0"/>
          <w:numId w:val="1"/>
        </w:numPr>
        <w:spacing w:after="90"/>
      </w:pPr>
      <w:r>
        <w:rPr>
          <w:rFonts w:ascii="IBM Plex Sans" w:cs="IBM Plex Sans" w:eastAsia="IBM Plex Sans" w:hAnsi="IBM Plex Sans"/>
          <w:color w:val="334155"/>
          <w:sz w:val="22"/>
          <w:szCs w:val="22"/>
        </w:rPr>
        <w:t xml:space="preserve">Adenomiosis — dapat menyertai atau menyerupai gambaran klinis hiperplasia.</w:t>
      </w:r>
    </w:p>
    <w:p>
      <w:pPr>
        <w:pStyle w:val="ListParagraph"/>
        <w:numPr>
          <w:ilvl w:val="0"/>
          <w:numId w:val="1"/>
        </w:numPr>
        <w:spacing w:after="90"/>
      </w:pPr>
      <w:r>
        <w:rPr>
          <w:rFonts w:ascii="IBM Plex Sans" w:cs="IBM Plex Sans" w:eastAsia="IBM Plex Sans" w:hAnsi="IBM Plex Sans"/>
          <w:color w:val="334155"/>
          <w:sz w:val="22"/>
          <w:szCs w:val="22"/>
        </w:rPr>
        <w:t xml:space="preserve">Karsinoma endometrium — wajib disingkirkan pada seluruh kasus perdarahan pascamenopause dan pada hiperplasia dengan atipia mengingat potensi keberadaan keganasan tersamar (occult carcinoma).</w:t>
      </w:r>
    </w:p>
    <w:p>
      <w:pPr>
        <w:pStyle w:val="ListParagraph"/>
        <w:numPr>
          <w:ilvl w:val="0"/>
          <w:numId w:val="1"/>
        </w:numPr>
        <w:spacing w:after="90"/>
      </w:pPr>
      <w:r>
        <w:rPr>
          <w:rFonts w:ascii="IBM Plex Sans" w:cs="IBM Plex Sans" w:eastAsia="IBM Plex Sans" w:hAnsi="IBM Plex Sans"/>
          <w:color w:val="334155"/>
          <w:sz w:val="22"/>
          <w:szCs w:val="22"/>
        </w:rPr>
        <w:t xml:space="preserve">Perdarahan uterus abnormal disfungsional (tanpa kelainan struktural) — ditegakkan bila histopatologi endometrium normal.</w:t>
      </w:r>
    </w:p>
    <w:p>
      <w:pPr>
        <w:pStyle w:val="ListParagraph"/>
        <w:numPr>
          <w:ilvl w:val="0"/>
          <w:numId w:val="1"/>
        </w:numPr>
        <w:spacing w:after="90"/>
      </w:pPr>
      <w:r>
        <w:rPr>
          <w:rFonts w:ascii="IBM Plex Sans" w:cs="IBM Plex Sans" w:eastAsia="IBM Plex Sans" w:hAnsi="IBM Plex Sans"/>
          <w:color w:val="334155"/>
          <w:sz w:val="22"/>
          <w:szCs w:val="22"/>
        </w:rPr>
        <w:t xml:space="preserve">Efek terapi hormonal eksogen (estrogen tunggal, tamoksifen) — anamnesis obat menjadi kunci pembeda.</w:t>
      </w:r>
    </w:p>
    <w:p>
      <w:pPr>
        <w:pStyle w:val="Heading1"/>
        <w:spacing w:after="140" w:before="260"/>
      </w:pPr>
      <w:r>
        <w:rPr>
          <w:rFonts w:ascii="Source Serif 4" w:cs="Source Serif 4" w:eastAsia="Source Serif 4" w:hAnsi="Source Serif 4"/>
          <w:b/>
          <w:bCs/>
          <w:color w:val="4F46E5"/>
        </w:rPr>
        <w:t xml:space="preserve">6. Pemeriksaan Penunjang</w:t>
      </w:r>
    </w:p>
    <w:p>
      <w:pPr>
        <w:pStyle w:val="ListParagraph"/>
        <w:numPr>
          <w:ilvl w:val="0"/>
          <w:numId w:val="1"/>
        </w:numPr>
        <w:spacing w:after="90"/>
      </w:pPr>
      <w:r>
        <w:rPr>
          <w:rFonts w:ascii="IBM Plex Sans" w:cs="IBM Plex Sans" w:eastAsia="IBM Plex Sans" w:hAnsi="IBM Plex Sans"/>
          <w:color w:val="334155"/>
          <w:sz w:val="22"/>
          <w:szCs w:val="22"/>
        </w:rPr>
        <w:t xml:space="preserve">Ultrasonografi transvaginal (USG TV): modalitas lini pertama untuk menilai ketebalan dan morfologi endometrium; pada pasien pascamenopause dengan perdarahan, ketebalan endometrium yang meningkat merupakan indikasi evaluasi histopatologik lebih lanjut.</w:t>
      </w:r>
    </w:p>
    <w:p>
      <w:pPr>
        <w:pStyle w:val="ListParagraph"/>
        <w:numPr>
          <w:ilvl w:val="0"/>
          <w:numId w:val="1"/>
        </w:numPr>
        <w:spacing w:after="90"/>
      </w:pPr>
      <w:r>
        <w:rPr>
          <w:rFonts w:ascii="IBM Plex Sans" w:cs="IBM Plex Sans" w:eastAsia="IBM Plex Sans" w:hAnsi="IBM Plex Sans"/>
          <w:color w:val="334155"/>
          <w:sz w:val="22"/>
          <w:szCs w:val="22"/>
        </w:rPr>
        <w:t xml:space="preserve">Biopsi endometrium (pipelle/aspirasi) rawat jalan: metode utama untuk memperoleh diagnosis histopatologik pada mayoritas kasus.</w:t>
      </w:r>
    </w:p>
    <w:p>
      <w:pPr>
        <w:pStyle w:val="ListParagraph"/>
        <w:numPr>
          <w:ilvl w:val="0"/>
          <w:numId w:val="1"/>
        </w:numPr>
        <w:spacing w:after="90"/>
      </w:pPr>
      <w:r>
        <w:rPr>
          <w:rFonts w:ascii="IBM Plex Sans" w:cs="IBM Plex Sans" w:eastAsia="IBM Plex Sans" w:hAnsi="IBM Plex Sans"/>
          <w:color w:val="334155"/>
          <w:sz w:val="22"/>
          <w:szCs w:val="22"/>
        </w:rPr>
        <w:t xml:space="preserve">Histeroskopi dengan biopsi terarah dan/atau dilatasi-kuretase (D&amp;C): diindikasikan bila biopsi aspirasi tidak representatif, hasil tidak sesuai gambaran klinis, dicurigai lesi fokal (polip), atau perdarahan menetap meski hasil biopsi awal negatif.</w:t>
      </w:r>
    </w:p>
    <w:p>
      <w:pPr>
        <w:pStyle w:val="ListParagraph"/>
        <w:numPr>
          <w:ilvl w:val="0"/>
          <w:numId w:val="1"/>
        </w:numPr>
        <w:spacing w:after="90"/>
      </w:pPr>
      <w:r>
        <w:rPr>
          <w:rFonts w:ascii="IBM Plex Sans" w:cs="IBM Plex Sans" w:eastAsia="IBM Plex Sans" w:hAnsi="IBM Plex Sans"/>
          <w:color w:val="334155"/>
          <w:sz w:val="22"/>
          <w:szCs w:val="22"/>
        </w:rPr>
        <w:t xml:space="preserve">Pemeriksaan laboratorium penunjang: darah perifer lengkap (menilai derajat anemia akibat perdarahan), profil metabolik (gula darah, profil lipid) mengingat tumpang tindih faktor risiko dengan sindrom metabolik dan SOPK.</w:t>
      </w:r>
    </w:p>
    <w:p>
      <w:pPr>
        <w:pStyle w:val="ListParagraph"/>
        <w:numPr>
          <w:ilvl w:val="0"/>
          <w:numId w:val="1"/>
        </w:numPr>
        <w:spacing w:after="90"/>
      </w:pPr>
      <w:r>
        <w:rPr>
          <w:rFonts w:ascii="IBM Plex Sans" w:cs="IBM Plex Sans" w:eastAsia="IBM Plex Sans" w:hAnsi="IBM Plex Sans"/>
          <w:color w:val="334155"/>
          <w:sz w:val="22"/>
          <w:szCs w:val="22"/>
        </w:rPr>
        <w:t xml:space="preserve">Pemeriksaan histopatologik dengan penilaian eksplisit atipia sitologik oleh ahli patologi anatomi berpengalaman — direkomendasikan telaah ulang (second opinion) bila diagnosis meragukan mengingat variabilitas antar-pengamat yang bermakna pada penilaian atipia.</w:t>
      </w:r>
    </w:p>
    <w:p>
      <w:pPr>
        <w:pStyle w:val="Heading1"/>
        <w:spacing w:after="140" w:before="260"/>
      </w:pPr>
      <w:r>
        <w:rPr>
          <w:rFonts w:ascii="Source Serif 4" w:cs="Source Serif 4" w:eastAsia="Source Serif 4" w:hAnsi="Source Serif 4"/>
          <w:b/>
          <w:bCs/>
          <w:color w:val="4F46E5"/>
        </w:rPr>
        <w:t xml:space="preserve">7. Tata Laksana</w:t>
      </w:r>
    </w:p>
    <w:p>
      <w:pPr>
        <w:spacing w:after="160"/>
        <w:jc w:val="both"/>
      </w:pPr>
      <w:r>
        <w:rPr>
          <w:rFonts w:ascii="IBM Plex Sans" w:cs="IBM Plex Sans" w:eastAsia="IBM Plex Sans" w:hAnsi="IBM Plex Sans"/>
          <w:color w:val="334155"/>
          <w:sz w:val="22"/>
          <w:szCs w:val="22"/>
        </w:rPr>
        <w:t xml:space="preserve">Prinsip umum tata laksana hiperplasia endometrium tanpa infertilitas adalah koreksi ketidakseimbangan hormonal penyebab (unopposed estrogen), induksi regresi histopatologik melalui terapi progestogen, dan pemantauan berkala hingga terbukti regresi lengkap.</w:t>
      </w:r>
    </w:p>
    <w:p>
      <w:pPr>
        <w:pStyle w:val="Heading2"/>
        <w:spacing w:after="120" w:before="200"/>
      </w:pPr>
      <w:r>
        <w:rPr>
          <w:rFonts w:ascii="Source Serif 4" w:cs="Source Serif 4" w:eastAsia="Source Serif 4" w:hAnsi="Source Serif 4"/>
          <w:b/>
          <w:bCs/>
          <w:color w:val="B45309"/>
        </w:rPr>
        <w:t xml:space="preserve">7.1 Tata Laksana Non-Farmakologis</w:t>
      </w:r>
    </w:p>
    <w:p>
      <w:pPr>
        <w:pStyle w:val="ListParagraph"/>
        <w:numPr>
          <w:ilvl w:val="0"/>
          <w:numId w:val="1"/>
        </w:numPr>
        <w:spacing w:after="90"/>
      </w:pPr>
      <w:r>
        <w:rPr>
          <w:rFonts w:ascii="IBM Plex Sans" w:cs="IBM Plex Sans" w:eastAsia="IBM Plex Sans" w:hAnsi="IBM Plex Sans"/>
          <w:color w:val="334155"/>
          <w:sz w:val="22"/>
          <w:szCs w:val="22"/>
        </w:rPr>
        <w:t xml:space="preserve">Edukasi dan intervensi penurunan berat badan pada pasien obesitas — mengurangi konversi androgen perifer menjadi estrogen di jaringan adiposa.</w:t>
      </w:r>
    </w:p>
    <w:p>
      <w:pPr>
        <w:pStyle w:val="ListParagraph"/>
        <w:numPr>
          <w:ilvl w:val="0"/>
          <w:numId w:val="1"/>
        </w:numPr>
        <w:spacing w:after="90"/>
      </w:pPr>
      <w:r>
        <w:rPr>
          <w:rFonts w:ascii="IBM Plex Sans" w:cs="IBM Plex Sans" w:eastAsia="IBM Plex Sans" w:hAnsi="IBM Plex Sans"/>
          <w:color w:val="334155"/>
          <w:sz w:val="22"/>
          <w:szCs w:val="22"/>
        </w:rPr>
        <w:t xml:space="preserve">Tata laksana bersama (kolaboratif) faktor risiko metabolik: diabetes melitus, resistensi insulin, dislipidemia.</w:t>
      </w:r>
    </w:p>
    <w:p>
      <w:pPr>
        <w:pStyle w:val="ListParagraph"/>
        <w:numPr>
          <w:ilvl w:val="0"/>
          <w:numId w:val="1"/>
        </w:numPr>
        <w:spacing w:after="90"/>
      </w:pPr>
      <w:r>
        <w:rPr>
          <w:rFonts w:ascii="IBM Plex Sans" w:cs="IBM Plex Sans" w:eastAsia="IBM Plex Sans" w:hAnsi="IBM Plex Sans"/>
          <w:color w:val="334155"/>
          <w:sz w:val="22"/>
          <w:szCs w:val="22"/>
        </w:rPr>
        <w:t xml:space="preserve">Pemantauan berkala (surveillance) dengan biopsi endometrium ulang sebagai bagian dari observasi terstruktur, dapat dipertimbangkan pada kasus tertentu dengan faktor risiko yang reversibel, disertai edukasi bahwa terapi progestogen memberikan angka regresi lebih tinggi dibanding observasi saja.</w:t>
      </w:r>
    </w:p>
    <w:p>
      <w:pPr>
        <w:pStyle w:val="Heading2"/>
        <w:spacing w:after="120" w:before="200"/>
      </w:pPr>
      <w:r>
        <w:rPr>
          <w:rFonts w:ascii="Source Serif 4" w:cs="Source Serif 4" w:eastAsia="Source Serif 4" w:hAnsi="Source Serif 4"/>
          <w:b/>
          <w:bCs/>
          <w:color w:val="B45309"/>
        </w:rPr>
        <w:t xml:space="preserve">7.2 Tata Laksana Farmakologis</w:t>
      </w:r>
    </w:p>
    <w:p>
      <w:pPr>
        <w:spacing w:after="160"/>
        <w:jc w:val="both"/>
      </w:pPr>
      <w:r>
        <w:rPr>
          <w:rFonts w:ascii="IBM Plex Sans" w:cs="IBM Plex Sans" w:eastAsia="IBM Plex Sans" w:hAnsi="IBM Plex Sans"/>
          <w:color w:val="334155"/>
          <w:sz w:val="22"/>
          <w:szCs w:val="22"/>
        </w:rPr>
        <w:t xml:space="preserve">Terapi progestogen merupakan lini pertama pada hiperplasia endometrium tanpa atipia. Pilihan meliputi:</w:t>
      </w:r>
    </w:p>
    <w:p>
      <w:pPr>
        <w:pStyle w:val="ListParagraph"/>
        <w:numPr>
          <w:ilvl w:val="0"/>
          <w:numId w:val="1"/>
        </w:numPr>
        <w:spacing w:after="90"/>
      </w:pPr>
      <w:r>
        <w:rPr>
          <w:rFonts w:ascii="IBM Plex Sans" w:cs="IBM Plex Sans" w:eastAsia="IBM Plex Sans" w:hAnsi="IBM Plex Sans"/>
          <w:color w:val="334155"/>
          <w:sz w:val="22"/>
          <w:szCs w:val="22"/>
        </w:rPr>
        <w:t xml:space="preserve">Sistem intrauterin pelepas levonorgestrel (LNG-IUS/LNG-IUD 52 mg, laju pelepasan 20 mikrogram/hari) — direkomendasikan sebagai pilihan lini pertama; data dari uji klinis dan telaah sistematis menunjukkan angka regresi histopatologik yang secara konsisten lebih tinggi dibanding progestogen oral, dengan rentang angka regresi keseluruhan yang dilaporkan bervariasi luas (sekitar 50% hingga lebih dari 90%) bergantung pada jenis populasi, rute pemberian, dan durasi terapi yang diteliti.</w:t>
      </w:r>
    </w:p>
    <w:p>
      <w:pPr>
        <w:pStyle w:val="ListParagraph"/>
        <w:numPr>
          <w:ilvl w:val="0"/>
          <w:numId w:val="1"/>
        </w:numPr>
        <w:spacing w:after="90"/>
      </w:pPr>
      <w:r>
        <w:rPr>
          <w:rFonts w:ascii="IBM Plex Sans" w:cs="IBM Plex Sans" w:eastAsia="IBM Plex Sans" w:hAnsi="IBM Plex Sans"/>
          <w:color w:val="334155"/>
          <w:sz w:val="22"/>
          <w:szCs w:val="22"/>
        </w:rPr>
        <w:t xml:space="preserve">Progestogen oral kontinu (mis. medroksiprogesteron asetat atau megestrol asetat) — alternatif yang tetap efektif bila LNG-IUS tidak dapat digunakan atau tidak tersedia. Bukti dari uji acak menunjukkan regimen kontinu memberikan hasil regresi yang lebih baik dibanding regimen siklik, sehingga regimen siklik tidak direkomendasikan sebagai pilihan utama.</w:t>
      </w:r>
    </w:p>
    <w:p>
      <w:pPr>
        <w:pStyle w:val="ListParagraph"/>
        <w:numPr>
          <w:ilvl w:val="0"/>
          <w:numId w:val="1"/>
        </w:numPr>
        <w:spacing w:after="90"/>
      </w:pPr>
      <w:r>
        <w:rPr>
          <w:rFonts w:ascii="IBM Plex Sans" w:cs="IBM Plex Sans" w:eastAsia="IBM Plex Sans" w:hAnsi="IBM Plex Sans"/>
          <w:color w:val="334155"/>
          <w:sz w:val="22"/>
          <w:szCs w:val="22"/>
        </w:rPr>
        <w:t xml:space="preserve">Pada pasien pengguna HRT sekuensial yang ingin melanjutkan HRT, dianjurkan beralih ke regimen progestogen kontinu (LNG-IUS atau HRT kombinasi kontinu); estrogen tunggal sistemik tanpa progestogen tidak boleh diberikan pada pasien yang masih memiliki uterus.</w:t>
      </w:r>
    </w:p>
    <w:p>
      <w:pPr>
        <w:pStyle w:val="ListParagraph"/>
        <w:numPr>
          <w:ilvl w:val="0"/>
          <w:numId w:val="1"/>
        </w:numPr>
        <w:spacing w:after="90"/>
      </w:pPr>
      <w:r>
        <w:rPr>
          <w:rFonts w:ascii="IBM Plex Sans" w:cs="IBM Plex Sans" w:eastAsia="IBM Plex Sans" w:hAnsi="IBM Plex Sans"/>
          <w:color w:val="334155"/>
          <w:sz w:val="22"/>
          <w:szCs w:val="22"/>
        </w:rPr>
        <w:t xml:space="preserve">Pada pasien pengguna tamoksifen yang mengalami hiperplasia endometrium, keputusan terapi progestogen intrauterin mempertimbangkan diskusi bersama onkologi payudara mengingat ketidakpastian efeknya terhadap risiko rekurensi kanker payudara.</w:t>
      </w:r>
    </w:p>
    <w:p>
      <w:pPr>
        <w:spacing w:after="160"/>
        <w:jc w:val="both"/>
      </w:pPr>
      <w:r>
        <w:rPr>
          <w:rFonts w:ascii="IBM Plex Sans" w:cs="IBM Plex Sans" w:eastAsia="IBM Plex Sans" w:hAnsi="IBM Plex Sans"/>
          <w:color w:val="334155"/>
          <w:sz w:val="22"/>
          <w:szCs w:val="22"/>
        </w:rPr>
        <w:t xml:space="preserve">Pemantauan respons terapi dilakukan melalui biopsi endometrium ulang, minimal setiap 6 bulan; regresi dinyatakan tercapai bila diperoleh minimal dua hasil biopsi negatif berturut-turut sebelum terapi dihentikan dan pasien dipulangkan dari pemantauan aktif. Apabila tidak dijumpai respons setelah 6 bulan pertama, pertimbangkan perpanjangan terapi 6 bulan berikutnya sebelum mengevaluasi ulang pilihan tata laksana, termasuk opsi bedah.</w:t>
      </w:r>
    </w:p>
    <w:p>
      <w:pPr>
        <w:pStyle w:val="Heading2"/>
        <w:spacing w:after="120" w:before="200"/>
      </w:pPr>
      <w:r>
        <w:rPr>
          <w:rFonts w:ascii="Source Serif 4" w:cs="Source Serif 4" w:eastAsia="Source Serif 4" w:hAnsi="Source Serif 4"/>
          <w:b/>
          <w:bCs/>
          <w:color w:val="B45309"/>
        </w:rPr>
        <w:t xml:space="preserve">7.3 Tata Laksana Bedah/Prosedural</w:t>
      </w:r>
    </w:p>
    <w:p>
      <w:pPr>
        <w:spacing w:after="160"/>
        <w:jc w:val="both"/>
      </w:pPr>
      <w:r>
        <w:rPr>
          <w:rFonts w:ascii="IBM Plex Sans" w:cs="IBM Plex Sans" w:eastAsia="IBM Plex Sans" w:hAnsi="IBM Plex Sans"/>
          <w:color w:val="334155"/>
          <w:sz w:val="22"/>
          <w:szCs w:val="22"/>
        </w:rPr>
        <w:t xml:space="preserve">Histerektomi bukan merupakan pilihan lini pertama pada hiperplasia tanpa atipia, karena terapi progestogen mampu menginduksi remisi histologik dan simtomatik pada mayoritas pasien serta menghindarkan morbiditas tindakan bedah mayor.</w:t>
      </w:r>
    </w:p>
    <w:p>
      <w:pPr>
        <w:spacing w:after="160"/>
        <w:jc w:val="both"/>
      </w:pPr>
      <w:r>
        <w:rPr>
          <w:rFonts w:ascii="IBM Plex Sans" w:cs="IBM Plex Sans" w:eastAsia="IBM Plex Sans" w:hAnsi="IBM Plex Sans"/>
          <w:color w:val="334155"/>
          <w:sz w:val="22"/>
          <w:szCs w:val="22"/>
        </w:rPr>
        <w:t xml:space="preserve">Histerektomi dipertimbangkan pada pasien yang tidak berencana mempertahankan fungsi reproduksi apabila dijumpai salah satu keadaan berikut:</w:t>
      </w:r>
    </w:p>
    <w:p>
      <w:pPr>
        <w:pStyle w:val="ListParagraph"/>
        <w:numPr>
          <w:ilvl w:val="0"/>
          <w:numId w:val="1"/>
        </w:numPr>
        <w:spacing w:after="90"/>
      </w:pPr>
      <w:r>
        <w:rPr>
          <w:rFonts w:ascii="IBM Plex Sans" w:cs="IBM Plex Sans" w:eastAsia="IBM Plex Sans" w:hAnsi="IBM Plex Sans"/>
          <w:color w:val="334155"/>
          <w:sz w:val="22"/>
          <w:szCs w:val="22"/>
        </w:rPr>
        <w:t xml:space="preserve">Progresi menjadi hiperplasia atipik selama masa pemantauan.</w:t>
      </w:r>
    </w:p>
    <w:p>
      <w:pPr>
        <w:pStyle w:val="ListParagraph"/>
        <w:numPr>
          <w:ilvl w:val="0"/>
          <w:numId w:val="1"/>
        </w:numPr>
        <w:spacing w:after="90"/>
      </w:pPr>
      <w:r>
        <w:rPr>
          <w:rFonts w:ascii="IBM Plex Sans" w:cs="IBM Plex Sans" w:eastAsia="IBM Plex Sans" w:hAnsi="IBM Plex Sans"/>
          <w:color w:val="334155"/>
          <w:sz w:val="22"/>
          <w:szCs w:val="22"/>
        </w:rPr>
        <w:t xml:space="preserve">Tidak terjadi regresi histologik meski telah menjalani terapi progestogen selama 12 bulan.</w:t>
      </w:r>
    </w:p>
    <w:p>
      <w:pPr>
        <w:pStyle w:val="ListParagraph"/>
        <w:numPr>
          <w:ilvl w:val="0"/>
          <w:numId w:val="1"/>
        </w:numPr>
        <w:spacing w:after="90"/>
      </w:pPr>
      <w:r>
        <w:rPr>
          <w:rFonts w:ascii="IBM Plex Sans" w:cs="IBM Plex Sans" w:eastAsia="IBM Plex Sans" w:hAnsi="IBM Plex Sans"/>
          <w:color w:val="334155"/>
          <w:sz w:val="22"/>
          <w:szCs w:val="22"/>
        </w:rPr>
        <w:t xml:space="preserve">Relaps hiperplasia endometrium setelah terapi progestogen dinyatakan selesai.</w:t>
      </w:r>
    </w:p>
    <w:p>
      <w:pPr>
        <w:pStyle w:val="ListParagraph"/>
        <w:numPr>
          <w:ilvl w:val="0"/>
          <w:numId w:val="1"/>
        </w:numPr>
        <w:spacing w:after="90"/>
      </w:pPr>
      <w:r>
        <w:rPr>
          <w:rFonts w:ascii="IBM Plex Sans" w:cs="IBM Plex Sans" w:eastAsia="IBM Plex Sans" w:hAnsi="IBM Plex Sans"/>
          <w:color w:val="334155"/>
          <w:sz w:val="22"/>
          <w:szCs w:val="22"/>
        </w:rPr>
        <w:t xml:space="preserve">Perdarahan abnormal yang menetap meski telah diterapi.</w:t>
      </w:r>
    </w:p>
    <w:p>
      <w:pPr>
        <w:pStyle w:val="ListParagraph"/>
        <w:numPr>
          <w:ilvl w:val="0"/>
          <w:numId w:val="1"/>
        </w:numPr>
        <w:spacing w:after="90"/>
      </w:pPr>
      <w:r>
        <w:rPr>
          <w:rFonts w:ascii="IBM Plex Sans" w:cs="IBM Plex Sans" w:eastAsia="IBM Plex Sans" w:hAnsi="IBM Plex Sans"/>
          <w:color w:val="334155"/>
          <w:sz w:val="22"/>
          <w:szCs w:val="22"/>
        </w:rPr>
        <w:t xml:space="preserve">Pasien menolak menjalani pemantauan endometrium berkala atau tidak patuh terhadap terapi medikamentosa.</w:t>
      </w:r>
    </w:p>
    <w:p>
      <w:pPr>
        <w:spacing w:after="160"/>
        <w:jc w:val="both"/>
      </w:pPr>
      <w:r>
        <w:rPr>
          <w:rFonts w:ascii="IBM Plex Sans" w:cs="IBM Plex Sans" w:eastAsia="IBM Plex Sans" w:hAnsi="IBM Plex Sans"/>
          <w:color w:val="334155"/>
          <w:sz w:val="22"/>
          <w:szCs w:val="22"/>
        </w:rPr>
        <w:t xml:space="preserve">Ablasi endometrium (termal maupun elektrokauter) tidak direkomendasikan sebagai tata laksana hiperplasia endometrium, khususnya pada hiperplasia atipik, karena angka persistensi dan rekurensi yang tinggi serta kesulitan mengevaluasi episode perdarahan berikutnya akibat jaringan parut intrakavum; badan otoritas alat kesehatan di beberapa negara turut mencantumkan kecurigaan keganasan atau perubahan pramaligna endometrium sebagai kontraindikasi tindakan ablasi termal.</w:t>
      </w:r>
    </w:p>
    <w:p>
      <w:pPr>
        <w:spacing w:after="160"/>
        <w:jc w:val="both"/>
      </w:pPr>
      <w:r>
        <w:rPr>
          <w:rFonts w:ascii="IBM Plex Sans" w:cs="IBM Plex Sans" w:eastAsia="IBM Plex Sans" w:hAnsi="IBM Plex Sans"/>
          <w:color w:val="334155"/>
          <w:sz w:val="22"/>
          <w:szCs w:val="22"/>
        </w:rPr>
        <w:t xml:space="preserve">Pada pasien yang direncanakan histerektomi, tindakan histerektomi supraservikal (subtotal) tidak dianjurkan karena tidak menyertakan seluruh endometrium kanal serviks bagian atas yang berpotensi masih mengandung lesi, sehingga histerektomi total tetap menjadi pilihan baku.</w:t>
      </w:r>
    </w:p>
    <w:p>
      <w:pPr>
        <w:pStyle w:val="Heading2"/>
        <w:spacing w:after="120" w:before="200"/>
      </w:pPr>
      <w:r>
        <w:rPr>
          <w:rFonts w:ascii="Source Serif 4" w:cs="Source Serif 4" w:eastAsia="Source Serif 4" w:hAnsi="Source Serif 4"/>
          <w:b/>
          <w:bCs/>
          <w:color w:val="B45309"/>
        </w:rPr>
        <w:t xml:space="preserve">7.4 Kriteria Rujukan ke Subspesialis Onkologi Ginekologi</w:t>
      </w:r>
    </w:p>
    <w:p>
      <w:pPr>
        <w:spacing w:after="160"/>
        <w:jc w:val="both"/>
      </w:pPr>
      <w:r>
        <w:rPr>
          <w:rFonts w:ascii="IBM Plex Sans" w:cs="IBM Plex Sans" w:eastAsia="IBM Plex Sans" w:hAnsi="IBM Plex Sans"/>
          <w:color w:val="334155"/>
          <w:sz w:val="22"/>
          <w:szCs w:val="22"/>
        </w:rPr>
        <w:t xml:space="preserve">Rujukan ke subspesialis Onkologi Ginekologi diindikasikan pada:</w:t>
      </w:r>
    </w:p>
    <w:p>
      <w:pPr>
        <w:pStyle w:val="ListParagraph"/>
        <w:numPr>
          <w:ilvl w:val="0"/>
          <w:numId w:val="1"/>
        </w:numPr>
        <w:spacing w:after="90"/>
      </w:pPr>
      <w:r>
        <w:rPr>
          <w:rFonts w:ascii="IBM Plex Sans" w:cs="IBM Plex Sans" w:eastAsia="IBM Plex Sans" w:hAnsi="IBM Plex Sans"/>
          <w:color w:val="334155"/>
          <w:sz w:val="22"/>
          <w:szCs w:val="22"/>
        </w:rPr>
        <w:t xml:space="preserve">Temuan histopatologik hiperplasia endometrium atipik (atypical hyperplasia/EIN) — kondisi ini merupakan entri kompetensi tersendiri (ICD-10 N85.1) dengan risiko keganasan tersamar yang bermakna dan berada di luar cakupan PPK ini.</w:t>
      </w:r>
    </w:p>
    <w:p>
      <w:pPr>
        <w:pStyle w:val="ListParagraph"/>
        <w:numPr>
          <w:ilvl w:val="0"/>
          <w:numId w:val="1"/>
        </w:numPr>
        <w:spacing w:after="90"/>
      </w:pPr>
      <w:r>
        <w:rPr>
          <w:rFonts w:ascii="IBM Plex Sans" w:cs="IBM Plex Sans" w:eastAsia="IBM Plex Sans" w:hAnsi="IBM Plex Sans"/>
          <w:color w:val="334155"/>
          <w:sz w:val="22"/>
          <w:szCs w:val="22"/>
        </w:rPr>
        <w:t xml:space="preserve">Kecurigaan atau temuan karsinoma endometrium konkomiten pada hasil biopsi/kuretase.</w:t>
      </w:r>
    </w:p>
    <w:p>
      <w:pPr>
        <w:pStyle w:val="ListParagraph"/>
        <w:numPr>
          <w:ilvl w:val="0"/>
          <w:numId w:val="1"/>
        </w:numPr>
        <w:spacing w:after="90"/>
      </w:pPr>
      <w:r>
        <w:rPr>
          <w:rFonts w:ascii="IBM Plex Sans" w:cs="IBM Plex Sans" w:eastAsia="IBM Plex Sans" w:hAnsi="IBM Plex Sans"/>
          <w:color w:val="334155"/>
          <w:sz w:val="22"/>
          <w:szCs w:val="22"/>
        </w:rPr>
        <w:t xml:space="preserve">Kegagalan regresi histopatologik meski telah menjalani terapi progestogen adekuat selama 12 bulan pada kasus yang kompleks.</w:t>
      </w:r>
    </w:p>
    <w:p>
      <w:pPr>
        <w:pStyle w:val="ListParagraph"/>
        <w:numPr>
          <w:ilvl w:val="0"/>
          <w:numId w:val="1"/>
        </w:numPr>
        <w:spacing w:after="90"/>
      </w:pPr>
      <w:r>
        <w:rPr>
          <w:rFonts w:ascii="IBM Plex Sans" w:cs="IBM Plex Sans" w:eastAsia="IBM Plex Sans" w:hAnsi="IBM Plex Sans"/>
          <w:color w:val="334155"/>
          <w:sz w:val="22"/>
          <w:szCs w:val="22"/>
        </w:rPr>
        <w:t xml:space="preserve">Kebutuhan konsultasi bersama untuk keputusan bedah pada pasien dengan komorbiditas berat yang meningkatkan risiko operasi.</w:t>
      </w:r>
    </w:p>
    <w:tbl>
      <w:tblPr>
        <w:tblW w:type="dxa" w:w="9360"/>
        <w:tblBorders>
          <w:top w:val="single" w:color="B45309" w:sz="4"/>
          <w:left w:val="single" w:color="B45309" w:sz="24"/>
          <w:bottom w:val="single" w:color="B45309" w:sz="4"/>
          <w:right w:val="single" w:color="B45309" w:sz="4"/>
          <w:insideH w:val="single" w:color="auto" w:sz="4"/>
          <w:insideV w:val="single" w:color="auto" w:sz="4"/>
        </w:tblBorders>
      </w:tblPr>
      <w:tblGrid>
        <w:gridCol w:w="9360"/>
      </w:tblGrid>
      <w:tr>
        <w:tc>
          <w:tcPr>
            <w:tcW w:type="dxa" w:w="9360"/>
            <w:shd w:fill="FEF3E2" w:val="clear"/>
            <w:tcMar>
              <w:top w:type="dxa" w:w="150"/>
              <w:left w:type="dxa" w:w="200"/>
              <w:bottom w:type="dxa" w:w="150"/>
              <w:right w:type="dxa" w:w="200"/>
            </w:tcMar>
          </w:tcPr>
          <w:p>
            <w:r>
              <w:rPr>
                <w:rFonts w:ascii="IBM Plex Sans" w:cs="IBM Plex Sans" w:eastAsia="IBM Plex Sans" w:hAnsi="IBM Plex Sans"/>
                <w:b/>
                <w:bCs/>
                <w:color w:val="B45309"/>
                <w:sz w:val="18"/>
                <w:szCs w:val="18"/>
              </w:rPr>
              <w:t xml:space="preserve">DASAR REGULASI</w:t>
            </w:r>
          </w:p>
          <w:p>
            <w:r>
              <w:rPr>
                <w:rFonts w:ascii="IBM Plex Sans" w:cs="IBM Plex Sans" w:eastAsia="IBM Plex Sans" w:hAnsi="IBM Plex Sans"/>
                <w:color w:val="334155"/>
                <w:sz w:val="20"/>
                <w:szCs w:val="20"/>
              </w:rPr>
              <w:t xml:space="preserve">Kontribusi Divisi Pengampu — Onkologi Ginekologi. A. Deskripsi: perspektif onkologi ginekologi relevan karena batas histopatologik antara hiperplasia tanpa atipia dan hiperplasia atipik menentukan jalur tata laksana serta besarnya risiko keganasan tersamar. B. Substansi: penilaian atipia sitologik memiliki variabilitas antar-pengamat yang bermakna, sehingga telaah ulang sediaan oleh patologi anatomi yang berpengalaman dan ambang rujukan yang rendah pada kasus meragukan menjadi prinsip kehati-hatian utama. Konsensus klinis ACOG (2023) melaporkan bahwa proporsi karsinoma endometrium konkomiten yang baru diketahui setelah histerektomi pada pasien dengan diagnosis pra-bedah hiperplasia atipik/EIN berkisar antara sekitar 30% hingga hampir 50%, sejalan dengan meta-analisis Doherty dkk. (PLOS One, 2020) yang melaporkan prevalensi gabungan sebesar 32,6% (interval kepercayaan 95%: 24,1–42,4%); temuan ini menjadi dasar mengapa biopsi/kuretase saja tidak cukup untuk menyingkirkan keganasan pada kecurigaan atipia dan mengapa histeroskopi dengan biopsi terarah direkomendasikan sebagai metode deteksi konkordansi keganasan yang lebih akurat. C. Ilustrasi Kasus Lapangan: pasien pascamenopause dengan hasil biopsi awal hiperplasia tanpa atipia namun ketebalan endometrium pada USG transvaginal tidak sebanding dengan gambaran histopatologik; atas rekomendasi divisi Onkologi Ginekologi dilakukan histeroskopi dengan biopsi terarah ulang, yang kemudian mengonfirmasi area fokal atipia yang terlewat pada biopsi aspirasi awal, sehingga tata laksana dialihkan ke jalur rujukan subspesialistik.</w:t>
            </w:r>
          </w:p>
        </w:tc>
      </w:tr>
    </w:tbl>
    <w:p>
      <w:pPr>
        <w:spacing w:after="120"/>
      </w:pPr>
    </w:p>
    <w:p>
      <w:pPr>
        <w:pStyle w:val="Heading1"/>
        <w:spacing w:after="140" w:before="260"/>
      </w:pPr>
      <w:r>
        <w:rPr>
          <w:rFonts w:ascii="Source Serif 4" w:cs="Source Serif 4" w:eastAsia="Source Serif 4" w:hAnsi="Source Serif 4"/>
          <w:b/>
          <w:bCs/>
          <w:color w:val="4F46E5"/>
        </w:rPr>
        <w:t xml:space="preserve">8. Edukasi Pasien dan Keluarga</w:t>
      </w:r>
    </w:p>
    <w:p>
      <w:pPr>
        <w:pStyle w:val="ListParagraph"/>
        <w:numPr>
          <w:ilvl w:val="0"/>
          <w:numId w:val="1"/>
        </w:numPr>
        <w:spacing w:after="90"/>
      </w:pPr>
      <w:r>
        <w:rPr>
          <w:rFonts w:ascii="IBM Plex Sans" w:cs="IBM Plex Sans" w:eastAsia="IBM Plex Sans" w:hAnsi="IBM Plex Sans"/>
          <w:color w:val="334155"/>
          <w:sz w:val="22"/>
          <w:szCs w:val="22"/>
        </w:rPr>
        <w:t xml:space="preserve">Menjelaskan sifat hiperplasia endometrium sebagai kondisi proliferatif jinak yang dapat diterapi, namun memerlukan pemantauan berkala hingga terbukti regresi.</w:t>
      </w:r>
    </w:p>
    <w:p>
      <w:pPr>
        <w:pStyle w:val="ListParagraph"/>
        <w:numPr>
          <w:ilvl w:val="0"/>
          <w:numId w:val="1"/>
        </w:numPr>
        <w:spacing w:after="90"/>
      </w:pPr>
      <w:r>
        <w:rPr>
          <w:rFonts w:ascii="IBM Plex Sans" w:cs="IBM Plex Sans" w:eastAsia="IBM Plex Sans" w:hAnsi="IBM Plex Sans"/>
          <w:color w:val="334155"/>
          <w:sz w:val="22"/>
          <w:szCs w:val="22"/>
        </w:rPr>
        <w:t xml:space="preserve">Menekankan pentingnya kepatuhan terhadap jadwal biopsi endometrium ulang setiap 6 bulan sebagai bagian tak terpisahkan dari keberhasilan terapi.</w:t>
      </w:r>
    </w:p>
    <w:p>
      <w:pPr>
        <w:pStyle w:val="ListParagraph"/>
        <w:numPr>
          <w:ilvl w:val="0"/>
          <w:numId w:val="1"/>
        </w:numPr>
        <w:spacing w:after="90"/>
      </w:pPr>
      <w:r>
        <w:rPr>
          <w:rFonts w:ascii="IBM Plex Sans" w:cs="IBM Plex Sans" w:eastAsia="IBM Plex Sans" w:hAnsi="IBM Plex Sans"/>
          <w:color w:val="334155"/>
          <w:sz w:val="22"/>
          <w:szCs w:val="22"/>
        </w:rPr>
        <w:t xml:space="preserve">Edukasi mengenai gejala yang harus segera dilaporkan: perdarahan abnormal berulang atau memburuk setelah terapi dinyatakan selesai, karena dapat menandakan relaps.</w:t>
      </w:r>
    </w:p>
    <w:p>
      <w:pPr>
        <w:pStyle w:val="ListParagraph"/>
        <w:numPr>
          <w:ilvl w:val="0"/>
          <w:numId w:val="1"/>
        </w:numPr>
        <w:spacing w:after="90"/>
      </w:pPr>
      <w:r>
        <w:rPr>
          <w:rFonts w:ascii="IBM Plex Sans" w:cs="IBM Plex Sans" w:eastAsia="IBM Plex Sans" w:hAnsi="IBM Plex Sans"/>
          <w:color w:val="334155"/>
          <w:sz w:val="22"/>
          <w:szCs w:val="22"/>
        </w:rPr>
        <w:t xml:space="preserve">Edukasi modifikasi gaya hidup: penurunan berat badan, aktivitas fisik, dan tata laksana komorbiditas metabolik sebagai bagian dari pencegahan rekurensi.</w:t>
      </w:r>
    </w:p>
    <w:p>
      <w:pPr>
        <w:pStyle w:val="ListParagraph"/>
        <w:numPr>
          <w:ilvl w:val="0"/>
          <w:numId w:val="1"/>
        </w:numPr>
        <w:spacing w:after="90"/>
      </w:pPr>
      <w:r>
        <w:rPr>
          <w:rFonts w:ascii="IBM Plex Sans" w:cs="IBM Plex Sans" w:eastAsia="IBM Plex Sans" w:hAnsi="IBM Plex Sans"/>
          <w:color w:val="334155"/>
          <w:sz w:val="22"/>
          <w:szCs w:val="22"/>
        </w:rPr>
        <w:t xml:space="preserve">Penjelasan mengenai pilihan kontrasepsi/terapi hormon yang aman bagi kondisi ini, termasuk manfaat LNG-IUS di luar fungsi kontrasepsi.</w:t>
      </w:r>
    </w:p>
    <w:p>
      <w:pPr>
        <w:pStyle w:val="ListParagraph"/>
        <w:numPr>
          <w:ilvl w:val="0"/>
          <w:numId w:val="1"/>
        </w:numPr>
        <w:spacing w:after="90"/>
      </w:pPr>
      <w:r>
        <w:rPr>
          <w:rFonts w:ascii="IBM Plex Sans" w:cs="IBM Plex Sans" w:eastAsia="IBM Plex Sans" w:hAnsi="IBM Plex Sans"/>
          <w:color w:val="334155"/>
          <w:sz w:val="22"/>
          <w:szCs w:val="22"/>
        </w:rPr>
        <w:t xml:space="preserve">Diskusi terbuka mengenai pilihan mempertahankan atau tidak mempertahankan fungsi reproduksi, karena hal ini memengaruhi pilihan antara terapi medikamentosa berkelanjutan dan histerektomi.</w:t>
      </w:r>
    </w:p>
    <w:p>
      <w:pPr>
        <w:pStyle w:val="Heading1"/>
        <w:spacing w:after="140" w:before="260"/>
      </w:pPr>
      <w:r>
        <w:rPr>
          <w:rFonts w:ascii="Source Serif 4" w:cs="Source Serif 4" w:eastAsia="Source Serif 4" w:hAnsi="Source Serif 4"/>
          <w:b/>
          <w:bCs/>
          <w:color w:val="4F46E5"/>
        </w:rPr>
        <w:t xml:space="preserve">9. Prognosis</w:t>
      </w:r>
    </w:p>
    <w:p>
      <w:pPr>
        <w:spacing w:after="160"/>
        <w:jc w:val="both"/>
      </w:pPr>
      <w:r>
        <w:rPr>
          <w:rFonts w:ascii="IBM Plex Sans" w:cs="IBM Plex Sans" w:eastAsia="IBM Plex Sans" w:hAnsi="IBM Plex Sans"/>
          <w:color w:val="334155"/>
          <w:sz w:val="22"/>
          <w:szCs w:val="22"/>
        </w:rPr>
        <w:t xml:space="preserve">Prognosis hiperplasia endometrium tanpa atipia umumnya baik. Sebuah telaah sistematis dan meta-analisis (Doherty dkk., PLOS One, 2020) melaporkan estimasi laju progresivitas tahunan menjadi keganasan sebesar sekitar 2,6% per tahun pada hiperplasia tanpa atipia, jauh lebih rendah dibanding sekitar 8,2% per tahun pada hiperplasia atipik. Terapi progestogen memberikan angka regresi histologik yang tinggi pada mayoritas pasien, dengan mayoritas keberhasilan tercapai dalam 6–12 bulan pertama terapi.</w:t>
      </w:r>
    </w:p>
    <w:p>
      <w:pPr>
        <w:spacing w:after="160"/>
        <w:jc w:val="both"/>
      </w:pPr>
      <w:r>
        <w:rPr>
          <w:rFonts w:ascii="IBM Plex Sans" w:cs="IBM Plex Sans" w:eastAsia="IBM Plex Sans" w:hAnsi="IBM Plex Sans"/>
          <w:color w:val="334155"/>
          <w:sz w:val="22"/>
          <w:szCs w:val="22"/>
        </w:rPr>
        <w:t xml:space="preserve">Faktor yang memperberat prognosis meliputi obesitas menetap, ketidakpatuhan terhadap terapi dan pemantauan, serta keterlambatan deteksi progresi menjadi atipia. Kepustakaan internasional turut melaporkan bahwa relaps tetap dapat terjadi pascaregresi awal, sehingga pemantauan jangka menengah tetap dianjurkan terutama pada pasien dengan faktor risiko yang menetap (mis. obesitas, resistensi insulin). Data insidensi dan pola rekurensi hiperplasia endometrium yang bersifat spesifik populasi Indonesia belum tersedia secara terstandar [DATA: rujuk laporan/registri resmi terbaru — mis. Kemenkes, POGI] dan perlu dipantau melalui pencatatan kasus terstruktur di fasilitas pelayanan.</w:t>
      </w:r>
    </w:p>
    <w:p>
      <w:pPr>
        <w:spacing w:after="160"/>
        <w:jc w:val="both"/>
      </w:pPr>
      <w:r>
        <w:rPr>
          <w:rFonts w:ascii="IBM Plex Sans" w:cs="IBM Plex Sans" w:eastAsia="IBM Plex Sans" w:hAnsi="IBM Plex Sans"/>
          <w:color w:val="334155"/>
          <w:sz w:val="22"/>
          <w:szCs w:val="22"/>
        </w:rPr>
        <w:t xml:space="preserve">Quo ad vitam: bonam. Quo ad functionam: bonam (bergantung pilihan mempertahankan fungsi reproduksi). Quo ad sanationam: dubia ad bonam, bergantung kepatuhan terapi dan pemantauan berkala.</w:t>
      </w:r>
    </w:p>
    <w:p>
      <w:pPr>
        <w:pStyle w:val="Heading1"/>
        <w:spacing w:after="140" w:before="260"/>
      </w:pPr>
      <w:r>
        <w:rPr>
          <w:rFonts w:ascii="Source Serif 4" w:cs="Source Serif 4" w:eastAsia="Source Serif 4" w:hAnsi="Source Serif 4"/>
          <w:b/>
          <w:bCs/>
          <w:color w:val="4F46E5"/>
        </w:rPr>
        <w:t xml:space="preserve">10. Tingkat Evidens dan Rekomendasi</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rPr>
          <w:tblHeader/>
        </w:trPr>
        <w:tc>
          <w:tcPr>
            <w:tcW w:type="dxa" w:w="3120"/>
            <w:shd w:fill="4F46E5" w:val="clear"/>
            <w:tcMar>
              <w:top w:type="dxa" w:w="100"/>
              <w:left w:type="dxa" w:w="100"/>
              <w:bottom w:type="dxa" w:w="100"/>
              <w:right w:type="dxa" w:w="100"/>
            </w:tcMar>
            <w:vAlign w:val="center"/>
          </w:tcPr>
          <w:p>
            <w:r>
              <w:rPr>
                <w:rFonts w:ascii="IBM Plex Sans" w:cs="IBM Plex Sans" w:eastAsia="IBM Plex Sans" w:hAnsi="IBM Plex Sans"/>
                <w:b/>
                <w:bCs/>
                <w:color w:val="FFFFFF"/>
                <w:sz w:val="19"/>
                <w:szCs w:val="19"/>
              </w:rPr>
              <w:t xml:space="preserve">Pernyataan Tata Laksana</w:t>
            </w:r>
          </w:p>
        </w:tc>
        <w:tc>
          <w:tcPr>
            <w:tcW w:type="dxa" w:w="3120"/>
            <w:shd w:fill="4F46E5" w:val="clear"/>
            <w:tcMar>
              <w:top w:type="dxa" w:w="100"/>
              <w:left w:type="dxa" w:w="100"/>
              <w:bottom w:type="dxa" w:w="100"/>
              <w:right w:type="dxa" w:w="100"/>
            </w:tcMar>
            <w:vAlign w:val="center"/>
          </w:tcPr>
          <w:p>
            <w:r>
              <w:rPr>
                <w:rFonts w:ascii="IBM Plex Sans" w:cs="IBM Plex Sans" w:eastAsia="IBM Plex Sans" w:hAnsi="IBM Plex Sans"/>
                <w:b/>
                <w:bCs/>
                <w:color w:val="FFFFFF"/>
                <w:sz w:val="19"/>
                <w:szCs w:val="19"/>
              </w:rPr>
              <w:t xml:space="preserve">Tingkat Evidens</w:t>
            </w:r>
          </w:p>
        </w:tc>
        <w:tc>
          <w:tcPr>
            <w:tcW w:type="dxa" w:w="3120"/>
            <w:shd w:fill="4F46E5" w:val="clear"/>
            <w:tcMar>
              <w:top w:type="dxa" w:w="100"/>
              <w:left w:type="dxa" w:w="100"/>
              <w:bottom w:type="dxa" w:w="100"/>
              <w:right w:type="dxa" w:w="100"/>
            </w:tcMar>
            <w:vAlign w:val="center"/>
          </w:tcPr>
          <w:p>
            <w:r>
              <w:rPr>
                <w:rFonts w:ascii="IBM Plex Sans" w:cs="IBM Plex Sans" w:eastAsia="IBM Plex Sans" w:hAnsi="IBM Plex Sans"/>
                <w:b/>
                <w:bCs/>
                <w:color w:val="FFFFFF"/>
                <w:sz w:val="19"/>
                <w:szCs w:val="19"/>
              </w:rPr>
              <w:t xml:space="preserve">Derajat Rekomendasi</w:t>
            </w:r>
          </w:p>
        </w:tc>
      </w:tr>
      <w:tr>
        <w:tc>
          <w:tcPr>
            <w:tcW w:type="dxa" w:w="3120"/>
            <w:shd w:fill="FFFFFF" w:val="clear"/>
            <w:tcMar>
              <w:top w:type="dxa" w:w="90"/>
              <w:left w:type="dxa" w:w="100"/>
              <w:bottom w:type="dxa" w:w="90"/>
              <w:right w:type="dxa" w:w="100"/>
            </w:tcMar>
          </w:tcPr>
          <w:p>
            <w:r>
              <w:rPr>
                <w:rFonts w:ascii="IBM Plex Mono" w:cs="IBM Plex Mono" w:eastAsia="IBM Plex Mono" w:hAnsi="IBM Plex Mono"/>
                <w:color w:val="334155"/>
                <w:sz w:val="18"/>
                <w:szCs w:val="18"/>
              </w:rPr>
              <w:t xml:space="preserve">LNG-IUS sebagai terapi progestogen lini pertama pada hiperplasia tanpa atipia</w:t>
            </w:r>
          </w:p>
        </w:tc>
        <w:tc>
          <w:tcPr>
            <w:tcW w:type="dxa" w:w="3120"/>
            <w:shd w:fill="FFFFFF" w:val="clear"/>
            <w:tcMar>
              <w:top w:type="dxa" w:w="90"/>
              <w:left w:type="dxa" w:w="100"/>
              <w:bottom w:type="dxa" w:w="90"/>
              <w:right w:type="dxa" w:w="100"/>
            </w:tcMar>
          </w:tcPr>
          <w:p>
            <w:r>
              <w:rPr>
                <w:rFonts w:ascii="IBM Plex Mono" w:cs="IBM Plex Mono" w:eastAsia="IBM Plex Mono" w:hAnsi="IBM Plex Mono"/>
                <w:color w:val="334155"/>
                <w:sz w:val="18"/>
                <w:szCs w:val="18"/>
              </w:rPr>
              <w:t xml:space="preserve">I / II (uji acak dan meta-analisis)</w:t>
            </w:r>
          </w:p>
        </w:tc>
        <w:tc>
          <w:tcPr>
            <w:tcW w:type="dxa" w:w="3120"/>
            <w:shd w:fill="FFFFFF" w:val="clear"/>
            <w:tcMar>
              <w:top w:type="dxa" w:w="90"/>
              <w:left w:type="dxa" w:w="100"/>
              <w:bottom w:type="dxa" w:w="90"/>
              <w:right w:type="dxa" w:w="100"/>
            </w:tcMar>
          </w:tcPr>
          <w:p>
            <w:r>
              <w:rPr>
                <w:rFonts w:ascii="IBM Plex Mono" w:cs="IBM Plex Mono" w:eastAsia="IBM Plex Mono" w:hAnsi="IBM Plex Mono"/>
                <w:color w:val="334155"/>
                <w:sz w:val="18"/>
                <w:szCs w:val="18"/>
              </w:rPr>
              <w:t xml:space="preserve">A</w:t>
            </w:r>
          </w:p>
        </w:tc>
      </w:tr>
      <w:tr>
        <w:tc>
          <w:tcPr>
            <w:tcW w:type="dxa" w:w="3120"/>
            <w:shd w:fill="F1F5F9" w:val="clear"/>
            <w:tcMar>
              <w:top w:type="dxa" w:w="90"/>
              <w:left w:type="dxa" w:w="100"/>
              <w:bottom w:type="dxa" w:w="90"/>
              <w:right w:type="dxa" w:w="100"/>
            </w:tcMar>
          </w:tcPr>
          <w:p>
            <w:r>
              <w:rPr>
                <w:rFonts w:ascii="IBM Plex Mono" w:cs="IBM Plex Mono" w:eastAsia="IBM Plex Mono" w:hAnsi="IBM Plex Mono"/>
                <w:color w:val="334155"/>
                <w:sz w:val="18"/>
                <w:szCs w:val="18"/>
              </w:rPr>
              <w:t xml:space="preserve">Progestogen oral kontinu sebagai alternatif bila LNG-IUS tidak dapat digunakan</w:t>
            </w:r>
          </w:p>
        </w:tc>
        <w:tc>
          <w:tcPr>
            <w:tcW w:type="dxa" w:w="3120"/>
            <w:shd w:fill="F1F5F9" w:val="clear"/>
            <w:tcMar>
              <w:top w:type="dxa" w:w="90"/>
              <w:left w:type="dxa" w:w="100"/>
              <w:bottom w:type="dxa" w:w="90"/>
              <w:right w:type="dxa" w:w="100"/>
            </w:tcMar>
          </w:tcPr>
          <w:p>
            <w:r>
              <w:rPr>
                <w:rFonts w:ascii="IBM Plex Mono" w:cs="IBM Plex Mono" w:eastAsia="IBM Plex Mono" w:hAnsi="IBM Plex Mono"/>
                <w:color w:val="334155"/>
                <w:sz w:val="18"/>
                <w:szCs w:val="18"/>
              </w:rPr>
              <w:t xml:space="preserve">II</w:t>
            </w:r>
          </w:p>
        </w:tc>
        <w:tc>
          <w:tcPr>
            <w:tcW w:type="dxa" w:w="3120"/>
            <w:shd w:fill="F1F5F9" w:val="clear"/>
            <w:tcMar>
              <w:top w:type="dxa" w:w="90"/>
              <w:left w:type="dxa" w:w="100"/>
              <w:bottom w:type="dxa" w:w="90"/>
              <w:right w:type="dxa" w:w="100"/>
            </w:tcMar>
          </w:tcPr>
          <w:p>
            <w:r>
              <w:rPr>
                <w:rFonts w:ascii="IBM Plex Mono" w:cs="IBM Plex Mono" w:eastAsia="IBM Plex Mono" w:hAnsi="IBM Plex Mono"/>
                <w:color w:val="334155"/>
                <w:sz w:val="18"/>
                <w:szCs w:val="18"/>
              </w:rPr>
              <w:t xml:space="preserve">B</w:t>
            </w:r>
          </w:p>
        </w:tc>
      </w:tr>
      <w:tr>
        <w:tc>
          <w:tcPr>
            <w:tcW w:type="dxa" w:w="3120"/>
            <w:shd w:fill="FFFFFF" w:val="clear"/>
            <w:tcMar>
              <w:top w:type="dxa" w:w="90"/>
              <w:left w:type="dxa" w:w="100"/>
              <w:bottom w:type="dxa" w:w="90"/>
              <w:right w:type="dxa" w:w="100"/>
            </w:tcMar>
          </w:tcPr>
          <w:p>
            <w:r>
              <w:rPr>
                <w:rFonts w:ascii="IBM Plex Mono" w:cs="IBM Plex Mono" w:eastAsia="IBM Plex Mono" w:hAnsi="IBM Plex Mono"/>
                <w:color w:val="334155"/>
                <w:sz w:val="18"/>
                <w:szCs w:val="18"/>
              </w:rPr>
              <w:t xml:space="preserve">Histerektomi bukan lini pertama pada hiperplasia tanpa atipia</w:t>
            </w:r>
          </w:p>
        </w:tc>
        <w:tc>
          <w:tcPr>
            <w:tcW w:type="dxa" w:w="3120"/>
            <w:shd w:fill="FFFFFF" w:val="clear"/>
            <w:tcMar>
              <w:top w:type="dxa" w:w="90"/>
              <w:left w:type="dxa" w:w="100"/>
              <w:bottom w:type="dxa" w:w="90"/>
              <w:right w:type="dxa" w:w="100"/>
            </w:tcMar>
          </w:tcPr>
          <w:p>
            <w:r>
              <w:rPr>
                <w:rFonts w:ascii="IBM Plex Mono" w:cs="IBM Plex Mono" w:eastAsia="IBM Plex Mono" w:hAnsi="IBM Plex Mono"/>
                <w:color w:val="334155"/>
                <w:sz w:val="18"/>
                <w:szCs w:val="18"/>
              </w:rPr>
              <w:t xml:space="preserve">II</w:t>
            </w:r>
          </w:p>
        </w:tc>
        <w:tc>
          <w:tcPr>
            <w:tcW w:type="dxa" w:w="3120"/>
            <w:shd w:fill="FFFFFF" w:val="clear"/>
            <w:tcMar>
              <w:top w:type="dxa" w:w="90"/>
              <w:left w:type="dxa" w:w="100"/>
              <w:bottom w:type="dxa" w:w="90"/>
              <w:right w:type="dxa" w:w="100"/>
            </w:tcMar>
          </w:tcPr>
          <w:p>
            <w:r>
              <w:rPr>
                <w:rFonts w:ascii="IBM Plex Mono" w:cs="IBM Plex Mono" w:eastAsia="IBM Plex Mono" w:hAnsi="IBM Plex Mono"/>
                <w:color w:val="334155"/>
                <w:sz w:val="18"/>
                <w:szCs w:val="18"/>
              </w:rPr>
              <w:t xml:space="preserve">B</w:t>
            </w:r>
          </w:p>
        </w:tc>
      </w:tr>
      <w:tr>
        <w:tc>
          <w:tcPr>
            <w:tcW w:type="dxa" w:w="3120"/>
            <w:shd w:fill="F1F5F9" w:val="clear"/>
            <w:tcMar>
              <w:top w:type="dxa" w:w="90"/>
              <w:left w:type="dxa" w:w="100"/>
              <w:bottom w:type="dxa" w:w="90"/>
              <w:right w:type="dxa" w:w="100"/>
            </w:tcMar>
          </w:tcPr>
          <w:p>
            <w:r>
              <w:rPr>
                <w:rFonts w:ascii="IBM Plex Mono" w:cs="IBM Plex Mono" w:eastAsia="IBM Plex Mono" w:hAnsi="IBM Plex Mono"/>
                <w:color w:val="334155"/>
                <w:sz w:val="18"/>
                <w:szCs w:val="18"/>
              </w:rPr>
              <w:t xml:space="preserve">Histerektomi diindikasikan pada kegagalan regresi 12 bulan/relaps/progresi atipia</w:t>
            </w:r>
          </w:p>
        </w:tc>
        <w:tc>
          <w:tcPr>
            <w:tcW w:type="dxa" w:w="3120"/>
            <w:shd w:fill="F1F5F9" w:val="clear"/>
            <w:tcMar>
              <w:top w:type="dxa" w:w="90"/>
              <w:left w:type="dxa" w:w="100"/>
              <w:bottom w:type="dxa" w:w="90"/>
              <w:right w:type="dxa" w:w="100"/>
            </w:tcMar>
          </w:tcPr>
          <w:p>
            <w:r>
              <w:rPr>
                <w:rFonts w:ascii="IBM Plex Mono" w:cs="IBM Plex Mono" w:eastAsia="IBM Plex Mono" w:hAnsi="IBM Plex Mono"/>
                <w:color w:val="334155"/>
                <w:sz w:val="18"/>
                <w:szCs w:val="18"/>
              </w:rPr>
              <w:t xml:space="preserve">III</w:t>
            </w:r>
          </w:p>
        </w:tc>
        <w:tc>
          <w:tcPr>
            <w:tcW w:type="dxa" w:w="3120"/>
            <w:shd w:fill="F1F5F9" w:val="clear"/>
            <w:tcMar>
              <w:top w:type="dxa" w:w="90"/>
              <w:left w:type="dxa" w:w="100"/>
              <w:bottom w:type="dxa" w:w="90"/>
              <w:right w:type="dxa" w:w="100"/>
            </w:tcMar>
          </w:tcPr>
          <w:p>
            <w:r>
              <w:rPr>
                <w:rFonts w:ascii="IBM Plex Mono" w:cs="IBM Plex Mono" w:eastAsia="IBM Plex Mono" w:hAnsi="IBM Plex Mono"/>
                <w:color w:val="334155"/>
                <w:sz w:val="18"/>
                <w:szCs w:val="18"/>
              </w:rPr>
              <w:t xml:space="preserve">B</w:t>
            </w:r>
          </w:p>
        </w:tc>
      </w:tr>
      <w:tr>
        <w:tc>
          <w:tcPr>
            <w:tcW w:type="dxa" w:w="3120"/>
            <w:shd w:fill="FFFFFF" w:val="clear"/>
            <w:tcMar>
              <w:top w:type="dxa" w:w="90"/>
              <w:left w:type="dxa" w:w="100"/>
              <w:bottom w:type="dxa" w:w="90"/>
              <w:right w:type="dxa" w:w="100"/>
            </w:tcMar>
          </w:tcPr>
          <w:p>
            <w:r>
              <w:rPr>
                <w:rFonts w:ascii="IBM Plex Mono" w:cs="IBM Plex Mono" w:eastAsia="IBM Plex Mono" w:hAnsi="IBM Plex Mono"/>
                <w:color w:val="334155"/>
                <w:sz w:val="18"/>
                <w:szCs w:val="18"/>
              </w:rPr>
              <w:t xml:space="preserve">Pemantauan biopsi endometrium 6 bulanan hingga dua hasil negatif berturut-turut</w:t>
            </w:r>
          </w:p>
        </w:tc>
        <w:tc>
          <w:tcPr>
            <w:tcW w:type="dxa" w:w="3120"/>
            <w:shd w:fill="FFFFFF" w:val="clear"/>
            <w:tcMar>
              <w:top w:type="dxa" w:w="90"/>
              <w:left w:type="dxa" w:w="100"/>
              <w:bottom w:type="dxa" w:w="90"/>
              <w:right w:type="dxa" w:w="100"/>
            </w:tcMar>
          </w:tcPr>
          <w:p>
            <w:r>
              <w:rPr>
                <w:rFonts w:ascii="IBM Plex Mono" w:cs="IBM Plex Mono" w:eastAsia="IBM Plex Mono" w:hAnsi="IBM Plex Mono"/>
                <w:color w:val="334155"/>
                <w:sz w:val="18"/>
                <w:szCs w:val="18"/>
              </w:rPr>
              <w:t xml:space="preserve">III</w:t>
            </w:r>
          </w:p>
        </w:tc>
        <w:tc>
          <w:tcPr>
            <w:tcW w:type="dxa" w:w="3120"/>
            <w:shd w:fill="FFFFFF" w:val="clear"/>
            <w:tcMar>
              <w:top w:type="dxa" w:w="90"/>
              <w:left w:type="dxa" w:w="100"/>
              <w:bottom w:type="dxa" w:w="90"/>
              <w:right w:type="dxa" w:w="100"/>
            </w:tcMar>
          </w:tcPr>
          <w:p>
            <w:r>
              <w:rPr>
                <w:rFonts w:ascii="IBM Plex Mono" w:cs="IBM Plex Mono" w:eastAsia="IBM Plex Mono" w:hAnsi="IBM Plex Mono"/>
                <w:color w:val="334155"/>
                <w:sz w:val="18"/>
                <w:szCs w:val="18"/>
              </w:rPr>
              <w:t xml:space="preserve">B</w:t>
            </w:r>
          </w:p>
        </w:tc>
      </w:tr>
      <w:tr>
        <w:tc>
          <w:tcPr>
            <w:tcW w:type="dxa" w:w="3120"/>
            <w:shd w:fill="F1F5F9" w:val="clear"/>
            <w:tcMar>
              <w:top w:type="dxa" w:w="90"/>
              <w:left w:type="dxa" w:w="100"/>
              <w:bottom w:type="dxa" w:w="90"/>
              <w:right w:type="dxa" w:w="100"/>
            </w:tcMar>
          </w:tcPr>
          <w:p>
            <w:r>
              <w:rPr>
                <w:rFonts w:ascii="IBM Plex Mono" w:cs="IBM Plex Mono" w:eastAsia="IBM Plex Mono" w:hAnsi="IBM Plex Mono"/>
                <w:color w:val="334155"/>
                <w:sz w:val="18"/>
                <w:szCs w:val="18"/>
              </w:rPr>
              <w:t xml:space="preserve">Ablasi endometrium tidak direkomendasikan pada hiperplasia endometrium</w:t>
            </w:r>
          </w:p>
        </w:tc>
        <w:tc>
          <w:tcPr>
            <w:tcW w:type="dxa" w:w="3120"/>
            <w:shd w:fill="F1F5F9" w:val="clear"/>
            <w:tcMar>
              <w:top w:type="dxa" w:w="90"/>
              <w:left w:type="dxa" w:w="100"/>
              <w:bottom w:type="dxa" w:w="90"/>
              <w:right w:type="dxa" w:w="100"/>
            </w:tcMar>
          </w:tcPr>
          <w:p>
            <w:r>
              <w:rPr>
                <w:rFonts w:ascii="IBM Plex Mono" w:cs="IBM Plex Mono" w:eastAsia="IBM Plex Mono" w:hAnsi="IBM Plex Mono"/>
                <w:color w:val="334155"/>
                <w:sz w:val="18"/>
                <w:szCs w:val="18"/>
              </w:rPr>
              <w:t xml:space="preserve">III</w:t>
            </w:r>
          </w:p>
        </w:tc>
        <w:tc>
          <w:tcPr>
            <w:tcW w:type="dxa" w:w="3120"/>
            <w:shd w:fill="F1F5F9" w:val="clear"/>
            <w:tcMar>
              <w:top w:type="dxa" w:w="90"/>
              <w:left w:type="dxa" w:w="100"/>
              <w:bottom w:type="dxa" w:w="90"/>
              <w:right w:type="dxa" w:w="100"/>
            </w:tcMar>
          </w:tcPr>
          <w:p>
            <w:r>
              <w:rPr>
                <w:rFonts w:ascii="IBM Plex Mono" w:cs="IBM Plex Mono" w:eastAsia="IBM Plex Mono" w:hAnsi="IBM Plex Mono"/>
                <w:color w:val="334155"/>
                <w:sz w:val="18"/>
                <w:szCs w:val="18"/>
              </w:rPr>
              <w:t xml:space="preserve">C</w:t>
            </w:r>
          </w:p>
        </w:tc>
      </w:tr>
    </w:tbl>
    <w:p>
      <w:pPr>
        <w:spacing w:after="160"/>
      </w:pPr>
    </w:p>
    <w:p>
      <w:pPr>
        <w:spacing w:after="160"/>
        <w:jc w:val="both"/>
      </w:pPr>
      <w:r>
        <w:rPr>
          <w:rFonts w:ascii="IBM Plex Sans" w:cs="IBM Plex Sans" w:eastAsia="IBM Plex Sans" w:hAnsi="IBM Plex Sans"/>
          <w:color w:val="334155"/>
          <w:sz w:val="22"/>
          <w:szCs w:val="22"/>
        </w:rPr>
        <w:t xml:space="preserve">Skala evidens dan derajat rekomendasi mengacu pada sistem gradasi yang lazim dipakai pada pedoman praktik klinis obstetri-ginekologi nasional dan internasional (evidens I: uji klinis acak terkendali/meta-analisis; II: uji tanpa randomisasi/kohort; III: pendapat ahli dan seri kasus).</w:t>
      </w:r>
    </w:p>
    <w:p>
      <w:pPr>
        <w:pStyle w:val="Heading1"/>
        <w:spacing w:after="140" w:before="260"/>
      </w:pPr>
      <w:r>
        <w:rPr>
          <w:rFonts w:ascii="Source Serif 4" w:cs="Source Serif 4" w:eastAsia="Source Serif 4" w:hAnsi="Source Serif 4"/>
          <w:b/>
          <w:bCs/>
          <w:color w:val="4F46E5"/>
        </w:rPr>
        <w:t xml:space="preserve">11. Indikator Medis</w:t>
      </w:r>
    </w:p>
    <w:p>
      <w:pPr>
        <w:pStyle w:val="ListParagraph"/>
        <w:numPr>
          <w:ilvl w:val="0"/>
          <w:numId w:val="1"/>
        </w:numPr>
        <w:spacing w:after="90"/>
      </w:pPr>
      <w:r>
        <w:rPr>
          <w:rFonts w:ascii="IBM Plex Sans" w:cs="IBM Plex Sans" w:eastAsia="IBM Plex Sans" w:hAnsi="IBM Plex Sans"/>
          <w:color w:val="334155"/>
          <w:sz w:val="22"/>
          <w:szCs w:val="22"/>
        </w:rPr>
        <w:t xml:space="preserve">Proporsi pasien dengan diagnosis histopatologik terkonfirmasi sebelum inisiasi terapi progestogen.</w:t>
      </w:r>
    </w:p>
    <w:p>
      <w:pPr>
        <w:pStyle w:val="ListParagraph"/>
        <w:numPr>
          <w:ilvl w:val="0"/>
          <w:numId w:val="1"/>
        </w:numPr>
        <w:spacing w:after="90"/>
      </w:pPr>
      <w:r>
        <w:rPr>
          <w:rFonts w:ascii="IBM Plex Sans" w:cs="IBM Plex Sans" w:eastAsia="IBM Plex Sans" w:hAnsi="IBM Plex Sans"/>
          <w:color w:val="334155"/>
          <w:sz w:val="22"/>
          <w:szCs w:val="22"/>
        </w:rPr>
        <w:t xml:space="preserve">Proporsi pasien yang menjalani biopsi endometrium ulang sesuai jadwal 6 bulanan.</w:t>
      </w:r>
    </w:p>
    <w:p>
      <w:pPr>
        <w:pStyle w:val="ListParagraph"/>
        <w:numPr>
          <w:ilvl w:val="0"/>
          <w:numId w:val="1"/>
        </w:numPr>
        <w:spacing w:after="90"/>
      </w:pPr>
      <w:r>
        <w:rPr>
          <w:rFonts w:ascii="IBM Plex Sans" w:cs="IBM Plex Sans" w:eastAsia="IBM Plex Sans" w:hAnsi="IBM Plex Sans"/>
          <w:color w:val="334155"/>
          <w:sz w:val="22"/>
          <w:szCs w:val="22"/>
        </w:rPr>
        <w:t xml:space="preserve">Angka regresi histopatologik pada evaluasi 6 dan 12 bulan setelah inisiasi terapi progestogen.</w:t>
      </w:r>
    </w:p>
    <w:p>
      <w:pPr>
        <w:pStyle w:val="ListParagraph"/>
        <w:numPr>
          <w:ilvl w:val="0"/>
          <w:numId w:val="1"/>
        </w:numPr>
        <w:spacing w:after="90"/>
      </w:pPr>
      <w:r>
        <w:rPr>
          <w:rFonts w:ascii="IBM Plex Sans" w:cs="IBM Plex Sans" w:eastAsia="IBM Plex Sans" w:hAnsi="IBM Plex Sans"/>
          <w:color w:val="334155"/>
          <w:sz w:val="22"/>
          <w:szCs w:val="22"/>
        </w:rPr>
        <w:t xml:space="preserve">Proporsi pasien dengan hasil biopsi menunjukkan progresi ke atipia yang dirujuk tepat waktu ke subspesialis Onkologi Ginekologi.</w:t>
      </w:r>
    </w:p>
    <w:p>
      <w:pPr>
        <w:pStyle w:val="ListParagraph"/>
        <w:numPr>
          <w:ilvl w:val="0"/>
          <w:numId w:val="1"/>
        </w:numPr>
        <w:spacing w:after="90"/>
      </w:pPr>
      <w:r>
        <w:rPr>
          <w:rFonts w:ascii="IBM Plex Sans" w:cs="IBM Plex Sans" w:eastAsia="IBM Plex Sans" w:hAnsi="IBM Plex Sans"/>
          <w:color w:val="334155"/>
          <w:sz w:val="22"/>
          <w:szCs w:val="22"/>
        </w:rPr>
        <w:t xml:space="preserve">Angka kejadian histerektomi yang dilakukan sesuai kriteria (bukan sebagai lini pertama tanpa indikasi).</w:t>
      </w:r>
    </w:p>
    <w:p>
      <w:pPr>
        <w:pStyle w:val="Heading1"/>
        <w:spacing w:after="140" w:before="260"/>
      </w:pPr>
      <w:r>
        <w:rPr>
          <w:rFonts w:ascii="Source Serif 4" w:cs="Source Serif 4" w:eastAsia="Source Serif 4" w:hAnsi="Source Serif 4"/>
          <w:b/>
          <w:bCs/>
          <w:color w:val="4F46E5"/>
        </w:rPr>
        <w:t xml:space="preserve">12. Perbandingan dan Pengayaan Standar Internasional</w:t>
      </w:r>
    </w:p>
    <w:p>
      <w:pPr>
        <w:spacing w:after="160"/>
        <w:jc w:val="both"/>
      </w:pPr>
      <w:r>
        <w:rPr>
          <w:rFonts w:ascii="IBM Plex Sans" w:cs="IBM Plex Sans" w:eastAsia="IBM Plex Sans" w:hAnsi="IBM Plex Sans"/>
          <w:color w:val="334155"/>
          <w:sz w:val="22"/>
          <w:szCs w:val="22"/>
        </w:rPr>
        <w:t xml:space="preserve">Standar nasional (Kepkonsil) menetapkan hiperplasia endometrium tanpa infertilitas sebagai entri kompetensi dengan kode ICD-10 N85.0/ICD-11 GA16.0 di bawah kewenangan spesialis Obstetri dan Ginekologi, dengan jalur rujukan ke subspesialis Onkologi Ginekologi pada temuan atipia atau kegagalan terapi.</w:t>
      </w:r>
    </w:p>
    <w:p>
      <w:pPr>
        <w:spacing w:after="160"/>
        <w:jc w:val="both"/>
      </w:pPr>
      <w:r>
        <w:rPr>
          <w:rFonts w:ascii="IBM Plex Sans" w:cs="IBM Plex Sans" w:eastAsia="IBM Plex Sans" w:hAnsi="IBM Plex Sans"/>
          <w:color w:val="334155"/>
          <w:sz w:val="22"/>
          <w:szCs w:val="22"/>
        </w:rPr>
        <w:t xml:space="preserve">Pedoman Royal College of Obstetricians and Gynaecologists bersama British Society for Gynaecological Endoscopy (RCOG/BSGE Green-top Guideline No. 67, diterbitkan Februari 2016 dan masih berlaku sebagai edisi aktif) merekomendasikan penggunaan sistem intrauterin pelepas levonorgestrel sebagai terapi progestogen lini pertama untuk hiperplasia tanpa atipia, dengan alasan angka regresi yang lebih tinggi dan profil perdarahan yang lebih baik dibanding progestogen oral, serta menetapkan bahwa histerektomi hanya diindikasikan pada kegagalan atau relaps terapi, bukan sebagai lini pertama. Pedoman ini juga menetapkan minimal dua hasil biopsi negatif berturut-turut sebelum pasien dinyatakan selesai dari pemantauan.</w:t>
      </w:r>
    </w:p>
    <w:p>
      <w:pPr>
        <w:spacing w:after="160"/>
        <w:jc w:val="both"/>
      </w:pPr>
      <w:r>
        <w:rPr>
          <w:rFonts w:ascii="IBM Plex Sans" w:cs="IBM Plex Sans" w:eastAsia="IBM Plex Sans" w:hAnsi="IBM Plex Sans"/>
          <w:color w:val="334155"/>
          <w:sz w:val="22"/>
          <w:szCs w:val="22"/>
        </w:rPr>
        <w:t xml:space="preserve">American College of Obstetricians and Gynecologists (ACOG), melalui Clinical Consensus No. 5 (September 2023) mengenai neoplasia intraepitel endometrium/hiperplasia atipik, menekankan bahwa data dukungan terapi progestogen banyak berasal dari studi pada hiperplasia tanpa atipia, menegaskan pentingnya konfirmasi histopatologik yang akurat sebelum menentukan jalur tata laksana konservatif versus bedah, serta secara eksplisit menyatakan histerektomi supraservikal dan ablasi endometrium tidak boleh dilakukan untuk tata laksana hiperplasia atipik/EIN.</w:t>
      </w:r>
    </w:p>
    <w:p>
      <w:pPr>
        <w:spacing w:after="160"/>
        <w:jc w:val="both"/>
      </w:pPr>
      <w:r>
        <w:rPr>
          <w:rFonts w:ascii="IBM Plex Sans" w:cs="IBM Plex Sans" w:eastAsia="IBM Plex Sans" w:hAnsi="IBM Plex Sans"/>
          <w:color w:val="334155"/>
          <w:sz w:val="22"/>
          <w:szCs w:val="22"/>
        </w:rPr>
        <w:t xml:space="preserve">Klasifikasi histopatologik WHO Classification of Tumours edisi ke-5 (2020) menjadi rujukan bersama, baik standar nasional maupun internasional, dalam membedakan hiperplasia tanpa atipia dan hiperplasia atipik sebagai dasar penentuan intensitas tata laksana.</w:t>
      </w:r>
    </w:p>
    <w:p>
      <w:pPr>
        <w:spacing w:after="160"/>
        <w:jc w:val="both"/>
      </w:pPr>
      <w:r>
        <w:rPr>
          <w:rFonts w:ascii="IBM Plex Sans" w:cs="IBM Plex Sans" w:eastAsia="IBM Plex Sans" w:hAnsi="IBM Plex Sans"/>
          <w:color w:val="334155"/>
          <w:sz w:val="22"/>
          <w:szCs w:val="22"/>
        </w:rPr>
        <w:t xml:space="preserve">Perbedaan penekanan: standar nasional (Kepkonsil) menempatkan penentuan kewenangan rujukan pada level kompetensi spesialis vs. subspesialis sebagai unit analisis utama; standar internasional (RCOG/BSGE, ACOG) lebih menekankan algoritme klinis berbasis derajat evidens uji klinis dan besaran risiko numerik. Praktik di Indonesia mengikuti standar nasional (Kepkonsil) sebagai kerangka kewenangan, dengan standar internasional digunakan sebagai pengayaan teknis tata laksana yang tidak bertentangan dengan kerangka tersebut.</w:t>
      </w:r>
    </w:p>
    <w:p>
      <w:pPr>
        <w:pStyle w:val="Heading1"/>
        <w:spacing w:after="140" w:before="260"/>
      </w:pPr>
      <w:r>
        <w:rPr>
          <w:rFonts w:ascii="Source Serif 4" w:cs="Source Serif 4" w:eastAsia="Source Serif 4" w:hAnsi="Source Serif 4"/>
          <w:b/>
          <w:bCs/>
          <w:color w:val="4F46E5"/>
        </w:rPr>
        <w:t xml:space="preserve">13. Kepustakaan</w:t>
      </w:r>
    </w:p>
    <w:p>
      <w:pPr>
        <w:pStyle w:val="ListParagraph"/>
        <w:numPr>
          <w:ilvl w:val="0"/>
          <w:numId w:val="1"/>
        </w:numPr>
        <w:spacing w:after="90"/>
      </w:pPr>
      <w:r>
        <w:rPr>
          <w:rFonts w:ascii="IBM Plex Sans" w:cs="IBM Plex Sans" w:eastAsia="IBM Plex Sans" w:hAnsi="IBM Plex Sans"/>
          <w:color w:val="334155"/>
          <w:sz w:val="22"/>
          <w:szCs w:val="22"/>
        </w:rPr>
        <w:t xml:space="preserve">Keputusan Ketua Konsil Kesehatan Indonesia No. HK.01.02/KKI/1318/2026 tentang Standar Kompetensi Dokter Spesialis dan Subspesialis Bidang Obstetri dan Ginekologi, Tabel 7 No. 50.</w:t>
      </w:r>
    </w:p>
    <w:p>
      <w:pPr>
        <w:pStyle w:val="ListParagraph"/>
        <w:numPr>
          <w:ilvl w:val="0"/>
          <w:numId w:val="1"/>
        </w:numPr>
        <w:spacing w:after="90"/>
      </w:pPr>
      <w:r>
        <w:rPr>
          <w:rFonts w:ascii="IBM Plex Sans" w:cs="IBM Plex Sans" w:eastAsia="IBM Plex Sans" w:hAnsi="IBM Plex Sans"/>
          <w:color w:val="334155"/>
          <w:sz w:val="22"/>
          <w:szCs w:val="22"/>
        </w:rPr>
        <w:t xml:space="preserve">Royal College of Obstetricians and Gynaecologists (RCOG) &amp; British Society for Gynaecological Endoscopy (BSGE). Management of Endometrial Hyperplasia. Green-top Guideline No. 67. London: RCOG; Februari 2016. Tersedia pada: https://www.rcog.org.uk/guidance/browse-all-guidance/green-top-guidelines/management-of-endometrial-hyperplasia-green-top-guideline-no-67/</w:t>
      </w:r>
    </w:p>
    <w:p>
      <w:pPr>
        <w:pStyle w:val="ListParagraph"/>
        <w:numPr>
          <w:ilvl w:val="0"/>
          <w:numId w:val="1"/>
        </w:numPr>
        <w:spacing w:after="90"/>
      </w:pPr>
      <w:r>
        <w:rPr>
          <w:rFonts w:ascii="IBM Plex Sans" w:cs="IBM Plex Sans" w:eastAsia="IBM Plex Sans" w:hAnsi="IBM Plex Sans"/>
          <w:color w:val="334155"/>
          <w:sz w:val="22"/>
          <w:szCs w:val="22"/>
        </w:rPr>
        <w:t xml:space="preserve">American College of Obstetricians and Gynecologists (ACOG) Committee on Clinical Consensus–Gynecology. Management of Endometrial Intraepithelial Neoplasia or Atypical Endometrial Hyperplasia. Clinical Consensus No. 5. Obstet Gynecol. 2023;142:735–744. Tersedia pada: https://www.acog.org/clinical/clinical-guidance/clinical-consensus/articles/2023/09/management-of-endometrial-intraepithelial-neoplasia-or-atypical-endometrial-hyperplasia</w:t>
      </w:r>
    </w:p>
    <w:p>
      <w:pPr>
        <w:pStyle w:val="ListParagraph"/>
        <w:numPr>
          <w:ilvl w:val="0"/>
          <w:numId w:val="1"/>
        </w:numPr>
        <w:spacing w:after="90"/>
      </w:pPr>
      <w:r>
        <w:rPr>
          <w:rFonts w:ascii="IBM Plex Sans" w:cs="IBM Plex Sans" w:eastAsia="IBM Plex Sans" w:hAnsi="IBM Plex Sans"/>
          <w:color w:val="334155"/>
          <w:sz w:val="22"/>
          <w:szCs w:val="22"/>
        </w:rPr>
        <w:t xml:space="preserve">WHO Classification of Tumours Editorial Board. Female Genital Tumours. WHO Classification of Tumours, edisi ke-5, volume 4. Lyon: IARC Press; 2020. Tersedia pada: https://publications.iarc.who.int/Book-And-Report-Series/Who-Classification-Of-Tumours/Female-Genital-Tumours-2020</w:t>
      </w:r>
    </w:p>
    <w:p>
      <w:pPr>
        <w:pStyle w:val="ListParagraph"/>
        <w:numPr>
          <w:ilvl w:val="0"/>
          <w:numId w:val="1"/>
        </w:numPr>
        <w:spacing w:after="90"/>
      </w:pPr>
      <w:r>
        <w:rPr>
          <w:rFonts w:ascii="IBM Plex Sans" w:cs="IBM Plex Sans" w:eastAsia="IBM Plex Sans" w:hAnsi="IBM Plex Sans"/>
          <w:color w:val="334155"/>
          <w:sz w:val="22"/>
          <w:szCs w:val="22"/>
        </w:rPr>
        <w:t xml:space="preserve">Doherty MT, Sanni OB, Coleman HG, Cardwell CR, McCluggage WG, Quinn D, dkk. Concurrent and future risk of endometrial cancer in women with endometrial hyperplasia: a systematic review and meta-analysis. PLoS One. 2020;15(4):e0232231. Tersedia pada: https://journals.plos.org/plosone/article?id=10.1371/journal.pone.0232231</w:t>
      </w:r>
    </w:p>
    <w:p>
      <w:pPr>
        <w:pStyle w:val="ListParagraph"/>
        <w:numPr>
          <w:ilvl w:val="0"/>
          <w:numId w:val="1"/>
        </w:numPr>
        <w:spacing w:after="90"/>
      </w:pPr>
      <w:r>
        <w:rPr>
          <w:rFonts w:ascii="IBM Plex Sans" w:cs="IBM Plex Sans" w:eastAsia="IBM Plex Sans" w:hAnsi="IBM Plex Sans"/>
          <w:color w:val="334155"/>
          <w:sz w:val="22"/>
          <w:szCs w:val="22"/>
        </w:rPr>
        <w:t xml:space="preserve">Singh G, Cue L, Puckett Y. Endometrial Hyperplasia. Dalam: StatPearls. Treasure Island: StatPearls Publishing; 2024. Tersedia pada: https://www.ncbi.nlm.nih.gov/books/NBK560693/</w:t>
      </w:r>
    </w:p>
    <w:p>
      <w:pPr>
        <w:pStyle w:val="ListParagraph"/>
        <w:numPr>
          <w:ilvl w:val="0"/>
          <w:numId w:val="1"/>
        </w:numPr>
        <w:spacing w:after="90"/>
      </w:pPr>
      <w:r>
        <w:rPr>
          <w:rFonts w:ascii="IBM Plex Sans" w:cs="IBM Plex Sans" w:eastAsia="IBM Plex Sans" w:hAnsi="IBM Plex Sans"/>
          <w:color w:val="334155"/>
          <w:sz w:val="22"/>
          <w:szCs w:val="22"/>
        </w:rPr>
        <w:t xml:space="preserve">Buku Tematik B7 — Tumor Jinak Ginekologi dan Kelainan Struktural Uterus (dokumen induk PPK ini).</w:t>
      </w:r>
    </w:p>
    <w:p>
      <w:pPr>
        <w:pStyle w:val="Heading1"/>
        <w:spacing w:after="140" w:before="260"/>
      </w:pPr>
      <w:r>
        <w:rPr>
          <w:rFonts w:ascii="Source Serif 4" w:cs="Source Serif 4" w:eastAsia="Source Serif 4" w:hAnsi="Source Serif 4"/>
          <w:b/>
          <w:bCs/>
          <w:color w:val="4F46E5"/>
        </w:rPr>
        <w:t xml:space="preserve">Glosarium</w:t>
      </w:r>
    </w:p>
    <w:p>
      <w:pPr>
        <w:spacing w:after="160"/>
        <w:jc w:val="both"/>
      </w:pPr>
      <w:r>
        <w:rPr>
          <w:rFonts w:ascii="IBM Plex Sans" w:cs="IBM Plex Sans" w:eastAsia="IBM Plex Sans" w:hAnsi="IBM Plex Sans"/>
          <w:color w:val="334155"/>
          <w:sz w:val="22"/>
          <w:szCs w:val="22"/>
        </w:rPr>
        <w:t xml:space="preserve">Daftar istilah berikut disusun untuk membantu pembaca memahami terminologi klinis dan teknis yang digunakan dalam dokumen ini.</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700"/>
        <w:gridCol w:w="6660"/>
      </w:tblGrid>
      <w:tr>
        <w:tc>
          <w:tcPr>
            <w:tcW w:type="dxa" w:w="2700"/>
            <w:shd w:fill="FFFFFF" w:val="clear"/>
            <w:tcMar>
              <w:top w:type="dxa" w:w="90"/>
              <w:left w:type="dxa" w:w="100"/>
              <w:bottom w:type="dxa" w:w="90"/>
              <w:right w:type="dxa" w:w="100"/>
            </w:tcMar>
          </w:tcPr>
          <w:p>
            <w:r>
              <w:rPr>
                <w:rFonts w:ascii="IBM Plex Sans" w:cs="IBM Plex Sans" w:eastAsia="IBM Plex Sans" w:hAnsi="IBM Plex Sans"/>
                <w:b/>
                <w:bCs/>
                <w:color w:val="4F46E5"/>
                <w:sz w:val="20"/>
                <w:szCs w:val="20"/>
              </w:rPr>
              <w:t xml:space="preserve">Atipia sitologik</w:t>
            </w:r>
          </w:p>
        </w:tc>
        <w:tc>
          <w:tcPr>
            <w:tcW w:type="dxa" w:w="6660"/>
            <w:shd w:fill="FFFFFF" w:val="clear"/>
            <w:tcMar>
              <w:top w:type="dxa" w:w="90"/>
              <w:left w:type="dxa" w:w="100"/>
              <w:bottom w:type="dxa" w:w="90"/>
              <w:right w:type="dxa" w:w="100"/>
            </w:tcMar>
          </w:tcPr>
          <w:p>
            <w:r>
              <w:rPr>
                <w:rFonts w:ascii="IBM Plex Sans" w:cs="IBM Plex Sans" w:eastAsia="IBM Plex Sans" w:hAnsi="IBM Plex Sans"/>
                <w:color w:val="334155"/>
                <w:sz w:val="20"/>
                <w:szCs w:val="20"/>
              </w:rPr>
              <w:t xml:space="preserve">Perubahan bentuk dan susunan inti sel (nukleus) yang menyimpang dari sel normal; pada endometrium, keberadaan atipia menandakan risiko keganasan yang lebih tinggi.</w:t>
            </w:r>
          </w:p>
        </w:tc>
      </w:tr>
      <w:tr>
        <w:tc>
          <w:tcPr>
            <w:tcW w:type="dxa" w:w="2700"/>
            <w:shd w:fill="F1F5F9" w:val="clear"/>
            <w:tcMar>
              <w:top w:type="dxa" w:w="90"/>
              <w:left w:type="dxa" w:w="100"/>
              <w:bottom w:type="dxa" w:w="90"/>
              <w:right w:type="dxa" w:w="100"/>
            </w:tcMar>
          </w:tcPr>
          <w:p>
            <w:r>
              <w:rPr>
                <w:rFonts w:ascii="IBM Plex Sans" w:cs="IBM Plex Sans" w:eastAsia="IBM Plex Sans" w:hAnsi="IBM Plex Sans"/>
                <w:b/>
                <w:bCs/>
                <w:color w:val="4F46E5"/>
                <w:sz w:val="20"/>
                <w:szCs w:val="20"/>
              </w:rPr>
              <w:t xml:space="preserve">Ablasi endometrium</w:t>
            </w:r>
          </w:p>
        </w:tc>
        <w:tc>
          <w:tcPr>
            <w:tcW w:type="dxa" w:w="6660"/>
            <w:shd w:fill="F1F5F9" w:val="clear"/>
            <w:tcMar>
              <w:top w:type="dxa" w:w="90"/>
              <w:left w:type="dxa" w:w="100"/>
              <w:bottom w:type="dxa" w:w="90"/>
              <w:right w:type="dxa" w:w="100"/>
            </w:tcMar>
          </w:tcPr>
          <w:p>
            <w:r>
              <w:rPr>
                <w:rFonts w:ascii="IBM Plex Sans" w:cs="IBM Plex Sans" w:eastAsia="IBM Plex Sans" w:hAnsi="IBM Plex Sans"/>
                <w:color w:val="334155"/>
                <w:sz w:val="20"/>
                <w:szCs w:val="20"/>
              </w:rPr>
              <w:t xml:space="preserve">Tindakan menghancurkan atau mengangkat lapisan endometrium menggunakan energi panas atau listrik, umumnya untuk tata laksana perdarahan haid berat; tidak dianjurkan pada hiperplasia endometrium.</w:t>
            </w:r>
          </w:p>
        </w:tc>
      </w:tr>
      <w:tr>
        <w:tc>
          <w:tcPr>
            <w:tcW w:type="dxa" w:w="2700"/>
            <w:shd w:fill="FFFFFF" w:val="clear"/>
            <w:tcMar>
              <w:top w:type="dxa" w:w="90"/>
              <w:left w:type="dxa" w:w="100"/>
              <w:bottom w:type="dxa" w:w="90"/>
              <w:right w:type="dxa" w:w="100"/>
            </w:tcMar>
          </w:tcPr>
          <w:p>
            <w:r>
              <w:rPr>
                <w:rFonts w:ascii="IBM Plex Sans" w:cs="IBM Plex Sans" w:eastAsia="IBM Plex Sans" w:hAnsi="IBM Plex Sans"/>
                <w:b/>
                <w:bCs/>
                <w:color w:val="4F46E5"/>
                <w:sz w:val="20"/>
                <w:szCs w:val="20"/>
              </w:rPr>
              <w:t xml:space="preserve">Biopsi endometrium (aspirasi/pipelle)</w:t>
            </w:r>
          </w:p>
        </w:tc>
        <w:tc>
          <w:tcPr>
            <w:tcW w:type="dxa" w:w="6660"/>
            <w:shd w:fill="FFFFFF" w:val="clear"/>
            <w:tcMar>
              <w:top w:type="dxa" w:w="90"/>
              <w:left w:type="dxa" w:w="100"/>
              <w:bottom w:type="dxa" w:w="90"/>
              <w:right w:type="dxa" w:w="100"/>
            </w:tcMar>
          </w:tcPr>
          <w:p>
            <w:r>
              <w:rPr>
                <w:rFonts w:ascii="IBM Plex Sans" w:cs="IBM Plex Sans" w:eastAsia="IBM Plex Sans" w:hAnsi="IBM Plex Sans"/>
                <w:color w:val="334155"/>
                <w:sz w:val="20"/>
                <w:szCs w:val="20"/>
              </w:rPr>
              <w:t xml:space="preserve">Prosedur rawat jalan pengambilan sedikit jaringan endometrium menggunakan kanula plastik tipis untuk pemeriksaan histopatologik.</w:t>
            </w:r>
          </w:p>
        </w:tc>
      </w:tr>
      <w:tr>
        <w:tc>
          <w:tcPr>
            <w:tcW w:type="dxa" w:w="2700"/>
            <w:shd w:fill="F1F5F9" w:val="clear"/>
            <w:tcMar>
              <w:top w:type="dxa" w:w="90"/>
              <w:left w:type="dxa" w:w="100"/>
              <w:bottom w:type="dxa" w:w="90"/>
              <w:right w:type="dxa" w:w="100"/>
            </w:tcMar>
          </w:tcPr>
          <w:p>
            <w:r>
              <w:rPr>
                <w:rFonts w:ascii="IBM Plex Sans" w:cs="IBM Plex Sans" w:eastAsia="IBM Plex Sans" w:hAnsi="IBM Plex Sans"/>
                <w:b/>
                <w:bCs/>
                <w:color w:val="4F46E5"/>
                <w:sz w:val="20"/>
                <w:szCs w:val="20"/>
              </w:rPr>
              <w:t xml:space="preserve">Dilatasi dan kuretase (D&amp;C)</w:t>
            </w:r>
          </w:p>
        </w:tc>
        <w:tc>
          <w:tcPr>
            <w:tcW w:type="dxa" w:w="6660"/>
            <w:shd w:fill="F1F5F9" w:val="clear"/>
            <w:tcMar>
              <w:top w:type="dxa" w:w="90"/>
              <w:left w:type="dxa" w:w="100"/>
              <w:bottom w:type="dxa" w:w="90"/>
              <w:right w:type="dxa" w:w="100"/>
            </w:tcMar>
          </w:tcPr>
          <w:p>
            <w:r>
              <w:rPr>
                <w:rFonts w:ascii="IBM Plex Sans" w:cs="IBM Plex Sans" w:eastAsia="IBM Plex Sans" w:hAnsi="IBM Plex Sans"/>
                <w:color w:val="334155"/>
                <w:sz w:val="20"/>
                <w:szCs w:val="20"/>
              </w:rPr>
              <w:t xml:space="preserve">Prosedur pelebaran kanal serviks diikuti pengerokan lapisan endometrium untuk memperoleh jaringan guna pemeriksaan histopatologik.</w:t>
            </w:r>
          </w:p>
        </w:tc>
      </w:tr>
      <w:tr>
        <w:tc>
          <w:tcPr>
            <w:tcW w:type="dxa" w:w="2700"/>
            <w:shd w:fill="FFFFFF" w:val="clear"/>
            <w:tcMar>
              <w:top w:type="dxa" w:w="90"/>
              <w:left w:type="dxa" w:w="100"/>
              <w:bottom w:type="dxa" w:w="90"/>
              <w:right w:type="dxa" w:w="100"/>
            </w:tcMar>
          </w:tcPr>
          <w:p>
            <w:r>
              <w:rPr>
                <w:rFonts w:ascii="IBM Plex Sans" w:cs="IBM Plex Sans" w:eastAsia="IBM Plex Sans" w:hAnsi="IBM Plex Sans"/>
                <w:b/>
                <w:bCs/>
                <w:color w:val="4F46E5"/>
                <w:sz w:val="20"/>
                <w:szCs w:val="20"/>
              </w:rPr>
              <w:t xml:space="preserve">Endometrium</w:t>
            </w:r>
          </w:p>
        </w:tc>
        <w:tc>
          <w:tcPr>
            <w:tcW w:type="dxa" w:w="6660"/>
            <w:shd w:fill="FFFFFF" w:val="clear"/>
            <w:tcMar>
              <w:top w:type="dxa" w:w="90"/>
              <w:left w:type="dxa" w:w="100"/>
              <w:bottom w:type="dxa" w:w="90"/>
              <w:right w:type="dxa" w:w="100"/>
            </w:tcMar>
          </w:tcPr>
          <w:p>
            <w:r>
              <w:rPr>
                <w:rFonts w:ascii="IBM Plex Sans" w:cs="IBM Plex Sans" w:eastAsia="IBM Plex Sans" w:hAnsi="IBM Plex Sans"/>
                <w:color w:val="334155"/>
                <w:sz w:val="20"/>
                <w:szCs w:val="20"/>
              </w:rPr>
              <w:t xml:space="preserve">Lapisan dalam rongga rahim (uterus) yang mengalami perubahan siklik akibat pengaruh hormon reproduksi.</w:t>
            </w:r>
          </w:p>
        </w:tc>
      </w:tr>
      <w:tr>
        <w:tc>
          <w:tcPr>
            <w:tcW w:type="dxa" w:w="2700"/>
            <w:shd w:fill="F1F5F9" w:val="clear"/>
            <w:tcMar>
              <w:top w:type="dxa" w:w="90"/>
              <w:left w:type="dxa" w:w="100"/>
              <w:bottom w:type="dxa" w:w="90"/>
              <w:right w:type="dxa" w:w="100"/>
            </w:tcMar>
          </w:tcPr>
          <w:p>
            <w:r>
              <w:rPr>
                <w:rFonts w:ascii="IBM Plex Sans" w:cs="IBM Plex Sans" w:eastAsia="IBM Plex Sans" w:hAnsi="IBM Plex Sans"/>
                <w:b/>
                <w:bCs/>
                <w:color w:val="4F46E5"/>
                <w:sz w:val="20"/>
                <w:szCs w:val="20"/>
              </w:rPr>
              <w:t xml:space="preserve">Hiperplasia endometrium</w:t>
            </w:r>
          </w:p>
        </w:tc>
        <w:tc>
          <w:tcPr>
            <w:tcW w:type="dxa" w:w="6660"/>
            <w:shd w:fill="F1F5F9" w:val="clear"/>
            <w:tcMar>
              <w:top w:type="dxa" w:w="90"/>
              <w:left w:type="dxa" w:w="100"/>
              <w:bottom w:type="dxa" w:w="90"/>
              <w:right w:type="dxa" w:w="100"/>
            </w:tcMar>
          </w:tcPr>
          <w:p>
            <w:r>
              <w:rPr>
                <w:rFonts w:ascii="IBM Plex Sans" w:cs="IBM Plex Sans" w:eastAsia="IBM Plex Sans" w:hAnsi="IBM Plex Sans"/>
                <w:color w:val="334155"/>
                <w:sz w:val="20"/>
                <w:szCs w:val="20"/>
              </w:rPr>
              <w:t xml:space="preserve">Penebalan endometrium akibat proliferasi kelenjar yang berlebihan relatif terhadap stroma, umumnya dipicu paparan estrogen yang tidak diimbangi progesteron.</w:t>
            </w:r>
          </w:p>
        </w:tc>
      </w:tr>
      <w:tr>
        <w:tc>
          <w:tcPr>
            <w:tcW w:type="dxa" w:w="2700"/>
            <w:shd w:fill="FFFFFF" w:val="clear"/>
            <w:tcMar>
              <w:top w:type="dxa" w:w="90"/>
              <w:left w:type="dxa" w:w="100"/>
              <w:bottom w:type="dxa" w:w="90"/>
              <w:right w:type="dxa" w:w="100"/>
            </w:tcMar>
          </w:tcPr>
          <w:p>
            <w:r>
              <w:rPr>
                <w:rFonts w:ascii="IBM Plex Sans" w:cs="IBM Plex Sans" w:eastAsia="IBM Plex Sans" w:hAnsi="IBM Plex Sans"/>
                <w:b/>
                <w:bCs/>
                <w:color w:val="4F46E5"/>
                <w:sz w:val="20"/>
                <w:szCs w:val="20"/>
              </w:rPr>
              <w:t xml:space="preserve">Histeroskopi</w:t>
            </w:r>
          </w:p>
        </w:tc>
        <w:tc>
          <w:tcPr>
            <w:tcW w:type="dxa" w:w="6660"/>
            <w:shd w:fill="FFFFFF" w:val="clear"/>
            <w:tcMar>
              <w:top w:type="dxa" w:w="90"/>
              <w:left w:type="dxa" w:w="100"/>
              <w:bottom w:type="dxa" w:w="90"/>
              <w:right w:type="dxa" w:w="100"/>
            </w:tcMar>
          </w:tcPr>
          <w:p>
            <w:r>
              <w:rPr>
                <w:rFonts w:ascii="IBM Plex Sans" w:cs="IBM Plex Sans" w:eastAsia="IBM Plex Sans" w:hAnsi="IBM Plex Sans"/>
                <w:color w:val="334155"/>
                <w:sz w:val="20"/>
                <w:szCs w:val="20"/>
              </w:rPr>
              <w:t xml:space="preserve">Prosedur pemeriksaan rongga rahim menggunakan kamera optik kecil (histeroskop) yang dimasukkan melalui kanal serviks, dapat disertai biopsi terarah.</w:t>
            </w:r>
          </w:p>
        </w:tc>
      </w:tr>
      <w:tr>
        <w:tc>
          <w:tcPr>
            <w:tcW w:type="dxa" w:w="2700"/>
            <w:shd w:fill="F1F5F9" w:val="clear"/>
            <w:tcMar>
              <w:top w:type="dxa" w:w="90"/>
              <w:left w:type="dxa" w:w="100"/>
              <w:bottom w:type="dxa" w:w="90"/>
              <w:right w:type="dxa" w:w="100"/>
            </w:tcMar>
          </w:tcPr>
          <w:p>
            <w:r>
              <w:rPr>
                <w:rFonts w:ascii="IBM Plex Sans" w:cs="IBM Plex Sans" w:eastAsia="IBM Plex Sans" w:hAnsi="IBM Plex Sans"/>
                <w:b/>
                <w:bCs/>
                <w:color w:val="4F46E5"/>
                <w:sz w:val="20"/>
                <w:szCs w:val="20"/>
              </w:rPr>
              <w:t xml:space="preserve">Histerektomi</w:t>
            </w:r>
          </w:p>
        </w:tc>
        <w:tc>
          <w:tcPr>
            <w:tcW w:type="dxa" w:w="6660"/>
            <w:shd w:fill="F1F5F9" w:val="clear"/>
            <w:tcMar>
              <w:top w:type="dxa" w:w="90"/>
              <w:left w:type="dxa" w:w="100"/>
              <w:bottom w:type="dxa" w:w="90"/>
              <w:right w:type="dxa" w:w="100"/>
            </w:tcMar>
          </w:tcPr>
          <w:p>
            <w:r>
              <w:rPr>
                <w:rFonts w:ascii="IBM Plex Sans" w:cs="IBM Plex Sans" w:eastAsia="IBM Plex Sans" w:hAnsi="IBM Plex Sans"/>
                <w:color w:val="334155"/>
                <w:sz w:val="20"/>
                <w:szCs w:val="20"/>
              </w:rPr>
              <w:t xml:space="preserve">Tindakan bedah pengangkatan rahim, dapat bersifat total (menyertakan serviks) atau supraservikal/subtotal (tidak menyertakan serviks).</w:t>
            </w:r>
          </w:p>
        </w:tc>
      </w:tr>
      <w:tr>
        <w:tc>
          <w:tcPr>
            <w:tcW w:type="dxa" w:w="2700"/>
            <w:shd w:fill="FFFFFF" w:val="clear"/>
            <w:tcMar>
              <w:top w:type="dxa" w:w="90"/>
              <w:left w:type="dxa" w:w="100"/>
              <w:bottom w:type="dxa" w:w="90"/>
              <w:right w:type="dxa" w:w="100"/>
            </w:tcMar>
          </w:tcPr>
          <w:p>
            <w:r>
              <w:rPr>
                <w:rFonts w:ascii="IBM Plex Sans" w:cs="IBM Plex Sans" w:eastAsia="IBM Plex Sans" w:hAnsi="IBM Plex Sans"/>
                <w:b/>
                <w:bCs/>
                <w:color w:val="4F46E5"/>
                <w:sz w:val="20"/>
                <w:szCs w:val="20"/>
              </w:rPr>
              <w:t xml:space="preserve">Karsinoma endometrium</w:t>
            </w:r>
          </w:p>
        </w:tc>
        <w:tc>
          <w:tcPr>
            <w:tcW w:type="dxa" w:w="6660"/>
            <w:shd w:fill="FFFFFF" w:val="clear"/>
            <w:tcMar>
              <w:top w:type="dxa" w:w="90"/>
              <w:left w:type="dxa" w:w="100"/>
              <w:bottom w:type="dxa" w:w="90"/>
              <w:right w:type="dxa" w:w="100"/>
            </w:tcMar>
          </w:tcPr>
          <w:p>
            <w:r>
              <w:rPr>
                <w:rFonts w:ascii="IBM Plex Sans" w:cs="IBM Plex Sans" w:eastAsia="IBM Plex Sans" w:hAnsi="IBM Plex Sans"/>
                <w:color w:val="334155"/>
                <w:sz w:val="20"/>
                <w:szCs w:val="20"/>
              </w:rPr>
              <w:t xml:space="preserve">Keganasan (kanker) yang berasal dari sel-sel lapisan endometrium.</w:t>
            </w:r>
          </w:p>
        </w:tc>
      </w:tr>
      <w:tr>
        <w:tc>
          <w:tcPr>
            <w:tcW w:type="dxa" w:w="2700"/>
            <w:shd w:fill="F1F5F9" w:val="clear"/>
            <w:tcMar>
              <w:top w:type="dxa" w:w="90"/>
              <w:left w:type="dxa" w:w="100"/>
              <w:bottom w:type="dxa" w:w="90"/>
              <w:right w:type="dxa" w:w="100"/>
            </w:tcMar>
          </w:tcPr>
          <w:p>
            <w:r>
              <w:rPr>
                <w:rFonts w:ascii="IBM Plex Sans" w:cs="IBM Plex Sans" w:eastAsia="IBM Plex Sans" w:hAnsi="IBM Plex Sans"/>
                <w:b/>
                <w:bCs/>
                <w:color w:val="4F46E5"/>
                <w:sz w:val="20"/>
                <w:szCs w:val="20"/>
              </w:rPr>
              <w:t xml:space="preserve">LNG-IUS (sistem intrauterin pelepas levonorgestrel)</w:t>
            </w:r>
          </w:p>
        </w:tc>
        <w:tc>
          <w:tcPr>
            <w:tcW w:type="dxa" w:w="6660"/>
            <w:shd w:fill="F1F5F9" w:val="clear"/>
            <w:tcMar>
              <w:top w:type="dxa" w:w="90"/>
              <w:left w:type="dxa" w:w="100"/>
              <w:bottom w:type="dxa" w:w="90"/>
              <w:right w:type="dxa" w:w="100"/>
            </w:tcMar>
          </w:tcPr>
          <w:p>
            <w:r>
              <w:rPr>
                <w:rFonts w:ascii="IBM Plex Sans" w:cs="IBM Plex Sans" w:eastAsia="IBM Plex Sans" w:hAnsi="IBM Plex Sans"/>
                <w:color w:val="334155"/>
                <w:sz w:val="20"/>
                <w:szCs w:val="20"/>
              </w:rPr>
              <w:t xml:space="preserve">Alat kontrasepsi dalam rahim yang secara bertahap melepaskan hormon progestogen levonorgestrel langsung ke rongga rahim; digunakan sebagai terapi hiperplasia endometrium selain fungsi kontrasepsi.</w:t>
            </w:r>
          </w:p>
        </w:tc>
      </w:tr>
      <w:tr>
        <w:tc>
          <w:tcPr>
            <w:tcW w:type="dxa" w:w="2700"/>
            <w:shd w:fill="FFFFFF" w:val="clear"/>
            <w:tcMar>
              <w:top w:type="dxa" w:w="90"/>
              <w:left w:type="dxa" w:w="100"/>
              <w:bottom w:type="dxa" w:w="90"/>
              <w:right w:type="dxa" w:w="100"/>
            </w:tcMar>
          </w:tcPr>
          <w:p>
            <w:r>
              <w:rPr>
                <w:rFonts w:ascii="IBM Plex Sans" w:cs="IBM Plex Sans" w:eastAsia="IBM Plex Sans" w:hAnsi="IBM Plex Sans"/>
                <w:b/>
                <w:bCs/>
                <w:color w:val="4F46E5"/>
                <w:sz w:val="20"/>
                <w:szCs w:val="20"/>
              </w:rPr>
              <w:t xml:space="preserve">Neoplasia intraepitel endometrium (EIN)</w:t>
            </w:r>
          </w:p>
        </w:tc>
        <w:tc>
          <w:tcPr>
            <w:tcW w:type="dxa" w:w="6660"/>
            <w:shd w:fill="FFFFFF" w:val="clear"/>
            <w:tcMar>
              <w:top w:type="dxa" w:w="90"/>
              <w:left w:type="dxa" w:w="100"/>
              <w:bottom w:type="dxa" w:w="90"/>
              <w:right w:type="dxa" w:w="100"/>
            </w:tcMar>
          </w:tcPr>
          <w:p>
            <w:r>
              <w:rPr>
                <w:rFonts w:ascii="IBM Plex Sans" w:cs="IBM Plex Sans" w:eastAsia="IBM Plex Sans" w:hAnsi="IBM Plex Sans"/>
                <w:color w:val="334155"/>
                <w:sz w:val="20"/>
                <w:szCs w:val="20"/>
              </w:rPr>
              <w:t xml:space="preserve">Istilah lain untuk hiperplasia endometrium atipik; lesi prakanker yang berisiko tinggi berkembang atau sudah disertai kanker endometrium tersamar.</w:t>
            </w:r>
          </w:p>
        </w:tc>
      </w:tr>
      <w:tr>
        <w:tc>
          <w:tcPr>
            <w:tcW w:type="dxa" w:w="2700"/>
            <w:shd w:fill="F1F5F9" w:val="clear"/>
            <w:tcMar>
              <w:top w:type="dxa" w:w="90"/>
              <w:left w:type="dxa" w:w="100"/>
              <w:bottom w:type="dxa" w:w="90"/>
              <w:right w:type="dxa" w:w="100"/>
            </w:tcMar>
          </w:tcPr>
          <w:p>
            <w:r>
              <w:rPr>
                <w:rFonts w:ascii="IBM Plex Sans" w:cs="IBM Plex Sans" w:eastAsia="IBM Plex Sans" w:hAnsi="IBM Plex Sans"/>
                <w:b/>
                <w:bCs/>
                <w:color w:val="4F46E5"/>
                <w:sz w:val="20"/>
                <w:szCs w:val="20"/>
              </w:rPr>
              <w:t xml:space="preserve">Perdarahan uterus abnormal (PUA)</w:t>
            </w:r>
          </w:p>
        </w:tc>
        <w:tc>
          <w:tcPr>
            <w:tcW w:type="dxa" w:w="6660"/>
            <w:shd w:fill="F1F5F9" w:val="clear"/>
            <w:tcMar>
              <w:top w:type="dxa" w:w="90"/>
              <w:left w:type="dxa" w:w="100"/>
              <w:bottom w:type="dxa" w:w="90"/>
              <w:right w:type="dxa" w:w="100"/>
            </w:tcMar>
          </w:tcPr>
          <w:p>
            <w:r>
              <w:rPr>
                <w:rFonts w:ascii="IBM Plex Sans" w:cs="IBM Plex Sans" w:eastAsia="IBM Plex Sans" w:hAnsi="IBM Plex Sans"/>
                <w:color w:val="334155"/>
                <w:sz w:val="20"/>
                <w:szCs w:val="20"/>
              </w:rPr>
              <w:t xml:space="preserve">Perdarahan dari rahim di luar pola menstruasi normal, mencakup perdarahan berlebihan, tidak teratur, di antara siklus haid, atau pascamenopause.</w:t>
            </w:r>
          </w:p>
        </w:tc>
      </w:tr>
      <w:tr>
        <w:tc>
          <w:tcPr>
            <w:tcW w:type="dxa" w:w="2700"/>
            <w:shd w:fill="FFFFFF" w:val="clear"/>
            <w:tcMar>
              <w:top w:type="dxa" w:w="90"/>
              <w:left w:type="dxa" w:w="100"/>
              <w:bottom w:type="dxa" w:w="90"/>
              <w:right w:type="dxa" w:w="100"/>
            </w:tcMar>
          </w:tcPr>
          <w:p>
            <w:r>
              <w:rPr>
                <w:rFonts w:ascii="IBM Plex Sans" w:cs="IBM Plex Sans" w:eastAsia="IBM Plex Sans" w:hAnsi="IBM Plex Sans"/>
                <w:b/>
                <w:bCs/>
                <w:color w:val="4F46E5"/>
                <w:sz w:val="20"/>
                <w:szCs w:val="20"/>
              </w:rPr>
              <w:t xml:space="preserve">Progestogen</w:t>
            </w:r>
          </w:p>
        </w:tc>
        <w:tc>
          <w:tcPr>
            <w:tcW w:type="dxa" w:w="6660"/>
            <w:shd w:fill="FFFFFF" w:val="clear"/>
            <w:tcMar>
              <w:top w:type="dxa" w:w="90"/>
              <w:left w:type="dxa" w:w="100"/>
              <w:bottom w:type="dxa" w:w="90"/>
              <w:right w:type="dxa" w:w="100"/>
            </w:tcMar>
          </w:tcPr>
          <w:p>
            <w:r>
              <w:rPr>
                <w:rFonts w:ascii="IBM Plex Sans" w:cs="IBM Plex Sans" w:eastAsia="IBM Plex Sans" w:hAnsi="IBM Plex Sans"/>
                <w:color w:val="334155"/>
                <w:sz w:val="20"/>
                <w:szCs w:val="20"/>
              </w:rPr>
              <w:t xml:space="preserve">Golongan hormon (alami maupun sintetis) yang bekerja menyerupai progesteron, digunakan untuk melawan efek proliferatif estrogen pada endometrium.</w:t>
            </w:r>
          </w:p>
        </w:tc>
      </w:tr>
      <w:tr>
        <w:tc>
          <w:tcPr>
            <w:tcW w:type="dxa" w:w="2700"/>
            <w:shd w:fill="F1F5F9" w:val="clear"/>
            <w:tcMar>
              <w:top w:type="dxa" w:w="90"/>
              <w:left w:type="dxa" w:w="100"/>
              <w:bottom w:type="dxa" w:w="90"/>
              <w:right w:type="dxa" w:w="100"/>
            </w:tcMar>
          </w:tcPr>
          <w:p>
            <w:r>
              <w:rPr>
                <w:rFonts w:ascii="IBM Plex Sans" w:cs="IBM Plex Sans" w:eastAsia="IBM Plex Sans" w:hAnsi="IBM Plex Sans"/>
                <w:b/>
                <w:bCs/>
                <w:color w:val="4F46E5"/>
                <w:sz w:val="20"/>
                <w:szCs w:val="20"/>
              </w:rPr>
              <w:t xml:space="preserve">Regresi histopatologik</w:t>
            </w:r>
          </w:p>
        </w:tc>
        <w:tc>
          <w:tcPr>
            <w:tcW w:type="dxa" w:w="6660"/>
            <w:shd w:fill="F1F5F9" w:val="clear"/>
            <w:tcMar>
              <w:top w:type="dxa" w:w="90"/>
              <w:left w:type="dxa" w:w="100"/>
              <w:bottom w:type="dxa" w:w="90"/>
              <w:right w:type="dxa" w:w="100"/>
            </w:tcMar>
          </w:tcPr>
          <w:p>
            <w:r>
              <w:rPr>
                <w:rFonts w:ascii="IBM Plex Sans" w:cs="IBM Plex Sans" w:eastAsia="IBM Plex Sans" w:hAnsi="IBM Plex Sans"/>
                <w:color w:val="334155"/>
                <w:sz w:val="20"/>
                <w:szCs w:val="20"/>
              </w:rPr>
              <w:t xml:space="preserve">Kembalinya gambaran jaringan endometrium ke pola normal (non-hiperplastik) setelah terapi, dibuktikan melalui biopsi ulang.</w:t>
            </w:r>
          </w:p>
        </w:tc>
      </w:tr>
      <w:tr>
        <w:tc>
          <w:tcPr>
            <w:tcW w:type="dxa" w:w="2700"/>
            <w:shd w:fill="FFFFFF" w:val="clear"/>
            <w:tcMar>
              <w:top w:type="dxa" w:w="90"/>
              <w:left w:type="dxa" w:w="100"/>
              <w:bottom w:type="dxa" w:w="90"/>
              <w:right w:type="dxa" w:w="100"/>
            </w:tcMar>
          </w:tcPr>
          <w:p>
            <w:r>
              <w:rPr>
                <w:rFonts w:ascii="IBM Plex Sans" w:cs="IBM Plex Sans" w:eastAsia="IBM Plex Sans" w:hAnsi="IBM Plex Sans"/>
                <w:b/>
                <w:bCs/>
                <w:color w:val="4F46E5"/>
                <w:sz w:val="20"/>
                <w:szCs w:val="20"/>
              </w:rPr>
              <w:t xml:space="preserve">Sindrom Lynch</w:t>
            </w:r>
          </w:p>
        </w:tc>
        <w:tc>
          <w:tcPr>
            <w:tcW w:type="dxa" w:w="6660"/>
            <w:shd w:fill="FFFFFF" w:val="clear"/>
            <w:tcMar>
              <w:top w:type="dxa" w:w="90"/>
              <w:left w:type="dxa" w:w="100"/>
              <w:bottom w:type="dxa" w:w="90"/>
              <w:right w:type="dxa" w:w="100"/>
            </w:tcMar>
          </w:tcPr>
          <w:p>
            <w:r>
              <w:rPr>
                <w:rFonts w:ascii="IBM Plex Sans" w:cs="IBM Plex Sans" w:eastAsia="IBM Plex Sans" w:hAnsi="IBM Plex Sans"/>
                <w:color w:val="334155"/>
                <w:sz w:val="20"/>
                <w:szCs w:val="20"/>
              </w:rPr>
              <w:t xml:space="preserve">Kondisi genetik herediter yang meningkatkan risiko beberapa jenis kanker, termasuk kanker kolorektal dan kanker endometrium.</w:t>
            </w:r>
          </w:p>
        </w:tc>
      </w:tr>
      <w:tr>
        <w:tc>
          <w:tcPr>
            <w:tcW w:type="dxa" w:w="2700"/>
            <w:shd w:fill="F1F5F9" w:val="clear"/>
            <w:tcMar>
              <w:top w:type="dxa" w:w="90"/>
              <w:left w:type="dxa" w:w="100"/>
              <w:bottom w:type="dxa" w:w="90"/>
              <w:right w:type="dxa" w:w="100"/>
            </w:tcMar>
          </w:tcPr>
          <w:p>
            <w:r>
              <w:rPr>
                <w:rFonts w:ascii="IBM Plex Sans" w:cs="IBM Plex Sans" w:eastAsia="IBM Plex Sans" w:hAnsi="IBM Plex Sans"/>
                <w:b/>
                <w:bCs/>
                <w:color w:val="4F46E5"/>
                <w:sz w:val="20"/>
                <w:szCs w:val="20"/>
              </w:rPr>
              <w:t xml:space="preserve">Sindrom ovarium polikistik (SOPK)</w:t>
            </w:r>
          </w:p>
        </w:tc>
        <w:tc>
          <w:tcPr>
            <w:tcW w:type="dxa" w:w="6660"/>
            <w:shd w:fill="F1F5F9" w:val="clear"/>
            <w:tcMar>
              <w:top w:type="dxa" w:w="90"/>
              <w:left w:type="dxa" w:w="100"/>
              <w:bottom w:type="dxa" w:w="90"/>
              <w:right w:type="dxa" w:w="100"/>
            </w:tcMar>
          </w:tcPr>
          <w:p>
            <w:r>
              <w:rPr>
                <w:rFonts w:ascii="IBM Plex Sans" w:cs="IBM Plex Sans" w:eastAsia="IBM Plex Sans" w:hAnsi="IBM Plex Sans"/>
                <w:color w:val="334155"/>
                <w:sz w:val="20"/>
                <w:szCs w:val="20"/>
              </w:rPr>
              <w:t xml:space="preserve">Gangguan hormonal yang ditandai gangguan ovulasi, kadar androgen tinggi, dan/atau gambaran polikistik ovarium pada USG; merupakan faktor risiko unopposed estrogen.</w:t>
            </w:r>
          </w:p>
        </w:tc>
      </w:tr>
      <w:tr>
        <w:tc>
          <w:tcPr>
            <w:tcW w:type="dxa" w:w="2700"/>
            <w:shd w:fill="FFFFFF" w:val="clear"/>
            <w:tcMar>
              <w:top w:type="dxa" w:w="90"/>
              <w:left w:type="dxa" w:w="100"/>
              <w:bottom w:type="dxa" w:w="90"/>
              <w:right w:type="dxa" w:w="100"/>
            </w:tcMar>
          </w:tcPr>
          <w:p>
            <w:r>
              <w:rPr>
                <w:rFonts w:ascii="IBM Plex Sans" w:cs="IBM Plex Sans" w:eastAsia="IBM Plex Sans" w:hAnsi="IBM Plex Sans"/>
                <w:b/>
                <w:bCs/>
                <w:color w:val="4F46E5"/>
                <w:sz w:val="20"/>
                <w:szCs w:val="20"/>
              </w:rPr>
              <w:t xml:space="preserve">Terapi hormon pengganti (HRT)</w:t>
            </w:r>
          </w:p>
        </w:tc>
        <w:tc>
          <w:tcPr>
            <w:tcW w:type="dxa" w:w="6660"/>
            <w:shd w:fill="FFFFFF" w:val="clear"/>
            <w:tcMar>
              <w:top w:type="dxa" w:w="90"/>
              <w:left w:type="dxa" w:w="100"/>
              <w:bottom w:type="dxa" w:w="90"/>
              <w:right w:type="dxa" w:w="100"/>
            </w:tcMar>
          </w:tcPr>
          <w:p>
            <w:r>
              <w:rPr>
                <w:rFonts w:ascii="IBM Plex Sans" w:cs="IBM Plex Sans" w:eastAsia="IBM Plex Sans" w:hAnsi="IBM Plex Sans"/>
                <w:color w:val="334155"/>
                <w:sz w:val="20"/>
                <w:szCs w:val="20"/>
              </w:rPr>
              <w:t xml:space="preserve">Pemberian hormon estrogen dengan atau tanpa progestogen untuk mengatasi gejala menopause.</w:t>
            </w:r>
          </w:p>
        </w:tc>
      </w:tr>
      <w:tr>
        <w:tc>
          <w:tcPr>
            <w:tcW w:type="dxa" w:w="2700"/>
            <w:shd w:fill="F1F5F9" w:val="clear"/>
            <w:tcMar>
              <w:top w:type="dxa" w:w="90"/>
              <w:left w:type="dxa" w:w="100"/>
              <w:bottom w:type="dxa" w:w="90"/>
              <w:right w:type="dxa" w:w="100"/>
            </w:tcMar>
          </w:tcPr>
          <w:p>
            <w:r>
              <w:rPr>
                <w:rFonts w:ascii="IBM Plex Sans" w:cs="IBM Plex Sans" w:eastAsia="IBM Plex Sans" w:hAnsi="IBM Plex Sans"/>
                <w:b/>
                <w:bCs/>
                <w:color w:val="4F46E5"/>
                <w:sz w:val="20"/>
                <w:szCs w:val="20"/>
              </w:rPr>
              <w:t xml:space="preserve">Unopposed estrogen</w:t>
            </w:r>
          </w:p>
        </w:tc>
        <w:tc>
          <w:tcPr>
            <w:tcW w:type="dxa" w:w="6660"/>
            <w:shd w:fill="F1F5F9" w:val="clear"/>
            <w:tcMar>
              <w:top w:type="dxa" w:w="90"/>
              <w:left w:type="dxa" w:w="100"/>
              <w:bottom w:type="dxa" w:w="90"/>
              <w:right w:type="dxa" w:w="100"/>
            </w:tcMar>
          </w:tcPr>
          <w:p>
            <w:r>
              <w:rPr>
                <w:rFonts w:ascii="IBM Plex Sans" w:cs="IBM Plex Sans" w:eastAsia="IBM Plex Sans" w:hAnsi="IBM Plex Sans"/>
                <w:color w:val="334155"/>
                <w:sz w:val="20"/>
                <w:szCs w:val="20"/>
              </w:rPr>
              <w:t xml:space="preserve">Kondisi paparan estrogen pada endometrium tanpa disertai efek pelawan dari progesteron/progestogen dalam jumlah dan durasi yang memadai.</w:t>
            </w:r>
          </w:p>
        </w:tc>
      </w:tr>
    </w:tbl>
    <w:p>
      <w:pPr>
        <w:spacing w:after="160"/>
      </w:pP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IBM Plex Sans" w:cs="IBM Plex Sans" w:eastAsia="IBM Plex Sans" w:hAnsi="IBM Plex Sans"/>
        <w:color w:val="B45309"/>
        <w:sz w:val="15"/>
        <w:szCs w:val="15"/>
      </w:rPr>
      <w:t xml:space="preserve">PPK No. 50 dari 73  •  Sebelumnya: PPK-049 — Polip Endometrium  •  Berikutnya: PPK-051 — Endometritis Kronik tanpa Infertilitas</w:t>
    </w:r>
  </w:p>
  <w:p>
    <w:pPr>
      <w:jc w:val="center"/>
    </w:pPr>
    <w:r>
      <w:rPr>
        <w:rFonts w:ascii="IBM Plex Sans" w:cs="IBM Plex Sans" w:eastAsia="IBM Plex Sans" w:hAnsi="IBM Plex Sans"/>
        <w:color w:val="334155"/>
        <w:sz w:val="13"/>
        <w:szCs w:val="13"/>
      </w:rPr>
      <w:t xml:space="preserve">Perpustakaan Digital ABBA — Jl. Kerinci Raya No. 9, Malang 65138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IBM Plex Sans" w:cs="IBM Plex Sans" w:eastAsia="IBM Plex Sans" w:hAnsi="IBM Plex Sans"/>
        <w:color w:val="334155"/>
        <w:sz w:val="16"/>
        <w:szCs w:val="16"/>
      </w:rPr>
      <w:t xml:space="preserve">PPK-050 — Hiperplasia Endometrium tanpa Infertilitas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BM Plex Sans" w:cs="IBM Plex Sans" w:eastAsia="IBM Plex Sans" w:hAnsi="IBM Plex Sans"/>
        <w:color w:val="334155"/>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2026-08-17T23:41:16.060Z</dcterms:created>
  <dcterms:modified xsi:type="dcterms:W3CDTF">2026-08-17T23:41:16.060Z</dcterms:modified>
</cp:coreProperties>
</file>

<file path=docProps/custom.xml><?xml version="1.0" encoding="utf-8"?>
<Properties xmlns="http://schemas.openxmlformats.org/officeDocument/2006/custom-properties" xmlns:vt="http://schemas.openxmlformats.org/officeDocument/2006/docPropsVTypes"/>
</file>