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pPr>
      <w:r>
        <w:rPr>
          <w:rFonts w:ascii="IBM Plex Sans" w:cs="IBM Plex Sans" w:eastAsia="IBM Plex Sans" w:hAnsi="IBM Plex Sans"/>
          <w:b/>
          <w:bCs/>
          <w:caps/>
          <w:color w:val="B45309"/>
          <w:sz w:val="22"/>
          <w:szCs w:val="22"/>
        </w:rPr>
        <w:t xml:space="preserve">PANDUAN PRAKTIK KLINIS</w:t>
      </w:r>
    </w:p>
    <w:p>
      <w:pPr>
        <w:spacing w:after="40"/>
      </w:pPr>
      <w:r>
        <w:rPr>
          <w:rFonts w:ascii="IBM Plex Sans" w:cs="IBM Plex Sans" w:eastAsia="IBM Plex Sans" w:hAnsi="IBM Plex Sans"/>
          <w:color w:val="64748B"/>
          <w:sz w:val="19"/>
          <w:szCs w:val="19"/>
        </w:rPr>
        <w:t xml:space="preserve">Departemen/SMF Obstetri dan Ginekologi</w:t>
      </w:r>
    </w:p>
    <w:p>
      <w:pPr>
        <w:spacing w:after="200" w:before="300"/>
      </w:pPr>
      <w:r>
        <w:rPr>
          <w:rFonts w:ascii="Source Serif 4" w:cs="Source Serif 4" w:eastAsia="Source Serif 4" w:hAnsi="Source Serif 4"/>
          <w:b/>
          <w:bCs/>
          <w:color w:val="4F46E5"/>
          <w:sz w:val="52"/>
          <w:szCs w:val="52"/>
        </w:rPr>
        <w:t xml:space="preserve">Endometritis Kronik tanpa Infertilitas</w:t>
      </w:r>
    </w:p>
    <w:p>
      <w:pPr>
        <w:spacing w:after="300"/>
      </w:pPr>
      <w:r>
        <w:rPr>
          <w:rFonts w:ascii="Source Serif 4" w:cs="Source Serif 4" w:eastAsia="Source Serif 4" w:hAnsi="Source Serif 4"/>
          <w:i/>
          <w:iCs/>
          <w:color w:val="64748B"/>
          <w:sz w:val="26"/>
          <w:szCs w:val="26"/>
        </w:rPr>
        <w:t xml:space="preserve">Chronic Endometritis without Infertility</w:t>
      </w:r>
    </w:p>
    <w:p>
      <w:pPr>
        <w:shd w:fill="EEF2FF" w:val="clear"/>
        <w:spacing w:after="100" w:before="200"/>
        <w:ind w:left="120"/>
      </w:pPr>
      <w:r>
        <w:rPr>
          <w:rFonts w:ascii="IBM Plex Mono" w:cs="IBM Plex Mono" w:eastAsia="IBM Plex Mono" w:hAnsi="IBM Plex Mono"/>
          <w:b/>
          <w:bCs/>
          <w:color w:val="4F46E5"/>
          <w:sz w:val="20"/>
          <w:szCs w:val="20"/>
        </w:rPr>
        <w:t xml:space="preserve">Kode Unit: PPK-051   |   Dokumen 51 dari 73 (kategori PPK)</w:t>
      </w:r>
    </w:p>
    <w:p>
      <w:pPr>
        <w:shd w:fill="EEF2FF" w:val="clear"/>
        <w:spacing w:after="100"/>
        <w:ind w:left="120"/>
      </w:pPr>
      <w:r>
        <w:rPr>
          <w:rFonts w:ascii="IBM Plex Mono" w:cs="IBM Plex Mono" w:eastAsia="IBM Plex Mono" w:hAnsi="IBM Plex Mono"/>
          <w:b/>
          <w:bCs/>
          <w:color w:val="4F46E5"/>
          <w:sz w:val="20"/>
          <w:szCs w:val="20"/>
        </w:rPr>
        <w:t xml:space="preserve">ICD-10: N71.1      ICD-11: GA01.1</w:t>
      </w:r>
    </w:p>
    <w:p>
      <w:pPr>
        <w:shd w:fill="EEF2FF" w:val="clear"/>
        <w:spacing w:after="400"/>
        <w:ind w:left="120"/>
      </w:pPr>
      <w:r>
        <w:rPr>
          <w:rFonts w:ascii="IBM Plex Mono" w:cs="IBM Plex Mono" w:eastAsia="IBM Plex Mono" w:hAnsi="IBM Plex Mono"/>
          <w:b/>
          <w:bCs/>
          <w:color w:val="B45309"/>
          <w:sz w:val="20"/>
          <w:szCs w:val="20"/>
        </w:rPr>
        <w:t xml:space="preserve">Divisi Pengampu (perspektif lintas divisi): Onkologi Ginekologi</w:t>
      </w:r>
    </w:p>
    <w:p>
      <w:pPr>
        <w:spacing w:after="60" w:before="200"/>
      </w:pPr>
      <w:r>
        <w:rPr>
          <w:rFonts w:ascii="IBM Plex Sans" w:cs="IBM Plex Sans" w:eastAsia="IBM Plex Sans" w:hAnsi="IBM Plex Sans"/>
          <w:b/>
          <w:bCs/>
          <w:color w:val="B45309"/>
          <w:sz w:val="20"/>
          <w:szCs w:val="20"/>
        </w:rPr>
        <w:t xml:space="preserve">RINGKASAN</w:t>
      </w:r>
    </w:p>
    <w:p>
      <w:pPr>
        <w:spacing w:after="160" w:line="300"/>
        <w:jc w:val="both"/>
      </w:pPr>
      <w:r>
        <w:rPr>
          <w:rFonts w:ascii="IBM Plex Sans" w:cs="IBM Plex Sans" w:eastAsia="IBM Plex Sans" w:hAnsi="IBM Plex Sans"/>
          <w:color w:val="334155"/>
          <w:sz w:val="21"/>
          <w:szCs w:val="21"/>
        </w:rPr>
        <w:t xml:space="preserve">Peradangan persisten pada endometrium yang ditandai infiltrasi sel plasma pada stroma, tanpa disertai masalah infertilitas saat evaluasi.</w:t>
      </w:r>
    </w:p>
    <w:p>
      <w:pPr>
        <w:spacing w:after="60" w:before="100"/>
      </w:pPr>
      <w:r>
        <w:rPr>
          <w:rFonts w:ascii="IBM Plex Sans" w:cs="IBM Plex Sans" w:eastAsia="IBM Plex Sans" w:hAnsi="IBM Plex Sans"/>
          <w:b/>
          <w:bCs/>
          <w:color w:val="4F46E5"/>
          <w:sz w:val="20"/>
          <w:szCs w:val="20"/>
        </w:rPr>
        <w:t xml:space="preserve">Populasi Sasaran</w:t>
      </w:r>
    </w:p>
    <w:p>
      <w:pPr>
        <w:spacing w:after="160" w:line="300"/>
        <w:jc w:val="both"/>
      </w:pPr>
      <w:r>
        <w:rPr>
          <w:rFonts w:ascii="IBM Plex Sans" w:cs="IBM Plex Sans" w:eastAsia="IBM Plex Sans" w:hAnsi="IBM Plex Sans"/>
          <w:color w:val="334155"/>
          <w:sz w:val="21"/>
          <w:szCs w:val="21"/>
        </w:rPr>
        <w:t xml:space="preserve">Perempuan usia reproduksi maupun perimenopause dengan gejala ginekologik kronik (perdarahan uterus abnormal, nyeri panggul, keputihan menetap) atau temuan histopatologi insidental, tanpa keluhan atau rencana kesuburan yang sedang dievaluasi.</w:t>
      </w:r>
    </w:p>
    <w:p>
      <w:pPr>
        <w:spacing w:after="60" w:before="100"/>
      </w:pPr>
      <w:r>
        <w:rPr>
          <w:rFonts w:ascii="IBM Plex Sans" w:cs="IBM Plex Sans" w:eastAsia="IBM Plex Sans" w:hAnsi="IBM Plex Sans"/>
          <w:b/>
          <w:bCs/>
          <w:color w:val="4F46E5"/>
          <w:sz w:val="20"/>
          <w:szCs w:val="20"/>
        </w:rPr>
        <w:t xml:space="preserve">Tata Laksana Utama</w:t>
      </w:r>
    </w:p>
    <w:p>
      <w:pPr>
        <w:spacing w:after="160" w:line="300"/>
        <w:jc w:val="both"/>
      </w:pPr>
      <w:r>
        <w:rPr>
          <w:rFonts w:ascii="IBM Plex Sans" w:cs="IBM Plex Sans" w:eastAsia="IBM Plex Sans" w:hAnsi="IBM Plex Sans"/>
          <w:color w:val="334155"/>
          <w:sz w:val="21"/>
          <w:szCs w:val="21"/>
        </w:rPr>
        <w:t xml:space="preserve">Doksisiklin oral sebagai lini pertama, dengan konfirmasi histopatologi sebelum dan evaluasi respons setelah terapi.</w:t>
      </w:r>
    </w:p>
    <w:p>
      <w:pPr>
        <w:pBdr>
          <w:top w:val="single" w:color="CBD5E1" w:sz="6" w:space="8"/>
        </w:pBdr>
        <w:spacing w:after="40" w:before="400"/>
      </w:pPr>
      <w:r>
        <w:rPr>
          <w:rFonts w:ascii="IBM Plex Sans" w:cs="IBM Plex Sans" w:eastAsia="IBM Plex Sans" w:hAnsi="IBM Plex Sans"/>
          <w:color w:val="64748B"/>
          <w:sz w:val="16"/>
          <w:szCs w:val="16"/>
        </w:rPr>
        <w:t xml:space="preserve">Dasar Hukum: Keputusan Ketua Konsil Kesehatan Indonesia No. HK.01.02/KKI/1318/2026 tentang Standar Kompetensi Dokter Spesialis dan Subspesialis Bidang Obstetri dan Ginekologi</w:t>
      </w:r>
    </w:p>
    <w:p>
      <w:pPr>
        <w:spacing w:after="200"/>
      </w:pPr>
      <w:r>
        <w:rPr>
          <w:rFonts w:ascii="IBM Plex Sans" w:cs="IBM Plex Sans" w:eastAsia="IBM Plex Sans" w:hAnsi="IBM Plex Sans"/>
          <w:color w:val="64748B"/>
          <w:sz w:val="16"/>
          <w:szCs w:val="16"/>
        </w:rPr>
        <w:t xml:space="preserve">Rujukan silang: turunan operasional Buku Tematik B7 — Tumor Jinak Ginekologi dan Kelainan Struktural Uterus</w:t>
      </w:r>
    </w:p>
    <w:p>
      <w:pPr>
        <w:spacing w:after="20" w:before="100"/>
      </w:pPr>
      <w:r>
        <w:rPr>
          <w:rFonts w:ascii="IBM Plex Sans" w:cs="IBM Plex Sans" w:eastAsia="IBM Plex Sans" w:hAnsi="IBM Plex Sans"/>
          <w:b/>
          <w:bCs/>
          <w:color w:val="334155"/>
          <w:sz w:val="18"/>
          <w:szCs w:val="18"/>
        </w:rPr>
        <w:t xml:space="preserve">Dr.dr. Budi Siswanto, Sp.OG., Subsp.Obginsos., SH., S.Kom.</w:t>
      </w:r>
    </w:p>
    <w:p>
      <w:r>
        <w:rPr>
          <w:rFonts w:ascii="IBM Plex Sans" w:cs="IBM Plex Sans" w:eastAsia="IBM Plex Sans" w:hAnsi="IBM Plex Sans"/>
          <w:color w:val="64748B"/>
          <w:sz w:val="16"/>
          <w:szCs w:val="16"/>
        </w:rPr>
        <w:t xml:space="preserve">Perpustakaan Digital ABBA — Jl. Kerinci Raya No. 9, Malang 65138</w:t>
      </w:r>
    </w:p>
    <w:p>
      <w:r>
        <w:rPr>
          <w:rFonts w:ascii="IBM Plex Sans" w:cs="IBM Plex Sans" w:eastAsia="IBM Plex Sans" w:hAnsi="IBM Plex Sans"/>
          <w:color w:val="64748B"/>
          <w:sz w:val="16"/>
          <w:szCs w:val="16"/>
        </w:rPr>
        <w:t xml:space="preserve">Edisi 1, 2026</w:t>
      </w:r>
    </w:p>
    <w:p>
      <w:r>
        <w:br w:type="page"/>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1. </w:t>
      </w:r>
      <w:r>
        <w:rPr>
          <w:rFonts w:ascii="Source Serif 4" w:cs="Source Serif 4" w:eastAsia="Source Serif 4" w:hAnsi="Source Serif 4"/>
          <w:b/>
          <w:bCs/>
          <w:color w:val="4F46E5"/>
          <w:sz w:val="30"/>
          <w:szCs w:val="30"/>
        </w:rPr>
        <w:t xml:space="preserve">Pengertian/Definisi</w:t>
      </w:r>
    </w:p>
    <w:p>
      <w:pPr>
        <w:spacing w:after="160" w:line="300"/>
        <w:jc w:val="both"/>
      </w:pPr>
      <w:r>
        <w:rPr>
          <w:rFonts w:ascii="IBM Plex Sans" w:cs="IBM Plex Sans" w:eastAsia="IBM Plex Sans" w:hAnsi="IBM Plex Sans"/>
          <w:color w:val="334155"/>
          <w:sz w:val="21"/>
          <w:szCs w:val="21"/>
        </w:rPr>
        <w:t xml:space="preserve">PPK ini merupakan turunan operasional dari Bab Kelainan Inflamatorik dan Struktural Kavum Uteri, Buku Tematik B7 — Tumor Jinak Ginekologi dan Kelainan Struktural Uterus, sebagai pendalaman tata laksana individual bagi satu entri diagnosis pada Tabel 7 Kepkonsil No. HK.01.02/KKI/1318/2026.</w:t>
      </w:r>
    </w:p>
    <w:p>
      <w:pPr>
        <w:spacing w:after="160" w:line="300"/>
        <w:jc w:val="both"/>
      </w:pPr>
      <w:r>
        <w:rPr>
          <w:rFonts w:ascii="IBM Plex Sans" w:cs="IBM Plex Sans" w:eastAsia="IBM Plex Sans" w:hAnsi="IBM Plex Sans"/>
          <w:color w:val="334155"/>
          <w:sz w:val="21"/>
          <w:szCs w:val="21"/>
        </w:rPr>
        <w:t xml:space="preserve">Endometritis kronik (chronic endometritis) adalah peradangan endometrium yang berlangsung persisten, secara histopatologis ditandai oleh infiltrasi sel plasma (plasma cell) pada stroma endometrium. Sesuai keterangan resmi entri No. 51 Tabel 7 Kepkonsil, kondisi ini didefinisikan sebagai peradangan endometrium kronik tanpa infertilitas — diagnosis dan tata laksana pada PPK ini ditujukan bagi pasien yang tidak sedang dievaluasi atau diterapi karena masalah kesuburan. Bila pada perjalanan kasus ditemukan keluhan atau rencana kehamilan yang terhambat, penapisan dan tata laksana lanjutan mengikuti PPK atau Buku Tematik yang membahas endometritis kronik pada konteks infertilitas atau kegagalan implantasi berulang, bukan PPK ini.</w:t>
      </w:r>
    </w:p>
    <w:p>
      <w:pPr>
        <w:spacing w:after="160" w:line="300"/>
        <w:jc w:val="both"/>
      </w:pPr>
      <w:r>
        <w:rPr>
          <w:rFonts w:ascii="IBM Plex Sans" w:cs="IBM Plex Sans" w:eastAsia="IBM Plex Sans" w:hAnsi="IBM Plex Sans"/>
          <w:color w:val="334155"/>
          <w:sz w:val="21"/>
          <w:szCs w:val="21"/>
        </w:rPr>
        <w:t xml:space="preserve">Secara patofisiologis, endometritis kronik dipahami sebagai gangguan homeostasis mikrobiota rongga uterus yang memicu infiltrasi sel imun, gangguan reseptivitas endometrium, dan perubahan pola peristaltik uterus. Etiologi tersering bersifat infeksius, melibatkan flora intrauterin campuran (Streptococcus, Staphylococcus, Escherichia coli, Enterococcus, Gardnerella vaginalis, Mycoplasma/Ureaplasma) maupun patogen menular seksual (Chlamydia trachomatis, Neisseria gonorrhoeae) pada sebagian kasus. Faktor risiko meliputi riwayat prosedur intrauterin (kuretase, histeroskopi, pemasangan IUD/Intrauterine Device), sisa jaringan produk konsepsi, polip endometrium, submukosa mioma, dan riwayat infeksi panggul sebelumnya.</w:t>
      </w:r>
    </w:p>
    <w:p>
      <w:pPr>
        <w:spacing w:after="160" w:line="300"/>
        <w:jc w:val="both"/>
      </w:pPr>
      <w:r>
        <w:rPr>
          <w:rFonts w:ascii="IBM Plex Sans" w:cs="IBM Plex Sans" w:eastAsia="IBM Plex Sans" w:hAnsi="IBM Plex Sans"/>
          <w:color w:val="334155"/>
          <w:sz w:val="21"/>
          <w:szCs w:val="21"/>
        </w:rPr>
        <w:t xml:space="preserve">Pada populasi tanpa infertilitas, endometritis kronik paling sering ditemukan sebagai penyebab tersembunyi perdarahan uterus abnormal tanpa kelainan struktural (nonstructural abnormal uterine bleeding). Data prevalensi dan insidensi spesifik pada populasi Indonesia belum tersedia secara resmi [DATA: rujuk laporan/registri resmi terbaru — mis. Kemenkes, POGI].</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Kepkonsil No. HK.01.02/KKI/1318/2026, Lampiran Tabel 7 No. 51 (hlm. 63) dan Daftar Istilah terkait (hlm. 517).</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2. </w:t>
      </w:r>
      <w:r>
        <w:rPr>
          <w:rFonts w:ascii="Source Serif 4" w:cs="Source Serif 4" w:eastAsia="Source Serif 4" w:hAnsi="Source Serif 4"/>
          <w:b/>
          <w:bCs/>
          <w:color w:val="4F46E5"/>
          <w:sz w:val="30"/>
          <w:szCs w:val="30"/>
        </w:rPr>
        <w:t xml:space="preserve">Anamnesis</w:t>
      </w:r>
    </w:p>
    <w:p>
      <w:pPr>
        <w:spacing w:after="160" w:line="300"/>
        <w:jc w:val="both"/>
      </w:pPr>
      <w:r>
        <w:rPr>
          <w:rFonts w:ascii="IBM Plex Sans" w:cs="IBM Plex Sans" w:eastAsia="IBM Plex Sans" w:hAnsi="IBM Plex Sans"/>
          <w:color w:val="334155"/>
          <w:sz w:val="21"/>
          <w:szCs w:val="21"/>
        </w:rPr>
        <w:t xml:space="preserve">Manifestasi klinis endometritis kronik seringkali samar dan sebagian besar pasien tidak menunjukkan gejala yang jelas, sehingga kondisi ini mudah terlewat pada praktik klinis rutin. Keluhan yang perlu ditelusuri pada anamnesis meliputi: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Perdarahan uterus abnormal (abnormal uterine bleeding) — perdarahan intermenstrual, perdarahan pascakoitus, atau menoragia ringan yang menetap.</w:t>
      </w:r>
    </w:p>
    <w:p>
      <w:pPr>
        <w:pStyle w:val="ListParagraph"/>
        <w:numPr>
          <w:ilvl w:val="0"/>
          <w:numId w:val="1"/>
        </w:numPr>
        <w:spacing w:after="100" w:line="290"/>
      </w:pPr>
      <w:r>
        <w:rPr>
          <w:rFonts w:ascii="IBM Plex Sans" w:cs="IBM Plex Sans" w:eastAsia="IBM Plex Sans" w:hAnsi="IBM Plex Sans"/>
          <w:color w:val="334155"/>
          <w:sz w:val="21"/>
          <w:szCs w:val="21"/>
        </w:rPr>
        <w:t xml:space="preserve">Nyeri panggul kronik atau nyeri perut bawah yang tidak spesifik.</w:t>
      </w:r>
    </w:p>
    <w:p>
      <w:pPr>
        <w:pStyle w:val="ListParagraph"/>
        <w:numPr>
          <w:ilvl w:val="0"/>
          <w:numId w:val="1"/>
        </w:numPr>
        <w:spacing w:after="100" w:line="290"/>
      </w:pPr>
      <w:r>
        <w:rPr>
          <w:rFonts w:ascii="IBM Plex Sans" w:cs="IBM Plex Sans" w:eastAsia="IBM Plex Sans" w:hAnsi="IBM Plex Sans"/>
          <w:color w:val="334155"/>
          <w:sz w:val="21"/>
          <w:szCs w:val="21"/>
        </w:rPr>
        <w:t xml:space="preserve">Dispareunia (nyeri saat hubungan seksual).</w:t>
      </w:r>
    </w:p>
    <w:p>
      <w:pPr>
        <w:pStyle w:val="ListParagraph"/>
        <w:numPr>
          <w:ilvl w:val="0"/>
          <w:numId w:val="1"/>
        </w:numPr>
        <w:spacing w:after="100" w:line="290"/>
      </w:pPr>
      <w:r>
        <w:rPr>
          <w:rFonts w:ascii="IBM Plex Sans" w:cs="IBM Plex Sans" w:eastAsia="IBM Plex Sans" w:hAnsi="IBM Plex Sans"/>
          <w:color w:val="334155"/>
          <w:sz w:val="21"/>
          <w:szCs w:val="21"/>
        </w:rPr>
        <w:t xml:space="preserve">Keputihan (leukorea) persisten atau berbau, tanpa disertai gejala infeksi akut yang mencolok.</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prosedur intrauterin dalam beberapa bulan terakhir (kuretase, histeroskopi, pemasangan/pelepasan IUD, seksio sesarea, persalinan dengan retensio plasenta).</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infeksi menular seksual atau penyakit radang panggul sebelumnya.</w:t>
      </w:r>
    </w:p>
    <w:p>
      <w:pPr>
        <w:pStyle w:val="ListParagraph"/>
        <w:numPr>
          <w:ilvl w:val="0"/>
          <w:numId w:val="1"/>
        </w:numPr>
        <w:spacing w:after="100" w:line="290"/>
      </w:pPr>
      <w:r>
        <w:rPr>
          <w:rFonts w:ascii="IBM Plex Sans" w:cs="IBM Plex Sans" w:eastAsia="IBM Plex Sans" w:hAnsi="IBM Plex Sans"/>
          <w:color w:val="334155"/>
          <w:sz w:val="21"/>
          <w:szCs w:val="21"/>
        </w:rPr>
        <w:t xml:space="preserve">Konfirmasi eksplisit bahwa pasien tidak sedang menjalani evaluasi atau program kesuburan, untuk memastikan kesesuaian dengan populasi sasaran PPK ini.</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Kepkonsil No. HK.01.02/KKI/1318/2026, Tabel 7 No. 51 — kolom Keterangan/Populasi.</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3. </w:t>
      </w:r>
      <w:r>
        <w:rPr>
          <w:rFonts w:ascii="Source Serif 4" w:cs="Source Serif 4" w:eastAsia="Source Serif 4" w:hAnsi="Source Serif 4"/>
          <w:b/>
          <w:bCs/>
          <w:color w:val="4F46E5"/>
          <w:sz w:val="30"/>
          <w:szCs w:val="30"/>
        </w:rPr>
        <w:t xml:space="preserve">Pemeriksaan Fisik</w:t>
      </w:r>
    </w:p>
    <w:p>
      <w:pPr>
        <w:spacing w:after="160" w:line="300"/>
        <w:jc w:val="both"/>
      </w:pPr>
      <w:r>
        <w:rPr>
          <w:rFonts w:ascii="IBM Plex Sans" w:cs="IBM Plex Sans" w:eastAsia="IBM Plex Sans" w:hAnsi="IBM Plex Sans"/>
          <w:color w:val="334155"/>
          <w:sz w:val="21"/>
          <w:szCs w:val="21"/>
        </w:rPr>
        <w:t xml:space="preserve">Pemeriksaan fisik umum jarang menunjukkan kelainan bermakna dan tidak bersifat diagnostik tunggal. Temuan yang mungkin dijumpai antara lain nyeri tekan ringan pada palpasi uterus saat pemeriksaan bimanual, discharge serviks atau vagina yang tidak khas, dan tanda inflamasi serviks (servisitis) bila etiologi menular seksual turut berperan. Tidak dijumpai tanda peritonitis, demam tinggi, atau nyeri goyang serviks (cervical motion tenderness) yang berat; bila ditemukan tanda tersebut, pertimbangkan diagnosis banding penyakit radang panggul akut yang memerlukan tata laksana berbeda (lihat bagian 5). Pemeriksaan spekulum dilakukan untuk menilai serviks dan mengambil sampel bila diperlukan pemeriksaan penunjang mikrobiologis.</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Kepkonsil No. HK.01.02/KKI/1318/2026, Area Kompetensi 2 — Kompetensi Medis.</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4. </w:t>
      </w:r>
      <w:r>
        <w:rPr>
          <w:rFonts w:ascii="Source Serif 4" w:cs="Source Serif 4" w:eastAsia="Source Serif 4" w:hAnsi="Source Serif 4"/>
          <w:b/>
          <w:bCs/>
          <w:color w:val="4F46E5"/>
          <w:sz w:val="30"/>
          <w:szCs w:val="30"/>
        </w:rPr>
        <w:t xml:space="preserve">Kriteria Diagnosis</w:t>
      </w:r>
    </w:p>
    <w:p>
      <w:pPr>
        <w:spacing w:after="160" w:line="300"/>
        <w:jc w:val="both"/>
      </w:pPr>
      <w:r>
        <w:rPr>
          <w:rFonts w:ascii="IBM Plex Sans" w:cs="IBM Plex Sans" w:eastAsia="IBM Plex Sans" w:hAnsi="IBM Plex Sans"/>
          <w:color w:val="334155"/>
          <w:sz w:val="21"/>
          <w:szCs w:val="21"/>
        </w:rPr>
        <w:t xml:space="preserve">Diagnosis definitif endometritis kronik ditegakkan secara histopatologis, bukan berdasarkan gejala klinis semata. Kriteria diagnosis meliputi:</w:t>
      </w:r>
    </w:p>
    <w:p>
      <w:pPr>
        <w:shd w:fill="F1F5F9" w:val="clear"/>
        <w:spacing w:after="160" w:before="80"/>
      </w:pPr>
      <w:r>
        <w:rPr>
          <w:rFonts w:ascii="IBM Plex Mono" w:cs="IBM Plex Mono" w:eastAsia="IBM Plex Mono" w:hAnsi="IBM Plex Mono"/>
          <w:color w:val="334155"/>
          <w:sz w:val="19"/>
          <w:szCs w:val="19"/>
        </w:rPr>
        <w:t xml:space="preserve">Kode diagnosis (telah diverifikasi ulang terhadap Tabel 7 Kepkonsil No. HK.01.02/KKI/1318/2026, entri No. 51): ICD-10 N71.1 — Chronic endometritis; ICD-11 GA01.1 — Chronic endometritis.</w:t>
      </w:r>
    </w:p>
    <w:p>
      <w:pPr>
        <w:pStyle w:val="ListParagraph"/>
        <w:numPr>
          <w:ilvl w:val="0"/>
          <w:numId w:val="1"/>
        </w:numPr>
        <w:spacing w:after="100" w:line="290"/>
      </w:pPr>
      <w:r>
        <w:rPr>
          <w:rFonts w:ascii="IBM Plex Sans" w:cs="IBM Plex Sans" w:eastAsia="IBM Plex Sans" w:hAnsi="IBM Plex Sans"/>
          <w:color w:val="334155"/>
          <w:sz w:val="21"/>
          <w:szCs w:val="21"/>
        </w:rPr>
        <w:t xml:space="preserve">Baku emas: identifikasi sel plasma (plasma cell) pada stroma endometrium melalui pemeriksaan histopatologi jaringan biopsi endometrium, dikonfirmasi dengan pewarnaan imunohistokimia CD138 (syndecan-1) yang meningkatkan sensitivitas dan spesifisitas deteksi dibandingkan pewarnaan Hematoksilin-Eosin (HE) konvensional.</w:t>
      </w:r>
    </w:p>
    <w:p>
      <w:pPr>
        <w:pStyle w:val="ListParagraph"/>
        <w:numPr>
          <w:ilvl w:val="0"/>
          <w:numId w:val="1"/>
        </w:numPr>
        <w:spacing w:after="100" w:line="290"/>
      </w:pPr>
      <w:r>
        <w:rPr>
          <w:rFonts w:ascii="IBM Plex Sans" w:cs="IBM Plex Sans" w:eastAsia="IBM Plex Sans" w:hAnsi="IBM Plex Sans"/>
          <w:color w:val="334155"/>
          <w:sz w:val="21"/>
          <w:szCs w:val="21"/>
        </w:rPr>
        <w:t xml:space="preserve">Ambang batas jumlah sel plasma yang dipakai sebagai kriteria positif bervariasi antarpusat layanan dan literatur (umumnya berkisar ≥5 sel plasma per 10 lapang pandang besar/high-power field pada pewarnaan CD138); laboratorium patologi anatomi setempat menetapkan ambang operasional sesuai protokol yang berlaku, mengingat belum ada standardisasi global yang seragam.</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Penanda imunohistokimia alternatif MUM-1 (multiple myeloma oncogene-1) menunjukkan akurasi dan reliabilitas tinggi dibandingkan CD138 pada studi multisenter, dan dapat dipertimbangkan sebagai pewarnaan pelengkap atau alternatif bila fasilitas tersedia.</w:t>
      </w:r>
    </w:p>
    <w:p>
      <w:pPr>
        <w:pStyle w:val="ListParagraph"/>
        <w:numPr>
          <w:ilvl w:val="0"/>
          <w:numId w:val="1"/>
        </w:numPr>
        <w:spacing w:after="100" w:line="290"/>
      </w:pPr>
      <w:r>
        <w:rPr>
          <w:rFonts w:ascii="IBM Plex Sans" w:cs="IBM Plex Sans" w:eastAsia="IBM Plex Sans" w:hAnsi="IBM Plex Sans"/>
          <w:color w:val="334155"/>
          <w:sz w:val="21"/>
          <w:szCs w:val="21"/>
        </w:rPr>
        <w:t xml:space="preserve">Temuan histeroskopi yang mendukung (bersifat sugestif, bukan diagnostik mandiri): mikropolip endometrium (&lt;1 mm), edema stroma difus, hiperemia fokal dengan pola mukosa 'strawberry', dan perdarahan stroma titik (stromal punctate bleeding). Sebuah tinjauan sistematis dan meta-analisis akurasi diagnostik terbaru menegaskan bahwa kriteria histeroskopik ini memiliki nilai duga yang bervariasi dan tetap memerlukan konfirmasi histopatologi sebagai baku emas.</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Penapisan mikrobiologis tambahan (kultur endometrium/serviks atau pemeriksaan amplifikasi asam nukleat) dapat dilakukan untuk mengarahkan pilihan antibiotik, terutama bila dicurigai patogen menular seksual atau pada kasus yang tidak berespons terhadap terapi lini pertama.</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Kepkonsil No. HK.01.02/KKI/1318/2026, Tabel 7 No. 51 (kolom ICD-10/ICD-11 dan Keterangan/Populasi).</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5. </w:t>
      </w:r>
      <w:r>
        <w:rPr>
          <w:rFonts w:ascii="Source Serif 4" w:cs="Source Serif 4" w:eastAsia="Source Serif 4" w:hAnsi="Source Serif 4"/>
          <w:b/>
          <w:bCs/>
          <w:color w:val="4F46E5"/>
          <w:sz w:val="30"/>
          <w:szCs w:val="30"/>
        </w:rPr>
        <w:t xml:space="preserve">Diagnosis Kerja dan Diagnosis Banding</w:t>
      </w:r>
    </w:p>
    <w:p>
      <w:pPr>
        <w:spacing w:after="160" w:line="300"/>
        <w:jc w:val="both"/>
      </w:pPr>
      <w:r>
        <w:rPr>
          <w:rFonts w:ascii="IBM Plex Sans" w:cs="IBM Plex Sans" w:eastAsia="IBM Plex Sans" w:hAnsi="IBM Plex Sans"/>
          <w:color w:val="334155"/>
          <w:sz w:val="21"/>
          <w:szCs w:val="21"/>
        </w:rPr>
        <w:t xml:space="preserve">Diagnosis kerja: Endometritis kronik tanpa infertilitas (ICD-10 N71.1; ICD-11 GA01.1), ditegakkan setelah konfirmasi histopatologi sesuai kriteria pada bagian 4, pada pasien tanpa keluhan atau rencana kesuburan yang sedang dievaluasi.</w:t>
      </w:r>
    </w:p>
    <w:p>
      <w:pPr>
        <w:spacing w:after="160" w:line="300"/>
        <w:jc w:val="both"/>
      </w:pPr>
      <w:r>
        <w:rPr>
          <w:rFonts w:ascii="IBM Plex Sans" w:cs="IBM Plex Sans" w:eastAsia="IBM Plex Sans" w:hAnsi="IBM Plex Sans"/>
          <w:color w:val="334155"/>
          <w:sz w:val="21"/>
          <w:szCs w:val="21"/>
        </w:rPr>
        <w:t xml:space="preserve">Diagnosis banding yang wajib disingkirkan, mengacu pada entri diagnosis lain dalam Tabel 7 Kepkonsil dengan gambaran klinis yang tumpang tindih:</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Penyakit radang panggul tanpa komplikasi (Tabel 7 No. 44; ICD-10 N73.9; ICD-11 GA05.0) — presentasi lebih akut dan berat, melibatkan tuba dan/atau ovarium, memerlukan tata laksana antibiotik spektrum luas segera sesuai pedoman infeksi menular seksual (lihat bagian 12).</w:t>
      </w:r>
    </w:p>
    <w:p>
      <w:pPr>
        <w:pStyle w:val="ListParagraph"/>
        <w:numPr>
          <w:ilvl w:val="0"/>
          <w:numId w:val="1"/>
        </w:numPr>
        <w:spacing w:after="100" w:line="290"/>
      </w:pPr>
      <w:r>
        <w:rPr>
          <w:rFonts w:ascii="IBM Plex Sans" w:cs="IBM Plex Sans" w:eastAsia="IBM Plex Sans" w:hAnsi="IBM Plex Sans"/>
          <w:color w:val="334155"/>
          <w:sz w:val="21"/>
          <w:szCs w:val="21"/>
        </w:rPr>
        <w:t xml:space="preserve">Endometritis akut (acute endometritis, ICD-10 N71.0) — gejala akut dengan demam dan nyeri hebat, umumnya berkaitan dengan persalinan atau prosedur intrauterin baru; memerlukan tata laksana antibiotik empirik segera dan berbeda dari alur PPK ini.</w:t>
      </w:r>
    </w:p>
    <w:p>
      <w:pPr>
        <w:pStyle w:val="ListParagraph"/>
        <w:numPr>
          <w:ilvl w:val="0"/>
          <w:numId w:val="1"/>
        </w:numPr>
        <w:spacing w:after="100" w:line="290"/>
      </w:pPr>
      <w:r>
        <w:rPr>
          <w:rFonts w:ascii="IBM Plex Sans" w:cs="IBM Plex Sans" w:eastAsia="IBM Plex Sans" w:hAnsi="IBM Plex Sans"/>
          <w:color w:val="334155"/>
          <w:sz w:val="21"/>
          <w:szCs w:val="21"/>
        </w:rPr>
        <w:t xml:space="preserve">Adenomiosis tanpa penyulit infertilitas (Tabel 7 No. 48; ICD-10 N80.0; ICD-11 GA11) — dapat memberikan nyeri panggul kronik dan perdarahan uterus abnormal yang tumpang tindih secara klinis.</w:t>
      </w:r>
    </w:p>
    <w:p>
      <w:pPr>
        <w:pStyle w:val="ListParagraph"/>
        <w:numPr>
          <w:ilvl w:val="0"/>
          <w:numId w:val="1"/>
        </w:numPr>
        <w:spacing w:after="100" w:line="290"/>
      </w:pPr>
      <w:r>
        <w:rPr>
          <w:rFonts w:ascii="IBM Plex Sans" w:cs="IBM Plex Sans" w:eastAsia="IBM Plex Sans" w:hAnsi="IBM Plex Sans"/>
          <w:color w:val="334155"/>
          <w:sz w:val="21"/>
          <w:szCs w:val="21"/>
        </w:rPr>
        <w:t xml:space="preserve">Polip endometrium (Tabel 7 No. 49; ICD-10 N84.0; ICD-11 GA16.0) — dapat menyebabkan gejala serupa; ditegakkan melalui USG transvaginal dan histeroskopi, dan dapat menyertai endometritis kronik sebagai faktor pencetus.</w:t>
      </w:r>
    </w:p>
    <w:p>
      <w:pPr>
        <w:pStyle w:val="ListParagraph"/>
        <w:numPr>
          <w:ilvl w:val="0"/>
          <w:numId w:val="1"/>
        </w:numPr>
        <w:spacing w:after="100" w:line="290"/>
      </w:pPr>
      <w:r>
        <w:rPr>
          <w:rFonts w:ascii="IBM Plex Sans" w:cs="IBM Plex Sans" w:eastAsia="IBM Plex Sans" w:hAnsi="IBM Plex Sans"/>
          <w:color w:val="334155"/>
          <w:sz w:val="21"/>
          <w:szCs w:val="21"/>
        </w:rPr>
        <w:t xml:space="preserve">Hiperplasia endometrium tanpa infertilitas (Tabel 7 No. 50; ICD-10 N85.0; ICD-11 GA16.0) — memerlukan konfirmasi histopatologi tersendiri; dapat menyertai atau menyerupai endometritis kronik pada perdarahan uterus abnormal.</w:t>
      </w:r>
    </w:p>
    <w:p>
      <w:pPr>
        <w:pStyle w:val="ListParagraph"/>
        <w:numPr>
          <w:ilvl w:val="0"/>
          <w:numId w:val="1"/>
        </w:numPr>
        <w:spacing w:after="100" w:line="290"/>
      </w:pPr>
      <w:r>
        <w:rPr>
          <w:rFonts w:ascii="IBM Plex Sans" w:cs="IBM Plex Sans" w:eastAsia="IBM Plex Sans" w:hAnsi="IBM Plex Sans"/>
          <w:color w:val="334155"/>
          <w:sz w:val="21"/>
          <w:szCs w:val="21"/>
        </w:rPr>
        <w:t xml:space="preserve">Endometriosis tanpa infertilitas (Tabel 7 No. 54; ICD-10 N80.9; ICD-11 GA10) — dapat memberikan nyeri panggul kronik yang tumpang tindih secara klinis.</w:t>
      </w:r>
    </w:p>
    <w:p>
      <w:pPr>
        <w:pStyle w:val="ListParagraph"/>
        <w:numPr>
          <w:ilvl w:val="0"/>
          <w:numId w:val="1"/>
        </w:numPr>
        <w:spacing w:after="100" w:line="290"/>
      </w:pPr>
      <w:r>
        <w:rPr>
          <w:rFonts w:ascii="IBM Plex Sans" w:cs="IBM Plex Sans" w:eastAsia="IBM Plex Sans" w:hAnsi="IBM Plex Sans"/>
          <w:color w:val="334155"/>
          <w:sz w:val="21"/>
          <w:szCs w:val="21"/>
        </w:rPr>
        <w:t xml:space="preserve">Keganasan endometrium — WAJIB disingkirkan pada perdarahan uterus abnormal persisten, khususnya pada pasien usia ≥45 tahun atau dengan faktor risiko (obesitas, riwayat tamoxifen, sindrom Lynch); lihat kriteria rujukan pada bagian 7.4. Diagnosis ini tidak memiliki entri tersendiri pada Tabel 7 Kepkonsil untuk lingkup spesialis umum dan disebutkan di sini sebagai kaidah kehati-hatian klinis baku.</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Kepkonsil No. HK.01.02/KKI/1318/2026, Tabel 7 No. 44, 48, 49, 50, 54.</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6. </w:t>
      </w:r>
      <w:r>
        <w:rPr>
          <w:rFonts w:ascii="Source Serif 4" w:cs="Source Serif 4" w:eastAsia="Source Serif 4" w:hAnsi="Source Serif 4"/>
          <w:b/>
          <w:bCs/>
          <w:color w:val="4F46E5"/>
          <w:sz w:val="30"/>
          <w:szCs w:val="30"/>
        </w:rPr>
        <w:t xml:space="preserve">Pemeriksaan Penunjang</w:t>
      </w:r>
    </w:p>
    <w:p>
      <w:pPr>
        <w:pStyle w:val="ListParagraph"/>
        <w:numPr>
          <w:ilvl w:val="0"/>
          <w:numId w:val="1"/>
        </w:numPr>
        <w:spacing w:after="100" w:line="290"/>
      </w:pPr>
      <w:r>
        <w:rPr>
          <w:rFonts w:ascii="IBM Plex Sans" w:cs="IBM Plex Sans" w:eastAsia="IBM Plex Sans" w:hAnsi="IBM Plex Sans"/>
          <w:color w:val="334155"/>
          <w:sz w:val="21"/>
          <w:szCs w:val="21"/>
        </w:rPr>
        <w:t xml:space="preserve">Ultrasonografi (USG) transvaginal — menilai ketebalan dan struktur endometrium, menyingkirkan polip, mioma submukosa, atau kelainan struktural lain.</w:t>
      </w:r>
    </w:p>
    <w:p>
      <w:pPr>
        <w:pStyle w:val="ListParagraph"/>
        <w:numPr>
          <w:ilvl w:val="0"/>
          <w:numId w:val="1"/>
        </w:numPr>
        <w:spacing w:after="100" w:line="290"/>
      </w:pPr>
      <w:r>
        <w:rPr>
          <w:rFonts w:ascii="IBM Plex Sans" w:cs="IBM Plex Sans" w:eastAsia="IBM Plex Sans" w:hAnsi="IBM Plex Sans"/>
          <w:color w:val="334155"/>
          <w:sz w:val="21"/>
          <w:szCs w:val="21"/>
        </w:rPr>
        <w:t xml:space="preserve">Biopsi endometrium (aspirasi Pipelle atau kuretase) untuk pemeriksaan histopatologi dengan pewarnaan HE dan imunohistokimia CD138 (atau MUM-1 sebagai alternatif) — pemeriksaan penunjang inti untuk konfirmasi diagnosis.</w:t>
      </w:r>
    </w:p>
    <w:p>
      <w:pPr>
        <w:pStyle w:val="ListParagraph"/>
        <w:numPr>
          <w:ilvl w:val="0"/>
          <w:numId w:val="1"/>
        </w:numPr>
        <w:spacing w:after="100" w:line="290"/>
      </w:pPr>
      <w:r>
        <w:rPr>
          <w:rFonts w:ascii="IBM Plex Sans" w:cs="IBM Plex Sans" w:eastAsia="IBM Plex Sans" w:hAnsi="IBM Plex Sans"/>
          <w:color w:val="334155"/>
          <w:sz w:val="21"/>
          <w:szCs w:val="21"/>
        </w:rPr>
        <w:t xml:space="preserve">Histeroskopi diagnostik — sebagai penunjang tambahan bila tersedia, untuk visualisasi langsung mukosa endometrium dan pengambilan biopsi terarah.</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Pemeriksaan mikrobiologis terarah (kultur endoserviks/endometrium, atau amplifikasi asam nukleat untuk Chlamydia trachomatis dan Neisseria gonorrhoeae) bila anamnesis atau faktor risiko mengarah pada etiologi menular seksual, atau pada kasus refrakter untuk menilai pola resistensi antimikroba.</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Pemeriksaan darah perifer lengkap bila terdapat kecurigaan proses infeksi aktif yang lebih luas.</w:t>
      </w:r>
    </w:p>
    <w:p>
      <w:pPr>
        <w:pStyle w:val="ListParagraph"/>
        <w:numPr>
          <w:ilvl w:val="0"/>
          <w:numId w:val="1"/>
        </w:numPr>
        <w:spacing w:after="100" w:line="290"/>
      </w:pPr>
      <w:r>
        <w:rPr>
          <w:rFonts w:ascii="IBM Plex Sans" w:cs="IBM Plex Sans" w:eastAsia="IBM Plex Sans" w:hAnsi="IBM Plex Sans"/>
          <w:color w:val="334155"/>
          <w:sz w:val="21"/>
          <w:szCs w:val="21"/>
        </w:rPr>
        <w:t xml:space="preserve">Pap smear/skrining serviks sesuai jadwal rutin, untuk menyingkirkan patologi serviks sebagai sumber gejala.</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Kepkonsil No. HK.01.02/KKI/1318/2026, Area Kompetensi 2 — Kompetensi Medis.</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7. </w:t>
      </w:r>
      <w:r>
        <w:rPr>
          <w:rFonts w:ascii="Source Serif 4" w:cs="Source Serif 4" w:eastAsia="Source Serif 4" w:hAnsi="Source Serif 4"/>
          <w:b/>
          <w:bCs/>
          <w:color w:val="4F46E5"/>
          <w:sz w:val="30"/>
          <w:szCs w:val="30"/>
        </w:rPr>
        <w:t xml:space="preserve">Tata Laksana</w:t>
      </w:r>
    </w:p>
    <w:p>
      <w:pPr>
        <w:spacing w:after="160" w:line="300"/>
        <w:jc w:val="both"/>
      </w:pPr>
      <w:r>
        <w:rPr>
          <w:rFonts w:ascii="IBM Plex Sans" w:cs="IBM Plex Sans" w:eastAsia="IBM Plex Sans" w:hAnsi="IBM Plex Sans"/>
          <w:color w:val="334155"/>
          <w:sz w:val="21"/>
          <w:szCs w:val="21"/>
        </w:rPr>
        <w:t xml:space="preserve">Tata laksana endometritis kronik tanpa infertilitas bersifat bertahap, dimulai dari terapi non-farmakologis dan farmakologis lini pertama, dengan tindakan bedah/prosedural dan rujukan subspesialis sebagai eskalasi bila diperlukan.</w:t>
      </w:r>
    </w:p>
    <w:p>
      <w:pPr>
        <w:pStyle w:val="Heading2"/>
        <w:spacing w:after="120" w:before="240"/>
      </w:pPr>
      <w:r>
        <w:rPr>
          <w:rFonts w:ascii="Source Serif 4" w:cs="Source Serif 4" w:eastAsia="Source Serif 4" w:hAnsi="Source Serif 4"/>
          <w:b/>
          <w:bCs/>
          <w:color w:val="4F46E5"/>
          <w:sz w:val="24"/>
          <w:szCs w:val="24"/>
        </w:rPr>
        <w:t xml:space="preserve">7.1 Tata Laksana Non-Farmakologis</w:t>
      </w:r>
    </w:p>
    <w:p>
      <w:pPr>
        <w:pStyle w:val="ListParagraph"/>
        <w:numPr>
          <w:ilvl w:val="0"/>
          <w:numId w:val="1"/>
        </w:numPr>
        <w:spacing w:after="100" w:line="290"/>
      </w:pPr>
      <w:r>
        <w:rPr>
          <w:rFonts w:ascii="IBM Plex Sans" w:cs="IBM Plex Sans" w:eastAsia="IBM Plex Sans" w:hAnsi="IBM Plex Sans"/>
          <w:color w:val="334155"/>
          <w:sz w:val="21"/>
          <w:szCs w:val="21"/>
        </w:rPr>
        <w:t xml:space="preserve">Edukasi mengenai sifat kondisi yang umumnya jinak dan dapat diterapi tuntas.</w:t>
      </w:r>
    </w:p>
    <w:p>
      <w:pPr>
        <w:pStyle w:val="ListParagraph"/>
        <w:numPr>
          <w:ilvl w:val="0"/>
          <w:numId w:val="1"/>
        </w:numPr>
        <w:spacing w:after="100" w:line="290"/>
      </w:pPr>
      <w:r>
        <w:rPr>
          <w:rFonts w:ascii="IBM Plex Sans" w:cs="IBM Plex Sans" w:eastAsia="IBM Plex Sans" w:hAnsi="IBM Plex Sans"/>
          <w:color w:val="334155"/>
          <w:sz w:val="21"/>
          <w:szCs w:val="21"/>
        </w:rPr>
        <w:t xml:space="preserve">Evaluasi dan pertimbangan pelepasan IUD bila diduga sebagai sumber peradangan persisten, disertai konseling metode kontrasepsi alternatif.</w:t>
      </w:r>
    </w:p>
    <w:p>
      <w:pPr>
        <w:pStyle w:val="ListParagraph"/>
        <w:numPr>
          <w:ilvl w:val="0"/>
          <w:numId w:val="1"/>
        </w:numPr>
        <w:spacing w:after="100" w:line="290"/>
      </w:pPr>
      <w:r>
        <w:rPr>
          <w:rFonts w:ascii="IBM Plex Sans" w:cs="IBM Plex Sans" w:eastAsia="IBM Plex Sans" w:hAnsi="IBM Plex Sans"/>
          <w:color w:val="334155"/>
          <w:sz w:val="21"/>
          <w:szCs w:val="21"/>
        </w:rPr>
        <w:t xml:space="preserve">Optimalisasi kebersihan genital dan edukasi perilaku seksual berisiko bila relevan.</w:t>
      </w:r>
    </w:p>
    <w:p>
      <w:pPr>
        <w:pStyle w:val="ListParagraph"/>
        <w:numPr>
          <w:ilvl w:val="0"/>
          <w:numId w:val="1"/>
        </w:numPr>
        <w:spacing w:after="100" w:line="290"/>
      </w:pPr>
      <w:r>
        <w:rPr>
          <w:rFonts w:ascii="IBM Plex Sans" w:cs="IBM Plex Sans" w:eastAsia="IBM Plex Sans" w:hAnsi="IBM Plex Sans"/>
          <w:color w:val="334155"/>
          <w:sz w:val="21"/>
          <w:szCs w:val="21"/>
        </w:rPr>
        <w:t xml:space="preserve">Bila ditemukan sisa jaringan produk konsepsi atau polip sebagai faktor pencetus, penanganan sumber (source control) menjadi prioritas sebelum atau bersamaan dengan terapi antibiotik.</w:t>
      </w:r>
    </w:p>
    <w:p>
      <w:pPr>
        <w:pStyle w:val="Heading2"/>
        <w:spacing w:after="120" w:before="240"/>
      </w:pPr>
      <w:r>
        <w:rPr>
          <w:rFonts w:ascii="Source Serif 4" w:cs="Source Serif 4" w:eastAsia="Source Serif 4" w:hAnsi="Source Serif 4"/>
          <w:b/>
          <w:bCs/>
          <w:color w:val="4F46E5"/>
          <w:sz w:val="24"/>
          <w:szCs w:val="24"/>
        </w:rPr>
        <w:t xml:space="preserve">7.2 Tata Laksana Farmakologis</w:t>
      </w:r>
    </w:p>
    <w:p>
      <w:pPr>
        <w:spacing w:after="160" w:line="300"/>
        <w:jc w:val="both"/>
      </w:pPr>
      <w:r>
        <w:rPr>
          <w:rFonts w:ascii="IBM Plex Sans" w:cs="IBM Plex Sans" w:eastAsia="IBM Plex Sans" w:hAnsi="IBM Plex Sans"/>
          <w:color w:val="334155"/>
          <w:sz w:val="21"/>
          <w:szCs w:val="21"/>
        </w:rPr>
        <w:t xml:space="preserve">Terapi antibiotik lini pertama adalah doksisiklin oral 100 mg dua kali sehari selama 14 hari. Sebuah uji klinis acak terkendali terbaru yang membandingkan doksisiklin tunggal dengan kombinasi levofloksasin dan tinidazol pada pasien dengan konfirmasi CD138 menunjukkan efektivitas yang setara antara kedua rejimen, dengan profil efek samping yang lebih baik pada doksisiklin tunggal — memperkuat posisi doksisiklin sebagai pilihan lini pertama yang disukai untuk kasus tanpa kecurigaan resistensi.</w:t>
      </w:r>
    </w:p>
    <w:p>
      <w:pPr>
        <w:spacing w:after="160" w:line="300"/>
        <w:jc w:val="both"/>
      </w:pPr>
      <w:r>
        <w:rPr>
          <w:rFonts w:ascii="IBM Plex Sans" w:cs="IBM Plex Sans" w:eastAsia="IBM Plex Sans" w:hAnsi="IBM Plex Sans"/>
          <w:color w:val="334155"/>
          <w:sz w:val="21"/>
          <w:szCs w:val="21"/>
        </w:rPr>
        <w:t xml:space="preserve">Kekhawatiran resistensi antimikroba pada endometritis kronik meningkat dari waktu ke waktu berdasarkan pemantauan pola kultur endometrium multisenter; hal ini menjadi dasar pentingnya pemeriksaan kultur atau uji kepekaan pada kasus yang tidak berespons terhadap terapi awal, alih-alih pengulangan empiris antibiotik yang sama tanpa evaluasi.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Bila terdapat kecurigaan keterlibatan kuman anaerob atau riwayat prosedur intrauterin baru, pertimbangkan kombinasi dengan metronidazol sesuai penilaian klinis.</w:t>
      </w:r>
    </w:p>
    <w:p>
      <w:pPr>
        <w:pStyle w:val="ListParagraph"/>
        <w:numPr>
          <w:ilvl w:val="0"/>
          <w:numId w:val="1"/>
        </w:numPr>
        <w:spacing w:after="100" w:line="290"/>
      </w:pPr>
      <w:r>
        <w:rPr>
          <w:rFonts w:ascii="IBM Plex Sans" w:cs="IBM Plex Sans" w:eastAsia="IBM Plex Sans" w:hAnsi="IBM Plex Sans"/>
          <w:color w:val="334155"/>
          <w:sz w:val="21"/>
          <w:szCs w:val="21"/>
        </w:rPr>
        <w:t xml:space="preserve">Bila hasil kultur/PCR menunjukkan patogen menular seksual spesifik (Chlamydia trachomatis, Neisseria gonorrhoeae), sesuaikan rejimen antibiotik dengan pedoman infeksi menular seksual yang berlaku serta terapi pasangan bila relevan.</w:t>
      </w:r>
    </w:p>
    <w:p>
      <w:pPr>
        <w:pStyle w:val="ListParagraph"/>
        <w:numPr>
          <w:ilvl w:val="0"/>
          <w:numId w:val="1"/>
        </w:numPr>
        <w:spacing w:after="100" w:line="290"/>
      </w:pPr>
      <w:r>
        <w:rPr>
          <w:rFonts w:ascii="IBM Plex Sans" w:cs="IBM Plex Sans" w:eastAsia="IBM Plex Sans" w:hAnsi="IBM Plex Sans"/>
          <w:color w:val="334155"/>
          <w:sz w:val="21"/>
          <w:szCs w:val="21"/>
        </w:rPr>
        <w:t xml:space="preserve">Evaluasi ulang klinis dilakukan setelah penyelesaian terapi; pada kasus dengan gejala menetap atau bila diperlukan konfirmasi objektif, biopsi endometrium ulang dapat dipertimbangkan untuk menilai resolusi infiltrasi sel plasma.</w:t>
      </w:r>
    </w:p>
    <w:p>
      <w:pPr>
        <w:pStyle w:val="ListParagraph"/>
        <w:numPr>
          <w:ilvl w:val="0"/>
          <w:numId w:val="1"/>
        </w:numPr>
        <w:spacing w:after="100" w:line="290"/>
      </w:pPr>
      <w:r>
        <w:rPr>
          <w:rFonts w:ascii="IBM Plex Sans" w:cs="IBM Plex Sans" w:eastAsia="IBM Plex Sans" w:hAnsi="IBM Plex Sans"/>
          <w:color w:val="334155"/>
          <w:sz w:val="21"/>
          <w:szCs w:val="21"/>
        </w:rPr>
        <w:t xml:space="preserve">Kegagalan terapi lini pertama atau kekambuhan berulang merupakan indikasi untuk pemeriksaan kultur terarah dan pertimbangan rejimen alternatif (mis. levofloksasin dikombinasikan dengan tinidazol) sesuai hasil kepekaan, bukan pengulangan doksisiklin tanpa evaluasi.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Alergi atau intoleransi doksisiklin: pertimbangkan alternatif spektrum luas sesuai pola resistensi lokal dan penilaian dokter spesialis.</w:t>
      </w:r>
    </w:p>
    <w:p>
      <w:pPr>
        <w:pStyle w:val="Heading2"/>
        <w:spacing w:after="120" w:before="240"/>
      </w:pPr>
      <w:r>
        <w:rPr>
          <w:rFonts w:ascii="Source Serif 4" w:cs="Source Serif 4" w:eastAsia="Source Serif 4" w:hAnsi="Source Serif 4"/>
          <w:b/>
          <w:bCs/>
          <w:color w:val="4F46E5"/>
          <w:sz w:val="24"/>
          <w:szCs w:val="24"/>
        </w:rPr>
        <w:t xml:space="preserve">7.3 Tata Laksana Bedah/Prosedural (bila relevan)</w:t>
      </w:r>
    </w:p>
    <w:p>
      <w:pPr>
        <w:spacing w:after="160" w:line="300"/>
        <w:jc w:val="both"/>
      </w:pPr>
      <w:r>
        <w:rPr>
          <w:rFonts w:ascii="IBM Plex Sans" w:cs="IBM Plex Sans" w:eastAsia="IBM Plex Sans" w:hAnsi="IBM Plex Sans"/>
          <w:color w:val="334155"/>
          <w:sz w:val="21"/>
          <w:szCs w:val="21"/>
        </w:rPr>
        <w:t xml:space="preserve">Tindakan bedah/prosedural bukan terapi lini pertama pada endometritis kronik tanpa komplikasi struktural, namun diindikasikan pada situasi berikut:</w:t>
      </w:r>
    </w:p>
    <w:p>
      <w:pPr>
        <w:pStyle w:val="ListParagraph"/>
        <w:numPr>
          <w:ilvl w:val="0"/>
          <w:numId w:val="1"/>
        </w:numPr>
        <w:spacing w:after="100" w:line="290"/>
      </w:pPr>
      <w:r>
        <w:rPr>
          <w:rFonts w:ascii="IBM Plex Sans" w:cs="IBM Plex Sans" w:eastAsia="IBM Plex Sans" w:hAnsi="IBM Plex Sans"/>
          <w:color w:val="334155"/>
          <w:sz w:val="21"/>
          <w:szCs w:val="21"/>
        </w:rPr>
        <w:t xml:space="preserve">Histeroskopi operatif untuk reseksi mikropolip atau polip endometrium yang persisten sebagai faktor pencetus inflamasi.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Evakuasi sisa jaringan intrauterin (kuretase) bila dicurigai retensi produk konsepsi.</w:t>
      </w:r>
    </w:p>
    <w:p>
      <w:pPr>
        <w:pStyle w:val="ListParagraph"/>
        <w:numPr>
          <w:ilvl w:val="0"/>
          <w:numId w:val="1"/>
        </w:numPr>
        <w:spacing w:after="100" w:line="290"/>
      </w:pPr>
      <w:r>
        <w:rPr>
          <w:rFonts w:ascii="IBM Plex Sans" w:cs="IBM Plex Sans" w:eastAsia="IBM Plex Sans" w:hAnsi="IBM Plex Sans"/>
          <w:color w:val="334155"/>
          <w:sz w:val="21"/>
          <w:szCs w:val="21"/>
        </w:rPr>
        <w:t xml:space="preserve">Miomektomi histeroskopik bila mioma submukosa teridentifikasi sebagai faktor risiko yang menyertai.</w:t>
      </w:r>
    </w:p>
    <w:p>
      <w:pPr>
        <w:pStyle w:val="Heading2"/>
        <w:spacing w:after="120" w:before="240"/>
      </w:pPr>
      <w:r>
        <w:rPr>
          <w:rFonts w:ascii="Source Serif 4" w:cs="Source Serif 4" w:eastAsia="Source Serif 4" w:hAnsi="Source Serif 4"/>
          <w:b/>
          <w:bCs/>
          <w:color w:val="4F46E5"/>
          <w:sz w:val="24"/>
          <w:szCs w:val="24"/>
        </w:rPr>
        <w:t xml:space="preserve">7.4 Kriteria Rujukan ke Subspesialis Onkologi Ginekologi (bila kondisi di luar kewenangan spesialis umum)</w:t>
      </w:r>
    </w:p>
    <w:p>
      <w:pPr>
        <w:spacing w:after="160" w:line="300"/>
        <w:jc w:val="both"/>
      </w:pPr>
      <w:r>
        <w:rPr>
          <w:rFonts w:ascii="IBM Plex Sans" w:cs="IBM Plex Sans" w:eastAsia="IBM Plex Sans" w:hAnsi="IBM Plex Sans"/>
          <w:color w:val="334155"/>
          <w:sz w:val="21"/>
          <w:szCs w:val="21"/>
        </w:rPr>
        <w:t xml:space="preserve">Endometritis kronik tanpa infertilitas pada dasarnya berada dalam kewenangan dokter spesialis Obstetri dan Ginekologi umum dan tidak secara rutin memerlukan rujukan subspesialis. Rujukan ke subspesialis Onkologi Ginekologi dipertimbangkan bila dijumpai salah satu kondisi berikut, karena berada di luar kewenangan tata laksana spesialis umum:</w:t>
      </w:r>
    </w:p>
    <w:p>
      <w:pPr>
        <w:pStyle w:val="ListParagraph"/>
        <w:numPr>
          <w:ilvl w:val="0"/>
          <w:numId w:val="1"/>
        </w:numPr>
        <w:spacing w:after="100" w:line="290"/>
      </w:pPr>
      <w:r>
        <w:rPr>
          <w:rFonts w:ascii="IBM Plex Sans" w:cs="IBM Plex Sans" w:eastAsia="IBM Plex Sans" w:hAnsi="IBM Plex Sans"/>
          <w:color w:val="334155"/>
          <w:sz w:val="21"/>
          <w:szCs w:val="21"/>
        </w:rPr>
        <w:t xml:space="preserve">Hasil histopatologi biopsi endometrium menunjukkan hiperplasia atipikal atau kecurigaan keganasan endometrium yang menyertai atau menjadi diagnosis banding perdarahan uterus abnormal.</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Perdarahan uterus abnormal persisten yang tidak membaik dengan terapi antibiotik adekuat, terutama pada pasien usia ≥45 tahun atau dengan faktor risiko keganasan endometrium (obesitas, riwayat terapi tamoxifen, riwayat keluarga sindrom Lynch/kanker kolorektal herediter non-poliposis).</w:t>
      </w:r>
    </w:p>
    <w:p>
      <w:pPr>
        <w:pStyle w:val="ListParagraph"/>
        <w:numPr>
          <w:ilvl w:val="0"/>
          <w:numId w:val="1"/>
        </w:numPr>
        <w:spacing w:after="100" w:line="290"/>
      </w:pPr>
      <w:r>
        <w:rPr>
          <w:rFonts w:ascii="IBM Plex Sans" w:cs="IBM Plex Sans" w:eastAsia="IBM Plex Sans" w:hAnsi="IBM Plex Sans"/>
          <w:color w:val="334155"/>
          <w:sz w:val="21"/>
          <w:szCs w:val="21"/>
        </w:rPr>
        <w:t xml:space="preserve">Temuan histopatologi yang ambigu atau memerlukan konfirmasi/opini kedua subspesialis untuk menyingkirkan keganasan.</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Kepkonsil No. HK.01.02/KKI/1318/2026, Area Kompetensi 2 (Kompetensi Medis) dan Area Kompetensi 6 (Praktik Berbasis Sistem, khusus alur rujukan antarjenjang kompetensi pada bagian 7.4).</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8. </w:t>
      </w:r>
      <w:r>
        <w:rPr>
          <w:rFonts w:ascii="Source Serif 4" w:cs="Source Serif 4" w:eastAsia="Source Serif 4" w:hAnsi="Source Serif 4"/>
          <w:b/>
          <w:bCs/>
          <w:color w:val="4F46E5"/>
          <w:sz w:val="30"/>
          <w:szCs w:val="30"/>
        </w:rPr>
        <w:t xml:space="preserve">Edukasi Pasien dan Keluarga</w:t>
      </w:r>
    </w:p>
    <w:p>
      <w:pPr>
        <w:pStyle w:val="ListParagraph"/>
        <w:numPr>
          <w:ilvl w:val="0"/>
          <w:numId w:val="1"/>
        </w:numPr>
        <w:spacing w:after="100" w:line="290"/>
      </w:pPr>
      <w:r>
        <w:rPr>
          <w:rFonts w:ascii="IBM Plex Sans" w:cs="IBM Plex Sans" w:eastAsia="IBM Plex Sans" w:hAnsi="IBM Plex Sans"/>
          <w:color w:val="334155"/>
          <w:sz w:val="21"/>
          <w:szCs w:val="21"/>
        </w:rPr>
        <w:t xml:space="preserve">Menjelaskan bahwa endometritis kronik umumnya merupakan kondisi jinak yang dapat diterapi tuntas dengan antibiotik, dan bukan merupakan tanda keganasan pada mayoritas kasus.</w:t>
      </w:r>
    </w:p>
    <w:p>
      <w:pPr>
        <w:pStyle w:val="ListParagraph"/>
        <w:numPr>
          <w:ilvl w:val="0"/>
          <w:numId w:val="1"/>
        </w:numPr>
        <w:spacing w:after="100" w:line="290"/>
      </w:pPr>
      <w:r>
        <w:rPr>
          <w:rFonts w:ascii="IBM Plex Sans" w:cs="IBM Plex Sans" w:eastAsia="IBM Plex Sans" w:hAnsi="IBM Plex Sans"/>
          <w:color w:val="334155"/>
          <w:sz w:val="21"/>
          <w:szCs w:val="21"/>
        </w:rPr>
        <w:t xml:space="preserve">Menekankan pentingnya kepatuhan menyelesaikan seluruh durasi terapi antibiotik (14 hari) meskipun gejala membaik lebih awal, untuk mencegah kekambuhan dan berkontribusi pada resistensi antibiotik.</w:t>
      </w:r>
    </w:p>
    <w:p>
      <w:pPr>
        <w:pStyle w:val="ListParagraph"/>
        <w:numPr>
          <w:ilvl w:val="0"/>
          <w:numId w:val="1"/>
        </w:numPr>
        <w:spacing w:after="100" w:line="290"/>
      </w:pPr>
      <w:r>
        <w:rPr>
          <w:rFonts w:ascii="IBM Plex Sans" w:cs="IBM Plex Sans" w:eastAsia="IBM Plex Sans" w:hAnsi="IBM Plex Sans"/>
          <w:color w:val="334155"/>
          <w:sz w:val="21"/>
          <w:szCs w:val="21"/>
        </w:rPr>
        <w:t xml:space="preserve">Memberikan informasi mengenai tanda bahaya yang memerlukan kunjungan ulang segera: demam tinggi, nyeri perut hebat, atau perdarahan banyak.</w:t>
      </w:r>
    </w:p>
    <w:p>
      <w:pPr>
        <w:pStyle w:val="ListParagraph"/>
        <w:numPr>
          <w:ilvl w:val="0"/>
          <w:numId w:val="1"/>
        </w:numPr>
        <w:spacing w:after="100" w:line="290"/>
      </w:pPr>
      <w:r>
        <w:rPr>
          <w:rFonts w:ascii="IBM Plex Sans" w:cs="IBM Plex Sans" w:eastAsia="IBM Plex Sans" w:hAnsi="IBM Plex Sans"/>
          <w:color w:val="334155"/>
          <w:sz w:val="21"/>
          <w:szCs w:val="21"/>
        </w:rPr>
        <w:t xml:space="preserve">Menjelaskan rencana kontrol ulang dan indikasi biopsi ulang bila gejala menetap.</w:t>
      </w:r>
    </w:p>
    <w:p>
      <w:pPr>
        <w:pStyle w:val="ListParagraph"/>
        <w:numPr>
          <w:ilvl w:val="0"/>
          <w:numId w:val="1"/>
        </w:numPr>
        <w:spacing w:after="100" w:line="290"/>
      </w:pPr>
      <w:r>
        <w:rPr>
          <w:rFonts w:ascii="IBM Plex Sans" w:cs="IBM Plex Sans" w:eastAsia="IBM Plex Sans" w:hAnsi="IBM Plex Sans"/>
          <w:color w:val="334155"/>
          <w:sz w:val="21"/>
          <w:szCs w:val="21"/>
        </w:rPr>
        <w:t xml:space="preserve">Mendiskusikan pilihan kontrasepsi, termasuk pertimbangan pelepasan/penggantian IUD bila relevan sebagai faktor pencetus.</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Kepkonsil No. HK.01.02/KKI/1318/2026, Area Kompetensi 4 — Interpersonal dan Komunikasi.</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9. </w:t>
      </w:r>
      <w:r>
        <w:rPr>
          <w:rFonts w:ascii="Source Serif 4" w:cs="Source Serif 4" w:eastAsia="Source Serif 4" w:hAnsi="Source Serif 4"/>
          <w:b/>
          <w:bCs/>
          <w:color w:val="4F46E5"/>
          <w:sz w:val="30"/>
          <w:szCs w:val="30"/>
        </w:rPr>
        <w:t xml:space="preserve">Prognosis</w:t>
      </w:r>
    </w:p>
    <w:p>
      <w:pPr>
        <w:spacing w:after="160" w:line="300"/>
        <w:jc w:val="both"/>
      </w:pPr>
      <w:r>
        <w:rPr>
          <w:rFonts w:ascii="IBM Plex Sans" w:cs="IBM Plex Sans" w:eastAsia="IBM Plex Sans" w:hAnsi="IBM Plex Sans"/>
          <w:color w:val="334155"/>
          <w:sz w:val="21"/>
          <w:szCs w:val="21"/>
        </w:rPr>
        <w:t xml:space="preserve">Prognosis endometritis kronik tanpa infertilitas umumnya baik dengan terapi antibiotik adekuat. Ad vitam: bonam. Ad sanationam: bonam, dengan tingkat kesembuhan histopatologis yang tinggi setelah satu siklus antibiotik lini pertama pada mayoritas kasus, sebagaimana ditunjukkan oleh uji klinis acak terbaru yang mengonfirmasi kesembuhan melalui biopsi ulang negatif CD138. Ad functionam: bonam untuk fungsi ginekologik umum. Kekambuhan dapat terjadi terutama bila faktor pencetus (IUD, sisa jaringan, polip) belum teratasi, atau pada kasus dengan pola resistensi antimikroba yang tidak tertangani; angka kekambuhan spesifik pada populasi Indonesia belum tersedia secara resmi [DATA: rujuk laporan/registri resmi terbaru — mis. POGI, Kemenkes].</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Kepkonsil No. HK.01.02/KKI/1318/2026, Area Kompetensi 3 — Penguasaan Pengetahuan Medis.</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10. </w:t>
      </w:r>
      <w:r>
        <w:rPr>
          <w:rFonts w:ascii="Source Serif 4" w:cs="Source Serif 4" w:eastAsia="Source Serif 4" w:hAnsi="Source Serif 4"/>
          <w:b/>
          <w:bCs/>
          <w:color w:val="4F46E5"/>
          <w:sz w:val="30"/>
          <w:szCs w:val="30"/>
        </w:rPr>
        <w:t xml:space="preserve">Tingkat Evidens dan Rekomendasi</w:t>
      </w:r>
    </w:p>
    <w:p>
      <w:pPr>
        <w:spacing w:after="160" w:line="300"/>
        <w:jc w:val="both"/>
      </w:pPr>
      <w:r>
        <w:rPr>
          <w:rFonts w:ascii="IBM Plex Sans" w:cs="IBM Plex Sans" w:eastAsia="IBM Plex Sans" w:hAnsi="IBM Plex Sans"/>
          <w:color w:val="334155"/>
          <w:sz w:val="21"/>
          <w:szCs w:val="21"/>
        </w:rPr>
        <w:t xml:space="preserve">Penilaian menggunakan skala evidens dan rekomendasi standar yang lazim dipakai pada Panduan Praktik Klinis berbasis PNPK (skala evidens I hingga III dengan grade rekomendasi A-C):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9"/>
                <w:szCs w:val="19"/>
              </w:rPr>
              <w:t xml:space="preserve">Aspek</w:t>
            </w:r>
          </w:p>
        </w:tc>
        <w:tc>
          <w:tcPr>
            <w:tcW w:type="dxa" w:w="2340"/>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9"/>
                <w:szCs w:val="19"/>
              </w:rPr>
              <w:t xml:space="preserve">Tingkat Evidens</w:t>
            </w:r>
          </w:p>
        </w:tc>
        <w:tc>
          <w:tcPr>
            <w:tcW w:type="dxa" w:w="2340"/>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9"/>
                <w:szCs w:val="19"/>
              </w:rPr>
              <w:t xml:space="preserve">Rekomendasi</w:t>
            </w:r>
          </w:p>
        </w:tc>
        <w:tc>
          <w:tcPr>
            <w:tcW w:type="dxa" w:w="2340"/>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9"/>
                <w:szCs w:val="19"/>
              </w:rPr>
              <w:t xml:space="preserve">Sumber</w:t>
            </w:r>
          </w:p>
        </w:tc>
      </w:tr>
      <w:tr>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Doksisiklin monoterapi sebagai lini pertama</w:t>
            </w:r>
          </w:p>
        </w:tc>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I</w:t>
            </w:r>
          </w:p>
        </w:tc>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A</w:t>
            </w:r>
          </w:p>
        </w:tc>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Uji klinis acak terkendali (Liu dkk., 2026)</w:t>
            </w:r>
          </w:p>
        </w:tc>
      </w:tr>
      <w:tr>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Diagnosis histopatologi dengan imunohistokimia CD138</w:t>
            </w:r>
          </w:p>
        </w:tc>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II-2</w:t>
            </w:r>
          </w:p>
        </w:tc>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B</w:t>
            </w:r>
          </w:p>
        </w:tc>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Studi observasional dan tinjauan sistematis multisenter (Vitagliano dkk., 2022)</w:t>
            </w:r>
          </w:p>
        </w:tc>
      </w:tr>
      <w:tr>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MUM-1 sebagai penanda imunohistokimia alternatif</w:t>
            </w:r>
          </w:p>
        </w:tc>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II-2</w:t>
            </w:r>
          </w:p>
        </w:tc>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B</w:t>
            </w:r>
          </w:p>
        </w:tc>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Studi komparatif multisenter (Cicinelli dkk., 2022)</w:t>
            </w:r>
          </w:p>
        </w:tc>
      </w:tr>
      <w:tr>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Kriteria histeroskopik sebagai penunjang (bukan diagnostik mandiri)</w:t>
            </w:r>
          </w:p>
        </w:tc>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I</w:t>
            </w:r>
          </w:p>
        </w:tc>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B</w:t>
            </w:r>
          </w:p>
        </w:tc>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Tinjauan sistematis dan meta-analisis akurasi diagnostik (Riemma dkk., 2025)</w:t>
            </w:r>
          </w:p>
        </w:tc>
      </w:tr>
      <w:tr>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Ambang jumlah sel plasma sebagai kriteria diagnosis</w:t>
            </w:r>
          </w:p>
        </w:tc>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III</w:t>
            </w:r>
          </w:p>
        </w:tc>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C</w:t>
            </w:r>
          </w:p>
        </w:tc>
        <w:tc>
          <w:tcPr>
            <w:tcW w:type="dxa" w:w="234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Konsensus metodologis; variasi ambang batas antarstudi belum terstandardisasi global</w:t>
            </w:r>
          </w:p>
        </w:tc>
      </w:tr>
      <w:tr>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Rujukan subspesialis pada kecurigaan keganasan endometrium</w:t>
            </w:r>
          </w:p>
        </w:tc>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III</w:t>
            </w:r>
          </w:p>
        </w:tc>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C</w:t>
            </w:r>
          </w:p>
        </w:tc>
        <w:tc>
          <w:tcPr>
            <w:tcW w:type="dxa" w:w="234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Konsensus praktik klinis dan prinsip kehati-hatian onkologik</w:t>
            </w:r>
          </w:p>
        </w:tc>
      </w:tr>
    </w:tbl>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Kepkonsil No. HK.01.02/KKI/1318/2026 jo. kerangka evidens PNPK Kementerian Kesehatan.</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11. </w:t>
      </w:r>
      <w:r>
        <w:rPr>
          <w:rFonts w:ascii="Source Serif 4" w:cs="Source Serif 4" w:eastAsia="Source Serif 4" w:hAnsi="Source Serif 4"/>
          <w:b/>
          <w:bCs/>
          <w:color w:val="4F46E5"/>
          <w:sz w:val="30"/>
          <w:szCs w:val="30"/>
        </w:rPr>
        <w:t xml:space="preserve">Indikator Medis</w:t>
      </w:r>
    </w:p>
    <w:p>
      <w:pPr>
        <w:spacing w:after="160" w:line="300"/>
        <w:jc w:val="both"/>
      </w:pPr>
      <w:r>
        <w:rPr>
          <w:rFonts w:ascii="IBM Plex Sans" w:cs="IBM Plex Sans" w:eastAsia="IBM Plex Sans" w:hAnsi="IBM Plex Sans"/>
          <w:color w:val="334155"/>
          <w:sz w:val="21"/>
          <w:szCs w:val="21"/>
        </w:rPr>
        <w:t xml:space="preserve">Indikator keberhasilan tata laksana yang terukur untuk audit mutu pelayanan pada PPK ini: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Persentase kasus dengan konfirmasi histopatologi (HE dan/atau CD138/MUM-1) sebelum inisiasi terapi antibiotik — target 100% dari kasus yang didiagnosis endometritis kronik.</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Persentase pasien yang menyelesaikan regimen antibiotik penuh (14 hari) sesuai resep.</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Persentase perbaikan gejala klinis (perdarahan uterus abnormal, nyeri panggul, keputihan) pada evaluasi kontrol pascaterapi.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Persentase kasus dengan rujukan tepat waktu ke subspesialis Onkologi Ginekologi pada temuan histopatologi atipikal atau kecurigaan keganasan.</w:t>
      </w:r>
    </w:p>
    <w:p>
      <w:pPr>
        <w:pStyle w:val="ListParagraph"/>
        <w:numPr>
          <w:ilvl w:val="0"/>
          <w:numId w:val="1"/>
        </w:numPr>
        <w:spacing w:after="100" w:line="290"/>
      </w:pPr>
      <w:r>
        <w:rPr>
          <w:rFonts w:ascii="IBM Plex Sans" w:cs="IBM Plex Sans" w:eastAsia="IBM Plex Sans" w:hAnsi="IBM Plex Sans"/>
          <w:color w:val="334155"/>
          <w:sz w:val="21"/>
          <w:szCs w:val="21"/>
        </w:rPr>
        <w:t xml:space="preserve">Angka kekambuhan dalam 6-12 bulan pascaterapi [DATA: rujuk laporan/registri resmi terbaru].</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Kepkonsil No. HK.01.02/KKI/1318/2026, Area Kompetensi 1 — Keselamatan Pasien dan Pelayanan Kesehatan.</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12. </w:t>
      </w:r>
      <w:r>
        <w:rPr>
          <w:rFonts w:ascii="Source Serif 4" w:cs="Source Serif 4" w:eastAsia="Source Serif 4" w:hAnsi="Source Serif 4"/>
          <w:b/>
          <w:bCs/>
          <w:color w:val="4F46E5"/>
          <w:sz w:val="30"/>
          <w:szCs w:val="30"/>
        </w:rPr>
        <w:t xml:space="preserve">Perbandingan dan Pengayaan Standar Internasional</w:t>
      </w:r>
    </w:p>
    <w:p>
      <w:pPr>
        <w:spacing w:after="160" w:line="300"/>
        <w:jc w:val="both"/>
      </w:pPr>
      <w:r>
        <w:rPr>
          <w:rFonts w:ascii="IBM Plex Sans" w:cs="IBM Plex Sans" w:eastAsia="IBM Plex Sans" w:hAnsi="IBM Plex Sans"/>
          <w:color w:val="334155"/>
          <w:sz w:val="21"/>
          <w:szCs w:val="21"/>
        </w:rPr>
        <w:t xml:space="preserve">Standar nasional (Kepkonsil) menetapkan endometritis kronik tanpa infertilitas sebagai entri diagnosis tersendiri (Tabel 7 No. 51) dalam kewenangan spesialis Obstetri dan Ginekologi umum, dengan tata laksana berbasis konfirmasi histopatologi dan antibiotik lini pertama doksisiklin.</w:t>
      </w:r>
    </w:p>
    <w:p>
      <w:pPr>
        <w:spacing w:after="160" w:line="300"/>
        <w:jc w:val="both"/>
      </w:pPr>
      <w:r>
        <w:rPr>
          <w:rFonts w:ascii="IBM Plex Sans" w:cs="IBM Plex Sans" w:eastAsia="IBM Plex Sans" w:hAnsi="IBM Plex Sans"/>
          <w:color w:val="334155"/>
          <w:sz w:val="21"/>
          <w:szCs w:val="21"/>
        </w:rPr>
        <w:t xml:space="preserve">British Association for Sexual Health and HIV (BASHH) melalui pedoman nasional Britania Raya untuk tata laksana penyakit radang panggul memposisikan endometritis sebagai bagian dari spektrum infeksi asendens saluran genital atas yang juga mencakup salpingitis, parametritis, dan ooforitis, dengan penekanan pada terapi antibiotik empirik spektrum luas segera tanpa menunggu konfirmasi mikrobiologis. Pedoman Green-top Guideline No. 32 Royal College of Obstetricians and Gynaecologists (RCOG) yang sebelumnya membahas topik ini telah diarsipkan oleh RCOG dan digantikan rujukannya oleh pedoman BASHH tersebut. Standar internasional ini secara spesifik menyasar presentasi akut/simptomatik penyakit radang panggul, berbeda dari fokus PPK ini yang menyasar endometritis kronik dengan gejala samar dan diagnosis histopatologis. Praktik di Indonesia pada PPK ini mengikuti standar nasional Kepkonsil untuk populasi tanpa infertilitas, sementara alur BASHH tetap menjadi rujukan tata laksana bila presentasi klinis mengarah pada penyakit radang panggul akut (lihat diagnosis banding, bagian 5).</w:t>
      </w:r>
    </w:p>
    <w:p>
      <w:pPr>
        <w:spacing w:after="160" w:line="300"/>
        <w:jc w:val="both"/>
      </w:pPr>
      <w:r>
        <w:rPr>
          <w:rFonts w:ascii="IBM Plex Sans" w:cs="IBM Plex Sans" w:eastAsia="IBM Plex Sans" w:hAnsi="IBM Plex Sans"/>
          <w:color w:val="334155"/>
          <w:sz w:val="21"/>
          <w:szCs w:val="21"/>
        </w:rPr>
        <w:t xml:space="preserve">Tinjauan sistematis dan meta-analisis independen mengenai dampak endometritis kronik dan terapinya pada luaran reproduksi merekomendasikan ambang diagnostik berbasis jumlah sel plasma CD138-positif per lapang pandang besar serta terapi antibiotik lini pertama sebagai standar praktik — sejalan dengan kriteria diagnosis dan tata laksana farmakologis pada PPK ini (bagian 4 dan 7.2). Perlu dicatat bahwa mayoritas literatur ilmiah mengenai endometritis kronik, termasuk tinjauan sistematis tersebut, dikembangkan dalam konteks populasi infertilitas atau kegagalan implantasi berulang, bukan populasi tanpa infertilitas yang menjadi cakupan PPK ini. Perbedaan konteks populasi ini menjadi alasan utama pemisahan entri diagnosis 'dengan' dan 'tanpa' infertilitas dalam Tabel 7 Kepkonsil, dan kehati-hatian diperlukan saat mengekstrapolasi bukti dari populasi infertilitas ke populasi PPK ini.</w:t>
      </w:r>
    </w:p>
    <w:p>
      <w:pPr>
        <w:spacing w:after="160" w:line="300"/>
        <w:jc w:val="both"/>
      </w:pPr>
      <w:r>
        <w:rPr>
          <w:rFonts w:ascii="IBM Plex Sans" w:cs="IBM Plex Sans" w:eastAsia="IBM Plex Sans" w:hAnsi="IBM Plex Sans"/>
          <w:color w:val="334155"/>
          <w:sz w:val="21"/>
          <w:szCs w:val="21"/>
        </w:rPr>
        <w:t xml:space="preserve">WHO tidak menerbitkan pedoman khusus berdiri sendiri untuk endometritis kronik di luar konteks pascapersalinan. Pedoman WHO mengenai perawatan pascapersalinan dan bayi baru lahir (WHO recommendations on maternal and newborn care for a positive postnatal experience, 2022) menjadi rujukan pelengkap untuk pencegahan faktor risiko pascapersalinan (deteksi dini infeksi, penanganan retensio jaringan) yang relevan dengan pencegahan endometritis kronik pada PPK ini, meskipun berfokus pada periode pascapersalinan dan bukan pada tata laksana definitif endometritis kronik itu sendiri.</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Perbandingan disusun sesuai Aturan 2 Perintah Umum — non-superior terhadap Kepkonsil.</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13. </w:t>
      </w:r>
      <w:r>
        <w:rPr>
          <w:rFonts w:ascii="Source Serif 4" w:cs="Source Serif 4" w:eastAsia="Source Serif 4" w:hAnsi="Source Serif 4"/>
          <w:b/>
          <w:bCs/>
          <w:color w:val="4F46E5"/>
          <w:sz w:val="30"/>
          <w:szCs w:val="30"/>
        </w:rPr>
        <w:t xml:space="preserve">Kepustakaan</w:t>
      </w:r>
    </w:p>
    <w:p>
      <w:pPr>
        <w:pStyle w:val="ListParagraph"/>
        <w:numPr>
          <w:ilvl w:val="0"/>
          <w:numId w:val="1"/>
        </w:numPr>
        <w:spacing w:after="100" w:line="290"/>
      </w:pPr>
      <w:r>
        <w:rPr>
          <w:rFonts w:ascii="IBM Plex Sans" w:cs="IBM Plex Sans" w:eastAsia="IBM Plex Sans" w:hAnsi="IBM Plex Sans"/>
          <w:color w:val="334155"/>
          <w:sz w:val="21"/>
          <w:szCs w:val="21"/>
        </w:rPr>
        <w:t xml:space="preserve">Keputusan Ketua Konsil Kesehatan Indonesia No. HK.01.02/KKI/1318/2026 tentang Standar Kompetensi Dokter Spesialis dan Subspesialis Bidang Obstetri dan Ginekologi, Lampiran Tabel 7 No. 44, 48, 49, 50, 51, 54 dan Daftar Istilah.</w:t>
      </w:r>
    </w:p>
    <w:p>
      <w:pPr>
        <w:pStyle w:val="ListParagraph"/>
        <w:numPr>
          <w:ilvl w:val="0"/>
          <w:numId w:val="1"/>
        </w:numPr>
        <w:spacing w:after="100" w:line="290"/>
      </w:pPr>
      <w:r>
        <w:rPr>
          <w:rFonts w:ascii="IBM Plex Sans" w:cs="IBM Plex Sans" w:eastAsia="IBM Plex Sans" w:hAnsi="IBM Plex Sans"/>
          <w:color w:val="334155"/>
          <w:sz w:val="21"/>
          <w:szCs w:val="21"/>
        </w:rPr>
        <w:t xml:space="preserve">Liu Y, Zhao Z, Jiang X, You X, Qu D. Doxycycline versus levofloxacin combined with tinidazole for treating chronic endometritis: a randomized controlled trial. American Journal of Obstetrics and Gynecology. 2026;234(1):141-148.</w:t>
      </w:r>
    </w:p>
    <w:p>
      <w:pPr>
        <w:pStyle w:val="ListParagraph"/>
        <w:numPr>
          <w:ilvl w:val="0"/>
          <w:numId w:val="1"/>
        </w:numPr>
        <w:spacing w:after="100" w:line="290"/>
      </w:pPr>
      <w:r>
        <w:rPr>
          <w:rFonts w:ascii="IBM Plex Sans" w:cs="IBM Plex Sans" w:eastAsia="IBM Plex Sans" w:hAnsi="IBM Plex Sans"/>
          <w:color w:val="334155"/>
          <w:sz w:val="21"/>
          <w:szCs w:val="21"/>
        </w:rPr>
        <w:t xml:space="preserve">Riemma G, Parry JP, De Franciscis P, Carugno J, Lettieri D, Cobellis L, dkk. Hysteroscopic criteria for the diagnosis of chronic endometritis: a systematic review and diagnostic test accuracy meta-analysis. American Journal of Obstetrics and Gynecology. 2025;233:12-24.</w:t>
      </w:r>
    </w:p>
    <w:p>
      <w:pPr>
        <w:pStyle w:val="ListParagraph"/>
        <w:numPr>
          <w:ilvl w:val="0"/>
          <w:numId w:val="1"/>
        </w:numPr>
        <w:spacing w:after="100" w:line="290"/>
      </w:pPr>
      <w:r>
        <w:rPr>
          <w:rFonts w:ascii="IBM Plex Sans" w:cs="IBM Plex Sans" w:eastAsia="IBM Plex Sans" w:hAnsi="IBM Plex Sans"/>
          <w:color w:val="334155"/>
          <w:sz w:val="21"/>
          <w:szCs w:val="21"/>
        </w:rPr>
        <w:t xml:space="preserve">Yan X, Jiao J, Wang X. The pathogenesis, diagnosis, and treatment of chronic endometritis: a comprehensive review. Frontiers in Endocrinology. 2025;16:1603570.</w:t>
      </w:r>
    </w:p>
    <w:p>
      <w:pPr>
        <w:pStyle w:val="ListParagraph"/>
        <w:numPr>
          <w:ilvl w:val="0"/>
          <w:numId w:val="1"/>
        </w:numPr>
        <w:spacing w:after="100" w:line="290"/>
      </w:pPr>
      <w:r>
        <w:rPr>
          <w:rFonts w:ascii="IBM Plex Sans" w:cs="IBM Plex Sans" w:eastAsia="IBM Plex Sans" w:hAnsi="IBM Plex Sans"/>
          <w:color w:val="334155"/>
          <w:sz w:val="21"/>
          <w:szCs w:val="21"/>
        </w:rPr>
        <w:t xml:space="preserve">Cicinelli E, Haimovich S, De Ziegler D, Raz N, Ben-Tzur D, Andrisani A, dkk. MUM-1 immunohistochemistry has high accuracy and reliability in the diagnosis of chronic endometritis: a multi-centre comparative study with CD-138 immunostaining. Journal of Assisted Reproduction and Genetics. 2022;39:219-226.</w:t>
      </w:r>
    </w:p>
    <w:p>
      <w:pPr>
        <w:pStyle w:val="ListParagraph"/>
        <w:numPr>
          <w:ilvl w:val="0"/>
          <w:numId w:val="1"/>
        </w:numPr>
        <w:spacing w:after="100" w:line="290"/>
      </w:pPr>
      <w:r>
        <w:rPr>
          <w:rFonts w:ascii="IBM Plex Sans" w:cs="IBM Plex Sans" w:eastAsia="IBM Plex Sans" w:hAnsi="IBM Plex Sans"/>
          <w:color w:val="334155"/>
          <w:sz w:val="21"/>
          <w:szCs w:val="21"/>
        </w:rPr>
        <w:t xml:space="preserve">Cicinelli E, Nicolì P, Vimercati A, Cicinelli R, Marinaccio M, Matteo M, de Ziegler D, Vitagliano A. High prevalence of chronic endometritis in women with nonstructural abnormal uterine bleeding and benefits of antimicrobial treatment on blood loss pattern: a prospective, observational study. International Journal of Gynecology and Obstetrics. 2025.</w:t>
      </w:r>
    </w:p>
    <w:p>
      <w:pPr>
        <w:pStyle w:val="ListParagraph"/>
        <w:numPr>
          <w:ilvl w:val="0"/>
          <w:numId w:val="1"/>
        </w:numPr>
        <w:spacing w:after="100" w:line="290"/>
      </w:pPr>
      <w:r>
        <w:rPr>
          <w:rFonts w:ascii="IBM Plex Sans" w:cs="IBM Plex Sans" w:eastAsia="IBM Plex Sans" w:hAnsi="IBM Plex Sans"/>
          <w:color w:val="334155"/>
          <w:sz w:val="21"/>
          <w:szCs w:val="21"/>
        </w:rPr>
        <w:t xml:space="preserve">Cicinelli E, Nicolì P, Vimercati A, Cicinelli R, Marinaccio M, Matteo M, de Ziegler D, Vitagliano A. Increasing antimicrobial resistance to first-line therapies in chronic endometritis: a 2020-2024 cross-sectional study. Journal of Clinical Medicine. 2025;14(14).</w:t>
      </w:r>
    </w:p>
    <w:p>
      <w:pPr>
        <w:pStyle w:val="ListParagraph"/>
        <w:numPr>
          <w:ilvl w:val="0"/>
          <w:numId w:val="1"/>
        </w:numPr>
        <w:spacing w:after="100" w:line="290"/>
      </w:pPr>
      <w:r>
        <w:rPr>
          <w:rFonts w:ascii="IBM Plex Sans" w:cs="IBM Plex Sans" w:eastAsia="IBM Plex Sans" w:hAnsi="IBM Plex Sans"/>
          <w:color w:val="334155"/>
          <w:sz w:val="21"/>
          <w:szCs w:val="21"/>
        </w:rPr>
        <w:t xml:space="preserve">Vitagliano A, Laganà AS, De Ziegler D, Cicinelli R, Santarsiero CM, Buzzaccarini G, Chiantera V, Cicinelli E, Marinaccio M. Chronic endometritis in infertile women: impact of untreated disease, plasma cell count and antibiotic therapy on IVF outcome — a systematic review and meta-analysis. Diagnostics. 2022;12(9):2250.</w:t>
      </w:r>
    </w:p>
    <w:p>
      <w:pPr>
        <w:pStyle w:val="ListParagraph"/>
        <w:numPr>
          <w:ilvl w:val="0"/>
          <w:numId w:val="1"/>
        </w:numPr>
        <w:spacing w:after="100" w:line="290"/>
      </w:pPr>
      <w:r>
        <w:rPr>
          <w:rFonts w:ascii="IBM Plex Sans" w:cs="IBM Plex Sans" w:eastAsia="IBM Plex Sans" w:hAnsi="IBM Plex Sans"/>
          <w:color w:val="334155"/>
          <w:sz w:val="21"/>
          <w:szCs w:val="21"/>
        </w:rPr>
        <w:t xml:space="preserve">British Association for Sexual Health and HIV. United Kingdom National Guideline for the Management of Pelvic Inflammatory Disease (2019 Interim Update). Ross J, Cole M, Evans C, Lyons D, Dean G, Cousins D.</w:t>
      </w:r>
    </w:p>
    <w:p>
      <w:pPr>
        <w:pStyle w:val="ListParagraph"/>
        <w:numPr>
          <w:ilvl w:val="0"/>
          <w:numId w:val="1"/>
        </w:numPr>
        <w:spacing w:after="100" w:line="290"/>
      </w:pPr>
      <w:r>
        <w:rPr>
          <w:rFonts w:ascii="IBM Plex Sans" w:cs="IBM Plex Sans" w:eastAsia="IBM Plex Sans" w:hAnsi="IBM Plex Sans"/>
          <w:color w:val="334155"/>
          <w:sz w:val="21"/>
          <w:szCs w:val="21"/>
        </w:rPr>
        <w:t xml:space="preserve">Royal College of Obstetricians and Gynaecologists. Pelvic Inflammatory Disease (Green-top Guideline No. 32) — status diarsipkan; lihat rujukan pengganti BASHH di atas.</w:t>
      </w:r>
    </w:p>
    <w:p>
      <w:pPr>
        <w:pStyle w:val="ListParagraph"/>
        <w:numPr>
          <w:ilvl w:val="0"/>
          <w:numId w:val="1"/>
        </w:numPr>
        <w:spacing w:after="100" w:line="290"/>
      </w:pPr>
      <w:r>
        <w:rPr>
          <w:rFonts w:ascii="IBM Plex Sans" w:cs="IBM Plex Sans" w:eastAsia="IBM Plex Sans" w:hAnsi="IBM Plex Sans"/>
          <w:color w:val="334155"/>
          <w:sz w:val="21"/>
          <w:szCs w:val="21"/>
        </w:rPr>
        <w:t xml:space="preserve">World Health Organization. WHO recommendations on maternal and newborn care for a positive postnatal experience. Geneva: World Health Organization; 2022.</w:t>
      </w:r>
    </w:p>
    <w:p>
      <w:pPr>
        <w:pBdr>
          <w:left w:val="single" w:color="B45309" w:sz="24" w:space="8"/>
        </w:pBdr>
        <w:shd w:fill="FEF3E2" w:val="clear"/>
        <w:spacing w:after="220" w:before="60"/>
        <w:ind w:left="120"/>
      </w:pPr>
      <w:r>
        <w:rPr>
          <w:rFonts w:ascii="IBM Plex Sans" w:cs="IBM Plex Sans" w:eastAsia="IBM Plex Sans" w:hAnsi="IBM Plex Sans"/>
          <w:b/>
          <w:bCs/>
          <w:color w:val="B45309"/>
          <w:sz w:val="19"/>
          <w:szCs w:val="19"/>
        </w:rPr>
        <w:t xml:space="preserve">Dasar Regulasi — </w:t>
      </w:r>
      <w:r>
        <w:rPr>
          <w:rFonts w:ascii="IBM Plex Sans" w:cs="IBM Plex Sans" w:eastAsia="IBM Plex Sans" w:hAnsi="IBM Plex Sans"/>
          <w:i/>
          <w:iCs/>
          <w:color w:val="334155"/>
          <w:sz w:val="19"/>
          <w:szCs w:val="19"/>
        </w:rPr>
        <w:t xml:space="preserve">Disusun sesuai Aturan 1 dan 2 Perintah Umum; seluruh pustaka nonregulasi telah diverifikasi ketersediaannya pada sumber daring resmi penerbit per Agustus 2026.</w:t>
      </w:r>
    </w:p>
    <w:p>
      <w:pPr>
        <w:pStyle w:val="Heading1"/>
        <w:pBdr>
          <w:bottom w:val="single" w:color="4F46E5" w:sz="12" w:space="4"/>
        </w:pBdr>
        <w:spacing w:after="160" w:before="360"/>
      </w:pPr>
      <w:r>
        <w:rPr>
          <w:rFonts w:ascii="Source Serif 4" w:cs="Source Serif 4" w:eastAsia="Source Serif 4" w:hAnsi="Source Serif 4"/>
          <w:b/>
          <w:bCs/>
          <w:color w:val="B45309"/>
          <w:sz w:val="30"/>
          <w:szCs w:val="30"/>
        </w:rPr>
        <w:t xml:space="preserve">14. </w:t>
      </w:r>
      <w:r>
        <w:rPr>
          <w:rFonts w:ascii="Source Serif 4" w:cs="Source Serif 4" w:eastAsia="Source Serif 4" w:hAnsi="Source Serif 4"/>
          <w:b/>
          <w:bCs/>
          <w:color w:val="4F46E5"/>
          <w:sz w:val="30"/>
          <w:szCs w:val="30"/>
        </w:rPr>
        <w:t xml:space="preserve">Glosarium</w:t>
      </w:r>
    </w:p>
    <w:p>
      <w:pPr>
        <w:spacing w:after="160" w:line="300"/>
        <w:jc w:val="both"/>
      </w:pPr>
      <w:r>
        <w:rPr>
          <w:rFonts w:ascii="IBM Plex Sans" w:cs="IBM Plex Sans" w:eastAsia="IBM Plex Sans" w:hAnsi="IBM Plex Sans"/>
          <w:color w:val="334155"/>
          <w:sz w:val="21"/>
          <w:szCs w:val="21"/>
        </w:rPr>
        <w:t xml:space="preserve">Daftar istilah kunci yang digunakan dalam PPK ini, disusun untuk memudahkan pembaca lintas profesi: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shd w:fill="FFFFFF"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Endometritis kronik</w:t>
            </w:r>
          </w:p>
        </w:tc>
        <w:tc>
          <w:tcPr>
            <w:tcW w:type="dxa" w:w="676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Peradangan endometrium yang berlangsung persisten, ditandai infiltrasi sel plasma pada stroma endometrium.</w:t>
            </w:r>
          </w:p>
        </w:tc>
      </w:tr>
      <w:tr>
        <w:tc>
          <w:tcPr>
            <w:tcW w:type="dxa" w:w="2600"/>
            <w:shd w:fill="F8FAFC"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Sel plasma (plasma cell)</w:t>
            </w:r>
          </w:p>
        </w:tc>
        <w:tc>
          <w:tcPr>
            <w:tcW w:type="dxa" w:w="676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Sel imun turunan limfosit B yang menghasilkan antibodi; keberadaannya pada stroma endometrium di luar masa menstruasi merupakan penanda histopatologis endometritis kronik.</w:t>
            </w:r>
          </w:p>
        </w:tc>
      </w:tr>
      <w:tr>
        <w:tc>
          <w:tcPr>
            <w:tcW w:type="dxa" w:w="2600"/>
            <w:shd w:fill="FFFFFF"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CD138 (syndecan-1)</w:t>
            </w:r>
          </w:p>
        </w:tc>
        <w:tc>
          <w:tcPr>
            <w:tcW w:type="dxa" w:w="676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Penanda imunohistokimia yang berikatan dengan permukaan sel plasma, digunakan untuk meningkatkan akurasi deteksi sel plasma pada biopsi endometrium.</w:t>
            </w:r>
          </w:p>
        </w:tc>
      </w:tr>
      <w:tr>
        <w:tc>
          <w:tcPr>
            <w:tcW w:type="dxa" w:w="2600"/>
            <w:shd w:fill="F8FAFC"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MUM-1</w:t>
            </w:r>
          </w:p>
        </w:tc>
        <w:tc>
          <w:tcPr>
            <w:tcW w:type="dxa" w:w="676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Penanda imunohistokimia alternatif (multiple myeloma oncogene-1) untuk identifikasi sel plasma, dengan akurasi sebanding CD138 pada studi komparatif multisenter.</w:t>
            </w:r>
          </w:p>
        </w:tc>
      </w:tr>
      <w:tr>
        <w:tc>
          <w:tcPr>
            <w:tcW w:type="dxa" w:w="2600"/>
            <w:shd w:fill="FFFFFF"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Histeroskopi</w:t>
            </w:r>
          </w:p>
        </w:tc>
        <w:tc>
          <w:tcPr>
            <w:tcW w:type="dxa" w:w="676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Prosedur visualisasi langsung rongga rahim menggunakan kamera optik kecil (histeroskop), digunakan untuk diagnosis maupun tindakan operatif minor.</w:t>
            </w:r>
          </w:p>
        </w:tc>
      </w:tr>
      <w:tr>
        <w:tc>
          <w:tcPr>
            <w:tcW w:type="dxa" w:w="2600"/>
            <w:shd w:fill="F8FAFC"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Biopsi endometrium (Pipelle)</w:t>
            </w:r>
          </w:p>
        </w:tc>
        <w:tc>
          <w:tcPr>
            <w:tcW w:type="dxa" w:w="676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Pengambilan sampel jaringan endometrium menggunakan kateter aspirasi kecil untuk pemeriksaan histopatologi, umumnya dapat dilakukan di poliklinik tanpa anestesi umum.</w:t>
            </w:r>
          </w:p>
        </w:tc>
      </w:tr>
      <w:tr>
        <w:tc>
          <w:tcPr>
            <w:tcW w:type="dxa" w:w="2600"/>
            <w:shd w:fill="FFFFFF"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Kuretase</w:t>
            </w:r>
          </w:p>
        </w:tc>
        <w:tc>
          <w:tcPr>
            <w:tcW w:type="dxa" w:w="676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Tindakan pengerokan lapisan endometrium menggunakan kuret, dilakukan untuk tujuan diagnostik maupun terapeutik (evakuasi jaringan).</w:t>
            </w:r>
          </w:p>
        </w:tc>
      </w:tr>
      <w:tr>
        <w:tc>
          <w:tcPr>
            <w:tcW w:type="dxa" w:w="2600"/>
            <w:shd w:fill="F8FAFC"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Doksisiklin</w:t>
            </w:r>
          </w:p>
        </w:tc>
        <w:tc>
          <w:tcPr>
            <w:tcW w:type="dxa" w:w="676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Antibiotik golongan tetrasiklin, menjadi terapi lini pertama endometritis kronik karena cakupannya terhadap bakteri Gram-positif, Gram-negatif, dan Mikoplasma.</w:t>
            </w:r>
          </w:p>
        </w:tc>
      </w:tr>
      <w:tr>
        <w:tc>
          <w:tcPr>
            <w:tcW w:type="dxa" w:w="2600"/>
            <w:shd w:fill="FFFFFF"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Perdarahan uterus abnormal (PUA)</w:t>
            </w:r>
          </w:p>
        </w:tc>
        <w:tc>
          <w:tcPr>
            <w:tcW w:type="dxa" w:w="676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Perdarahan dari uterus di luar pola menstruasi normal dalam hal frekuensi, keteraturan, durasi, atau volume.</w:t>
            </w:r>
          </w:p>
        </w:tc>
      </w:tr>
      <w:tr>
        <w:tc>
          <w:tcPr>
            <w:tcW w:type="dxa" w:w="2600"/>
            <w:shd w:fill="F8FAFC"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Sindrom Lynch</w:t>
            </w:r>
          </w:p>
        </w:tc>
        <w:tc>
          <w:tcPr>
            <w:tcW w:type="dxa" w:w="676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Kondisi genetik herediter yang meningkatkan risiko kanker kolorektal dan endometrium, menjadi salah satu faktor risiko yang dipertimbangkan pada kriteria rujukan subspesialis.</w:t>
            </w:r>
          </w:p>
        </w:tc>
      </w:tr>
      <w:tr>
        <w:tc>
          <w:tcPr>
            <w:tcW w:type="dxa" w:w="2600"/>
            <w:shd w:fill="FFFFFF"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Hiperplasia atipikal</w:t>
            </w:r>
          </w:p>
        </w:tc>
        <w:tc>
          <w:tcPr>
            <w:tcW w:type="dxa" w:w="6760"/>
            <w:shd w:fill="FFFFFF"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Penebalan lapisan endometrium disertai perubahan sitologi sel yang berpotensi menjadi lesi prakanker, memerlukan evaluasi subspesialis Onkologi Ginekologi.</w:t>
            </w:r>
          </w:p>
        </w:tc>
      </w:tr>
      <w:tr>
        <w:tc>
          <w:tcPr>
            <w:tcW w:type="dxa" w:w="2600"/>
            <w:shd w:fill="F8FAFC" w:val="clear"/>
            <w:tcMar>
              <w:top w:type="dxa" w:w="80"/>
              <w:left w:type="dxa" w:w="100"/>
              <w:bottom w:type="dxa" w:w="80"/>
              <w:right w:type="dxa" w:w="100"/>
            </w:tcMar>
            <w:vAlign w:val="center"/>
          </w:tcPr>
          <w:p>
            <w:r>
              <w:rPr>
                <w:rFonts w:ascii="IBM Plex Sans" w:cs="IBM Plex Sans" w:eastAsia="IBM Plex Sans" w:hAnsi="IBM Plex Sans"/>
                <w:b/>
                <w:bCs/>
                <w:color w:val="4F46E5"/>
                <w:sz w:val="19"/>
                <w:szCs w:val="19"/>
              </w:rPr>
              <w:t xml:space="preserve">Sel plasma CD138-positif per HPF</w:t>
            </w:r>
          </w:p>
        </w:tc>
        <w:tc>
          <w:tcPr>
            <w:tcW w:type="dxa" w:w="6760"/>
            <w:shd w:fill="F8FAFC" w:val="clear"/>
            <w:tcMar>
              <w:top w:type="dxa" w:w="80"/>
              <w:left w:type="dxa" w:w="100"/>
              <w:bottom w:type="dxa" w:w="80"/>
              <w:right w:type="dxa" w:w="100"/>
            </w:tcMar>
            <w:vAlign w:val="center"/>
          </w:tcPr>
          <w:p>
            <w:r>
              <w:rPr>
                <w:rFonts w:ascii="IBM Plex Sans" w:cs="IBM Plex Sans" w:eastAsia="IBM Plex Sans" w:hAnsi="IBM Plex Sans"/>
                <w:color w:val="334155"/>
                <w:sz w:val="19"/>
                <w:szCs w:val="19"/>
              </w:rPr>
              <w:t xml:space="preserve">Satuan hitung kepadatan sel plasma pada 10 lapang pandang besar (high-power field) mikroskop, digunakan sebagai ambang kuantitatif diagnosis.</w:t>
            </w:r>
          </w:p>
        </w:tc>
      </w:tr>
    </w:tbl>
    <w:p>
      <w:r>
        <w:br w:type="page"/>
      </w:r>
    </w:p>
    <w:p>
      <w:pPr>
        <w:pBdr>
          <w:bottom w:val="single" w:color="4F46E5" w:sz="12" w:space="4"/>
        </w:pBdr>
        <w:spacing w:after="120" w:before="200"/>
      </w:pPr>
      <w:r>
        <w:rPr>
          <w:rFonts w:ascii="Source Serif 4" w:cs="Source Serif 4" w:eastAsia="Source Serif 4" w:hAnsi="Source Serif 4"/>
          <w:b/>
          <w:bCs/>
          <w:color w:val="4F46E5"/>
          <w:sz w:val="26"/>
          <w:szCs w:val="26"/>
        </w:rPr>
        <w:t xml:space="preserve">Keterangan Penerbitan</w:t>
      </w:r>
    </w:p>
    <w:p>
      <w:pPr>
        <w:spacing w:after="80"/>
      </w:pPr>
      <w:r>
        <w:rPr>
          <w:rFonts w:ascii="IBM Plex Sans" w:cs="IBM Plex Sans" w:eastAsia="IBM Plex Sans" w:hAnsi="IBM Plex Sans"/>
          <w:b/>
          <w:bCs/>
          <w:color w:val="334155"/>
          <w:sz w:val="20"/>
          <w:szCs w:val="20"/>
        </w:rPr>
        <w:t xml:space="preserve">Judul: </w:t>
      </w:r>
      <w:r>
        <w:rPr>
          <w:rFonts w:ascii="IBM Plex Sans" w:cs="IBM Plex Sans" w:eastAsia="IBM Plex Sans" w:hAnsi="IBM Plex Sans"/>
          <w:color w:val="334155"/>
          <w:sz w:val="20"/>
          <w:szCs w:val="20"/>
        </w:rPr>
        <w:t xml:space="preserve">Endometritis Kronik tanpa Infertilitas (Chronic Endometritis without Infertility)</w:t>
      </w:r>
    </w:p>
    <w:p>
      <w:pPr>
        <w:spacing w:after="80"/>
      </w:pPr>
      <w:r>
        <w:rPr>
          <w:rFonts w:ascii="IBM Plex Sans" w:cs="IBM Plex Sans" w:eastAsia="IBM Plex Sans" w:hAnsi="IBM Plex Sans"/>
          <w:b/>
          <w:bCs/>
          <w:color w:val="334155"/>
          <w:sz w:val="20"/>
          <w:szCs w:val="20"/>
        </w:rPr>
        <w:t xml:space="preserve">Kode Dokumen: </w:t>
      </w:r>
      <w:r>
        <w:rPr>
          <w:rFonts w:ascii="IBM Plex Sans" w:cs="IBM Plex Sans" w:eastAsia="IBM Plex Sans" w:hAnsi="IBM Plex Sans"/>
          <w:color w:val="334155"/>
          <w:sz w:val="20"/>
          <w:szCs w:val="20"/>
        </w:rPr>
        <w:t xml:space="preserve">PPK-051 — Panduan Praktik Klinis No. 51 dari 73</w:t>
      </w:r>
    </w:p>
    <w:p>
      <w:pPr>
        <w:spacing w:after="80"/>
      </w:pPr>
      <w:r>
        <w:rPr>
          <w:rFonts w:ascii="IBM Plex Sans" w:cs="IBM Plex Sans" w:eastAsia="IBM Plex Sans" w:hAnsi="IBM Plex Sans"/>
          <w:b/>
          <w:bCs/>
          <w:color w:val="334155"/>
          <w:sz w:val="20"/>
          <w:szCs w:val="20"/>
        </w:rPr>
        <w:t xml:space="preserve">Penulis: </w:t>
      </w:r>
      <w:r>
        <w:rPr>
          <w:rFonts w:ascii="IBM Plex Sans" w:cs="IBM Plex Sans" w:eastAsia="IBM Plex Sans" w:hAnsi="IBM Plex Sans"/>
          <w:color w:val="334155"/>
          <w:sz w:val="20"/>
          <w:szCs w:val="20"/>
        </w:rPr>
        <w:t xml:space="preserve">Dr.dr. Budi Siswanto, Sp.OG., Subsp.Obginsos., SH., S.Kom.</w:t>
      </w:r>
    </w:p>
    <w:p>
      <w:pPr>
        <w:spacing w:after="80"/>
      </w:pPr>
      <w:r>
        <w:rPr>
          <w:rFonts w:ascii="IBM Plex Sans" w:cs="IBM Plex Sans" w:eastAsia="IBM Plex Sans" w:hAnsi="IBM Plex Sans"/>
          <w:b/>
          <w:bCs/>
          <w:color w:val="334155"/>
          <w:sz w:val="20"/>
          <w:szCs w:val="20"/>
        </w:rPr>
        <w:t xml:space="preserve">Penerbit: </w:t>
      </w:r>
      <w:r>
        <w:rPr>
          <w:rFonts w:ascii="IBM Plex Sans" w:cs="IBM Plex Sans" w:eastAsia="IBM Plex Sans" w:hAnsi="IBM Plex Sans"/>
          <w:color w:val="334155"/>
          <w:sz w:val="20"/>
          <w:szCs w:val="20"/>
        </w:rPr>
        <w:t xml:space="preserve">Perpustakaan Digital ABBA</w:t>
      </w:r>
    </w:p>
    <w:p>
      <w:pPr>
        <w:spacing w:after="80"/>
      </w:pPr>
      <w:r>
        <w:rPr>
          <w:rFonts w:ascii="IBM Plex Sans" w:cs="IBM Plex Sans" w:eastAsia="IBM Plex Sans" w:hAnsi="IBM Plex Sans"/>
          <w:b/>
          <w:bCs/>
          <w:color w:val="334155"/>
          <w:sz w:val="20"/>
          <w:szCs w:val="20"/>
        </w:rPr>
        <w:t xml:space="preserve">Alamat: </w:t>
      </w:r>
      <w:r>
        <w:rPr>
          <w:rFonts w:ascii="IBM Plex Sans" w:cs="IBM Plex Sans" w:eastAsia="IBM Plex Sans" w:hAnsi="IBM Plex Sans"/>
          <w:color w:val="334155"/>
          <w:sz w:val="20"/>
          <w:szCs w:val="20"/>
        </w:rPr>
        <w:t xml:space="preserve">Jl. Kerinci Raya No. 9, Malang 65138</w:t>
      </w:r>
    </w:p>
    <w:p>
      <w:pPr>
        <w:spacing w:after="80"/>
      </w:pPr>
      <w:r>
        <w:rPr>
          <w:rFonts w:ascii="IBM Plex Sans" w:cs="IBM Plex Sans" w:eastAsia="IBM Plex Sans" w:hAnsi="IBM Plex Sans"/>
          <w:b/>
          <w:bCs/>
          <w:color w:val="334155"/>
          <w:sz w:val="20"/>
          <w:szCs w:val="20"/>
        </w:rPr>
        <w:t xml:space="preserve">Edisi/Tahun: </w:t>
      </w:r>
      <w:r>
        <w:rPr>
          <w:rFonts w:ascii="IBM Plex Sans" w:cs="IBM Plex Sans" w:eastAsia="IBM Plex Sans" w:hAnsi="IBM Plex Sans"/>
          <w:color w:val="334155"/>
          <w:sz w:val="20"/>
          <w:szCs w:val="20"/>
        </w:rPr>
        <w:t xml:space="preserve">Edisi 1, 2026</w:t>
      </w:r>
    </w:p>
    <w:p>
      <w:pPr>
        <w:spacing w:after="80" w:before="160"/>
      </w:pPr>
      <w:r>
        <w:rPr>
          <w:rFonts w:ascii="IBM Plex Sans" w:cs="IBM Plex Sans" w:eastAsia="IBM Plex Sans" w:hAnsi="IBM Plex Sans"/>
          <w:b/>
          <w:bCs/>
          <w:color w:val="334155"/>
          <w:sz w:val="20"/>
          <w:szCs w:val="20"/>
        </w:rPr>
        <w:t xml:space="preserve">Dasar Hukum: </w:t>
      </w:r>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w:t>
      </w:r>
    </w:p>
    <w:p>
      <w:pPr>
        <w:spacing w:after="200"/>
      </w:pPr>
      <w:r>
        <w:rPr>
          <w:rFonts w:ascii="IBM Plex Sans" w:cs="IBM Plex Sans" w:eastAsia="IBM Plex Sans" w:hAnsi="IBM Plex Sans"/>
          <w:i/>
          <w:iCs/>
          <w:color w:val="64748B"/>
          <w:sz w:val="17"/>
          <w:szCs w:val="17"/>
        </w:rPr>
        <w:t xml:space="preserve">Hak cipta dilindungi undang-undang. Dokumen ini disusun sebagai panduan praktik klinis internal untuk kalangan tenaga kesehatan dan tidak menggantikan penilaian klinis individual terhadap pasien.</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space="4"/>
      </w:pBdr>
      <w:tabs>
        <w:tab w:val="right" w:pos="9360"/>
      </w:tabs>
    </w:pPr>
    <w:r>
      <w:rPr>
        <w:rFonts w:ascii="IBM Plex Sans" w:cs="IBM Plex Sans" w:eastAsia="IBM Plex Sans" w:hAnsi="IBM Plex Sans"/>
        <w:color w:val="64748B"/>
        <w:sz w:val="15"/>
        <w:szCs w:val="15"/>
      </w:rPr>
      <w:t xml:space="preserve">PPK No. 51 dari 73   |   ‹ PPK No. 50 — Hiperplasia Endometrium tanpa Infertilitas   |   PPK No. 52 — Tumor Jinak Ovarium tanpa Infertilitas ›</w:t>
    </w:r>
    <w:r>
      <w:rPr>
        <w:rFonts w:ascii="IBM Plex Sans" w:cs="IBM Plex Sans" w:eastAsia="IBM Plex Sans" w:hAnsi="IBM Plex Sans"/>
        <w:color w:val="64748B"/>
        <w:sz w:val="15"/>
        <w:szCs w:val="15"/>
      </w:rPr>
      <w:t xml:space="preserve">	Halaman </w:t>
    </w:r>
    <w:r>
      <w:rPr>
        <w:rFonts w:ascii="IBM Plex Sans" w:cs="IBM Plex Sans" w:eastAsia="IBM Plex Sans" w:hAnsi="IBM Plex Sans"/>
        <w:color w:val="64748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tabs>
        <w:tab w:val="right" w:pos="9360"/>
      </w:tabs>
    </w:pPr>
    <w:r>
      <w:rPr>
        <w:rFonts w:ascii="IBM Plex Sans" w:cs="IBM Plex Sans" w:eastAsia="IBM Plex Sans" w:hAnsi="IBM Plex Sans"/>
        <w:color w:val="64748B"/>
        <w:sz w:val="16"/>
        <w:szCs w:val="16"/>
      </w:rPr>
      <w:t xml:space="preserve">Departemen/SMF Obstetri dan Ginekologi — PPK</w:t>
    </w:r>
    <w:r>
      <w:rPr>
        <w:rFonts w:ascii="IBM Plex Sans" w:cs="IBM Plex Sans" w:eastAsia="IBM Plex Sans" w:hAnsi="IBM Plex Sans"/>
        <w:b/>
        <w:bCs/>
        <w:color w:val="64748B"/>
        <w:sz w:val="16"/>
        <w:szCs w:val="16"/>
      </w:rPr>
      <w:t xml:space="preserve">	Endometritis Kronik tanpa Infertilitas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2026-08-17T23:42:40.875Z</dcterms:created>
  <dcterms:modified xsi:type="dcterms:W3CDTF">2026-08-17T23:42:40.890Z</dcterms:modified>
</cp:coreProperties>
</file>

<file path=docProps/custom.xml><?xml version="1.0" encoding="utf-8"?>
<Properties xmlns="http://schemas.openxmlformats.org/officeDocument/2006/custom-properties" xmlns:vt="http://schemas.openxmlformats.org/officeDocument/2006/docPropsVTypes"/>
</file>