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pPr>
      <w:r>
        <w:rPr>
          <w:rFonts w:ascii="IBM Plex Sans" w:cs="IBM Plex Sans" w:eastAsia="IBM Plex Sans" w:hAnsi="IBM Plex Sans"/>
          <w:b/>
          <w:bCs/>
          <w:color w:val="B45309"/>
          <w:sz w:val="20"/>
          <w:szCs w:val="20"/>
        </w:rPr>
        <w:t xml:space="preserve">Unit Kerja Obstetri dan Ginekologi</w:t>
      </w:r>
    </w:p>
    <w:p>
      <w:pPr>
        <w:spacing w:after="400"/>
      </w:pPr>
      <w:r>
        <w:rPr>
          <w:rFonts w:ascii="IBM Plex Sans" w:cs="IBM Plex Sans" w:eastAsia="IBM Plex Sans" w:hAnsi="IBM Plex Sans"/>
          <w:color w:val="334155"/>
          <w:sz w:val="22"/>
          <w:szCs w:val="22"/>
        </w:rPr>
        <w:t xml:space="preserve">Panduan Praktik Klinis (PPK)</w:t>
      </w:r>
    </w:p>
    <w:p>
      <w:pPr>
        <w:spacing w:after="200"/>
      </w:pPr>
      <w:r>
        <w:rPr>
          <w:rFonts w:ascii="Source Serif 4" w:cs="Source Serif 4" w:eastAsia="Source Serif 4" w:hAnsi="Source Serif 4"/>
          <w:b/>
          <w:bCs/>
          <w:color w:val="4F46E5"/>
          <w:sz w:val="44"/>
          <w:szCs w:val="44"/>
        </w:rPr>
        <w:t xml:space="preserve">Tumor Jinak Ovarium tanpa Infertilitas</w:t>
      </w:r>
    </w:p>
    <w:p>
      <w:pPr>
        <w:spacing w:after="400"/>
      </w:pPr>
      <w:r>
        <w:rPr>
          <w:rFonts w:ascii="Source Serif 4" w:cs="Source Serif 4" w:eastAsia="Source Serif 4" w:hAnsi="Source Serif 4"/>
          <w:i/>
          <w:iCs/>
          <w:color w:val="334155"/>
          <w:sz w:val="28"/>
          <w:szCs w:val="28"/>
        </w:rPr>
        <w:t xml:space="preserve">Benign Ovarian Tumor without Infertility</w:t>
      </w:r>
    </w:p>
    <w:p>
      <w:pPr>
        <w:spacing w:after="120"/>
      </w:pPr>
      <w:r>
        <w:rPr>
          <w:rFonts w:ascii="IBM Plex Mono" w:cs="IBM Plex Mono" w:eastAsia="IBM Plex Mono" w:hAnsi="IBM Plex Mono"/>
          <w:color w:val="334155"/>
          <w:sz w:val="20"/>
          <w:szCs w:val="20"/>
        </w:rPr>
        <w:t xml:space="preserve">Kode Dokumen: PPK-052  —  PPK No. 52 dari 73</w:t>
      </w:r>
    </w:p>
    <w:p>
      <w:pPr>
        <w:spacing w:after="120"/>
      </w:pPr>
      <w:r>
        <w:rPr>
          <w:rFonts w:ascii="IBM Plex Mono" w:cs="IBM Plex Mono" w:eastAsia="IBM Plex Mono" w:hAnsi="IBM Plex Mono"/>
          <w:color w:val="334155"/>
          <w:sz w:val="20"/>
          <w:szCs w:val="20"/>
        </w:rPr>
        <w:t xml:space="preserve">ICD-10: D27   |   ICD-11: 2F32</w:t>
      </w:r>
    </w:p>
    <w:p>
      <w:pPr>
        <w:spacing w:after="120"/>
      </w:pPr>
      <w:r>
        <w:rPr>
          <w:rFonts w:ascii="IBM Plex Sans" w:cs="IBM Plex Sans" w:eastAsia="IBM Plex Sans" w:hAnsi="IBM Plex Sans"/>
          <w:color w:val="334155"/>
          <w:sz w:val="20"/>
          <w:szCs w:val="20"/>
        </w:rPr>
        <w:t xml:space="preserve">Divisi Pengampu: Onkologi Ginekologi</w:t>
      </w:r>
    </w:p>
    <w:p>
      <w:pPr>
        <w:spacing w:after="600"/>
      </w:pPr>
      <w:r>
        <w:rPr>
          <w:rFonts w:ascii="IBM Plex Sans" w:cs="IBM Plex Sans" w:eastAsia="IBM Plex Sans" w:hAnsi="IBM Plex Sans"/>
          <w:color w:val="334155"/>
          <w:sz w:val="20"/>
          <w:szCs w:val="20"/>
        </w:rPr>
        <w:t xml:space="preserve">Rujukan Buku Tematik Induk: B7 — Tumor Jinak Ginekologi dan Kelainan Struktural Uterus</w:t>
      </w:r>
    </w:p>
    <w:p>
      <w:pPr>
        <w:spacing w:after="80"/>
      </w:pPr>
      <w:r>
        <w:rPr>
          <w:rFonts w:ascii="IBM Plex Sans" w:cs="IBM Plex Sans" w:eastAsia="IBM Plex Sans" w:hAnsi="IBM Plex Sans"/>
          <w:b/>
          <w:bCs/>
          <w:color w:val="B45309"/>
          <w:sz w:val="20"/>
          <w:szCs w:val="20"/>
        </w:rPr>
        <w:t xml:space="preserve">Dasar Hukum</w:t>
      </w:r>
    </w:p>
    <w:p>
      <w:pPr>
        <w:spacing w:after="600"/>
      </w:pPr>
      <w:r>
        <w:rPr>
          <w:rFonts w:ascii="IBM Plex Sans" w:cs="IBM Plex Sans" w:eastAsia="IBM Plex Sans" w:hAnsi="IBM Plex Sans"/>
          <w:color w:val="334155"/>
          <w:sz w:val="19"/>
          <w:szCs w:val="19"/>
        </w:rPr>
        <w:t xml:space="preserve">Keputusan Ketua Konsil Kesehatan Indonesia No. HK.01.02/KKI/1318/2026 tentang Standar Kompetensi Dokter Spesialis dan Subspesialis Bidang Obstetri dan Ginekologi (“Kepkonsil”), Tabel 7 No. 52</w:t>
      </w:r>
    </w:p>
    <w:p>
      <w:pPr>
        <w:pBdr>
          <w:top w:val="single" w:color="CBD5E1" w:sz="4" w:space="8"/>
        </w:pBdr>
        <w:spacing w:after="40" w:before="200"/>
      </w:pPr>
      <w:r>
        <w:rPr>
          <w:rFonts w:ascii="IBM Plex Sans" w:cs="IBM Plex Sans" w:eastAsia="IBM Plex Sans" w:hAnsi="IBM Plex Sans"/>
          <w:color w:val="334155"/>
          <w:sz w:val="19"/>
          <w:szCs w:val="19"/>
        </w:rPr>
        <w:t xml:space="preserve">Penulis: Dr.dr. Budi Siswanto, Sp.OG., Subsp.Obginsos., SH., S.Kom.</w:t>
      </w:r>
    </w:p>
    <w:p>
      <w:pPr>
        <w:spacing w:after="40"/>
      </w:pPr>
      <w:r>
        <w:rPr>
          <w:rFonts w:ascii="IBM Plex Sans" w:cs="IBM Plex Sans" w:eastAsia="IBM Plex Sans" w:hAnsi="IBM Plex Sans"/>
          <w:color w:val="334155"/>
          <w:sz w:val="19"/>
          <w:szCs w:val="19"/>
        </w:rPr>
        <w:t xml:space="preserve">Penerbit: Perpustakaan Digital ABBA</w:t>
      </w:r>
    </w:p>
    <w:p>
      <w:pPr>
        <w:spacing w:after="40"/>
      </w:pPr>
      <w:r>
        <w:rPr>
          <w:rFonts w:ascii="IBM Plex Sans" w:cs="IBM Plex Sans" w:eastAsia="IBM Plex Sans" w:hAnsi="IBM Plex Sans"/>
          <w:color w:val="334155"/>
          <w:sz w:val="19"/>
          <w:szCs w:val="19"/>
        </w:rPr>
        <w:t xml:space="preserve">Alamat: Jl. Kerinci Raya No. 9, Malang 65138</w:t>
      </w:r>
    </w:p>
    <w:p>
      <w:pPr>
        <w:spacing w:after="0"/>
      </w:pPr>
      <w:r>
        <w:rPr>
          <w:rFonts w:ascii="IBM Plex Sans" w:cs="IBM Plex Sans" w:eastAsia="IBM Plex Sans" w:hAnsi="IBM Plex Sans"/>
          <w:color w:val="334155"/>
          <w:sz w:val="19"/>
          <w:szCs w:val="19"/>
        </w:rPr>
        <w:t xml:space="preserve">Terbit: Agustus 2026</w:t>
      </w:r>
    </w:p>
    <w:p>
      <w:r>
        <w:br w:type="page"/>
      </w:r>
    </w:p>
    <w:tbl>
      <w:tblPr>
        <w:tblW w:type="dxa" w:w="9070"/>
        <w:tblBorders>
          <w:top w:val="single" w:color="4F46E5" w:sz="6"/>
          <w:left w:val="single" w:color="4F46E5" w:sz="24"/>
          <w:bottom w:val="single" w:color="4F46E5" w:sz="6"/>
          <w:right w:val="single" w:color="4F46E5" w:sz="6"/>
          <w:insideH w:val="single" w:color="auto" w:sz="4"/>
          <w:insideV w:val="single" w:color="auto" w:sz="4"/>
        </w:tblBorders>
      </w:tblPr>
      <w:tblGrid>
        <w:gridCol w:w="9070"/>
      </w:tblGrid>
      <w:tr>
        <w:tc>
          <w:tcPr>
            <w:tcW w:type="dxa" w:w="9070"/>
            <w:shd w:fill="EEF2FF" w:val="clear"/>
            <w:tcMar>
              <w:top w:type="dxa" w:w="180"/>
              <w:left w:type="dxa" w:w="240"/>
              <w:bottom w:type="dxa" w:w="180"/>
              <w:right w:type="dxa" w:w="240"/>
            </w:tcMar>
          </w:tcPr>
          <w:p>
            <w:pPr>
              <w:spacing w:after="60"/>
            </w:pPr>
            <w:r>
              <w:rPr>
                <w:rFonts w:ascii="IBM Plex Sans" w:cs="IBM Plex Sans" w:eastAsia="IBM Plex Sans" w:hAnsi="IBM Plex Sans"/>
                <w:b/>
                <w:bCs/>
                <w:color w:val="B45309"/>
                <w:sz w:val="18"/>
                <w:szCs w:val="18"/>
              </w:rPr>
              <w:t xml:space="preserve">PPK No. 52 dari 73 — Kategori PPK</w:t>
            </w:r>
          </w:p>
          <w:p>
            <w:pPr>
              <w:spacing w:after="100"/>
            </w:pPr>
            <w:r>
              <w:rPr>
                <w:rFonts w:ascii="Source Serif 4" w:cs="Source Serif 4" w:eastAsia="Source Serif 4" w:hAnsi="Source Serif 4"/>
                <w:b/>
                <w:bCs/>
                <w:color w:val="4F46E5"/>
                <w:sz w:val="26"/>
                <w:szCs w:val="26"/>
              </w:rPr>
              <w:t xml:space="preserve">Tumor Jinak Ovarium tanpa Infertilitas (Benign Ovarian Tumor without Infertility)</w:t>
            </w:r>
          </w:p>
          <w:p>
            <w:r>
              <w:rPr>
                <w:rFonts w:ascii="IBM Plex Mono" w:cs="IBM Plex Mono" w:eastAsia="IBM Plex Mono" w:hAnsi="IBM Plex Mono"/>
                <w:color w:val="334155"/>
                <w:sz w:val="18"/>
                <w:szCs w:val="18"/>
              </w:rPr>
              <w:t xml:space="preserve">ICD-10: D27   •   ICD-11: 2F32   •   Divisi Pengampu: Onkologi Ginekologi   •   Buku Tematik Induk: B7</w:t>
            </w:r>
          </w:p>
        </w:tc>
      </w:tr>
    </w:tbl>
    <w:p>
      <w:pPr>
        <w:spacing w:after="200"/>
      </w:pPr>
    </w:p>
    <w:p>
      <w:pPr>
        <w:pStyle w:val="Heading1"/>
        <w:spacing w:after="160" w:before="320"/>
      </w:pPr>
      <w:r>
        <w:rPr>
          <w:rFonts w:ascii="Source Serif 4" w:cs="Source Serif 4" w:eastAsia="Source Serif 4" w:hAnsi="Source Serif 4"/>
          <w:b/>
          <w:bCs/>
          <w:color w:val="4F46E5"/>
          <w:sz w:val="28"/>
          <w:szCs w:val="28"/>
        </w:rPr>
        <w:t xml:space="preserve">1. Pengertian dan Definisi</w:t>
      </w:r>
    </w:p>
    <w:p>
      <w:pPr>
        <w:spacing w:after="160" w:line="300"/>
      </w:pPr>
      <w:r>
        <w:rPr>
          <w:rFonts w:ascii="IBM Plex Sans" w:cs="IBM Plex Sans" w:eastAsia="IBM Plex Sans" w:hAnsi="IBM Plex Sans"/>
          <w:color w:val="334155"/>
          <w:sz w:val="21"/>
          <w:szCs w:val="21"/>
        </w:rPr>
        <w:t xml:space="preserve">PPK ini merupakan turunan operasional dari bab yang relevan mengenai tumor ovarium jinak pada Buku Tematik B7 — Tumor Jinak Ginekologi dan Kelainan Struktural Uterus, dan disusun berdasarkan entri Tabel 7 No. 52 Keputusan Ketua Konsil Kesehatan Indonesia No. HK.01.02/KKI/1318/2026 tentang Standar Kompetensi Dokter Spesialis dan Subspesialis Bidang Obstetri dan Ginekologi (“Kepkonsil”).</w:t>
      </w:r>
    </w:p>
    <w:p>
      <w:pPr>
        <w:spacing w:after="160" w:line="300"/>
      </w:pPr>
      <w:r>
        <w:rPr>
          <w:rFonts w:ascii="IBM Plex Sans" w:cs="IBM Plex Sans" w:eastAsia="IBM Plex Sans" w:hAnsi="IBM Plex Sans"/>
          <w:color w:val="334155"/>
          <w:sz w:val="21"/>
          <w:szCs w:val="21"/>
        </w:rPr>
        <w:t xml:space="preserve">Tumor jinak ovarium tanpa infertilitas (benign ovarian tumor without infertility) adalah neoplasma jinak ovarium yang ditemukan pada pasien tanpa disertai keluhan atau diagnosis infertilitas yang sedang berlangsung pada saat penilaian klinis. Secara histopatologis, kelompok ini mencakup tiga kategori besar sesuai WHO Classification of Tumours — Female Genital Tumours edisi ke-5: tumor epitelial jinak (kistadenoma serosa, kistadenoma musinosum, tumor Brenner jinak), tumor sel germinal jinak (teratoma matur atau kista dermoid), dan tumor sex cord-stromal jinak (fibroma, tekoma, fibrotekoma).</w:t>
      </w:r>
    </w:p>
    <w:p>
      <w:pPr>
        <w:spacing w:after="160" w:line="300"/>
      </w:pPr>
      <w:r>
        <w:rPr>
          <w:rFonts w:ascii="IBM Plex Sans" w:cs="IBM Plex Sans" w:eastAsia="IBM Plex Sans" w:hAnsi="IBM Plex Sans"/>
          <w:color w:val="334155"/>
          <w:sz w:val="21"/>
          <w:szCs w:val="21"/>
        </w:rPr>
        <w:t xml:space="preserve">Istilah ini dibedakan dari kista fungsional ovarium (kista folikel atau korpus luteum), yang bersifat fisiologis, terbentuk akibat proses ovulasi normal, dan umumnya mengalami resolusi spontan dalam dua hingga tiga siklus menstruasi tanpa memerlukan intervensi. Meskipun demikian, kedua kelompok ini dapat tumpang tindih secara morfologis pada evaluasi ultrasonografi awal sehingga memerlukan alur stratifikasi risiko yang sama sebelum keputusan tata laksana diambil.</w:t>
      </w:r>
    </w:p>
    <w:p>
      <w:pPr>
        <w:spacing w:after="160" w:line="300"/>
      </w:pPr>
      <w:r>
        <w:rPr>
          <w:rFonts w:ascii="IBM Plex Sans" w:cs="IBM Plex Sans" w:eastAsia="IBM Plex Sans" w:hAnsi="IBM Plex Sans"/>
          <w:color w:val="334155"/>
          <w:sz w:val="21"/>
          <w:szCs w:val="21"/>
        </w:rPr>
        <w:t xml:space="preserve">Massa adneksa atau ovarium merupakan temuan yang sering dijumpai dalam praktik ginekologi sehari-hari, baik simtomatik maupun ditemukan secara insidental pada pemeriksaan pencitraan panggul untuk indikasi lain. Data epidemiologi nasional yang spesifik untuk insidensi dan prevalensi tumor jinak ovarium pada populasi Indonesia belum tersedia dalam registri resmi yang dipublikasikan secara berkala; angka acuan sebaiknya dirujuk pada publikasi terbaru Kementerian Kesehatan Republik Indonesia atau Perkumpulan Obstetri dan Ginekologi Indonesia (POGI) apabila telah tersedia.</w:t>
      </w:r>
    </w:p>
    <w:tbl>
      <w:tblPr>
        <w:tblW w:type="dxa" w:w="9070"/>
        <w:tblBorders>
          <w:top w:val="single" w:color="B45309" w:sz="6"/>
          <w:left w:val="single" w:color="B45309" w:sz="24"/>
          <w:bottom w:val="single" w:color="B45309" w:sz="6"/>
          <w:right w:val="single" w:color="B45309" w:sz="6"/>
          <w:insideH w:val="single" w:color="auto" w:sz="4"/>
          <w:insideV w:val="single" w:color="auto" w:sz="4"/>
        </w:tblBorders>
      </w:tblPr>
      <w:tblGrid>
        <w:gridCol w:w="9070"/>
      </w:tblGrid>
      <w:tr>
        <w:tc>
          <w:tcPr>
            <w:tcW w:type="dxa" w:w="9070"/>
            <w:shd w:fill="FFF7ED" w:val="clear"/>
            <w:tcMar>
              <w:top w:type="dxa" w:w="160"/>
              <w:left w:type="dxa" w:w="220"/>
              <w:bottom w:type="dxa" w:w="160"/>
              <w:right w:type="dxa" w:w="220"/>
            </w:tcMar>
          </w:tcPr>
          <w:p>
            <w:pPr>
              <w:spacing w:after="80"/>
            </w:pPr>
            <w:r>
              <w:rPr>
                <w:rFonts w:ascii="IBM Plex Sans" w:cs="IBM Plex Sans" w:eastAsia="IBM Plex Sans" w:hAnsi="IBM Plex Sans"/>
                <w:b/>
                <w:bCs/>
                <w:color w:val="B45309"/>
                <w:sz w:val="20"/>
                <w:szCs w:val="20"/>
              </w:rPr>
              <w:t xml:space="preserve">Dasar Regulasi</w:t>
            </w:r>
          </w:p>
          <w:p>
            <w:pPr>
              <w:spacing w:after="0" w:line="280"/>
            </w:pPr>
            <w:r>
              <w:rPr>
                <w:rFonts w:ascii="IBM Plex Sans" w:cs="IBM Plex Sans" w:eastAsia="IBM Plex Sans" w:hAnsi="IBM Plex Sans"/>
                <w:color w:val="334155"/>
                <w:sz w:val="20"/>
                <w:szCs w:val="20"/>
              </w:rPr>
              <w:t xml:space="preserve">Entri ini bersumber dari Tabel 7 No. 52 Keputusan Ketua Konsil Kesehatan Indonesia No. HK.01.02/KKI/1318/2026 tentang Standar Kompetensi Dokter Spesialis dan Subspesialis Bidang Obstetri dan Ginekologi (“Kepkonsil”), dengan judul resmi “Tumor Jinak Ovarium tanpa Infertilitas / Benign Ovarian Tumor without Infertility”, kode ICD-10 D27, kode ICD-11 2F32, dan keterangan populasi resmi: “Tumor ovarium jinak, tidak terkait infertilitas.” Seluruh kode dan istilah pada bagian ini telah diverifikasi ulang terhadap baris No. 52 Tabel 7.</w:t>
            </w:r>
          </w:p>
        </w:tc>
      </w:tr>
    </w:tbl>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line="300"/>
      </w:pPr>
      <w:r>
        <w:rPr>
          <w:rFonts w:ascii="IBM Plex Sans" w:cs="IBM Plex Sans" w:eastAsia="IBM Plex Sans" w:hAnsi="IBM Plex Sans"/>
          <w:color w:val="334155"/>
          <w:sz w:val="21"/>
          <w:szCs w:val="21"/>
        </w:rPr>
        <w:t xml:space="preserve">Sebagian besar tumor jinak ovarium bersifat asimtomatik dan ditemukan secara insidental saat pemeriksaan ginekologi rutin atau pencitraan panggul untuk indikasi lain. Anamnesis terarah mencakup hal-hal berikut.</w:t>
      </w:r>
    </w:p>
    <w:p>
      <w:pPr>
        <w:pStyle w:val="ListParagraph"/>
        <w:numPr>
          <w:ilvl w:val="0"/>
          <w:numId w:val="2"/>
        </w:numPr>
        <w:spacing w:after="100" w:line="290"/>
      </w:pPr>
      <w:r>
        <w:rPr>
          <w:rFonts w:ascii="IBM Plex Sans" w:cs="IBM Plex Sans" w:eastAsia="IBM Plex Sans" w:hAnsi="IBM Plex Sans"/>
          <w:color w:val="334155"/>
          <w:sz w:val="21"/>
          <w:szCs w:val="21"/>
        </w:rPr>
        <w:t xml:space="preserve">Keluhan lokal: rasa penuh atau tidak nyaman di perut bawah, distensi abdomen, rasa cepat kenyang, nyeri panggul kronik ringan hingga sedang, dispareunia.</w:t>
      </w:r>
    </w:p>
    <w:p>
      <w:pPr>
        <w:pStyle w:val="ListParagraph"/>
        <w:numPr>
          <w:ilvl w:val="0"/>
          <w:numId w:val="2"/>
        </w:numPr>
        <w:spacing w:after="100" w:line="290"/>
      </w:pPr>
      <w:r>
        <w:rPr>
          <w:rFonts w:ascii="IBM Plex Sans" w:cs="IBM Plex Sans" w:eastAsia="IBM Plex Sans" w:hAnsi="IBM Plex Sans"/>
          <w:color w:val="334155"/>
          <w:sz w:val="21"/>
          <w:szCs w:val="21"/>
        </w:rPr>
        <w:t xml:space="preserve">Gejala tekanan pada organ sekitar: gangguan berkemih (frekuensi, urgensi) atau perubahan pola defekasi akibat efek desak ruang massa.</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menstruasi: usia menarke, keteraturan siklus, dan status menopause — memengaruhi interpretasi stratifikasi risiko keganasan serta pemilihan alat skoring yang sesuai.</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keluarga: kanker ovarium, payudara, atau kolorektal pada kerabat derajat pertama, sebagai skrining awal kecurigaan sindrom herediter (misalnya mutasi BRCA1/2 atau sindrom Lynch).</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ginekologi dan bedah sebelumnya: operasi ovarium/adneksa, riwayat endometriosis, riwayat penggunaan kontrasepsi hormonal, serta riwayat obstetrik (paritas).</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Konfirmasi status fertilitas saat ini: tidak terdapat keluhan atau penegakan diagnosis infertilitas yang sedang berjalan; bila ditemukan, kasus diarahkan ke jalur PPK infertilitas yang sesuai, bukan PPK ini.</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kewaspadaan nyeri akut: onset mendadak, intensitas berat, disertai mual/muntah — mengarah pada kemungkinan komplikasi akut (torsi adneksa atau ruptur kista) yang memerlukan penilaian kegawatdaruratan terpisah (lihat PPK No. 53 — Kista Ovarium Terpuntir).</w:t>
      </w: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spacing w:after="160" w:line="300"/>
      </w:pPr>
      <w:r>
        <w:rPr>
          <w:rFonts w:ascii="IBM Plex Sans" w:cs="IBM Plex Sans" w:eastAsia="IBM Plex Sans" w:hAnsi="IBM Plex Sans"/>
          <w:color w:val="334155"/>
          <w:sz w:val="21"/>
          <w:szCs w:val="21"/>
        </w:rPr>
        <w:t xml:space="preserve">Pemeriksaan fisik ditujukan untuk mengonfirmasi keberadaan massa, menilai karakteristik awal, dan menyingkirkan tanda kegawatan.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abdomen: inspeksi distensi, palpasi untuk mendeteksi massa (ukuran, konsistensi, mobilitas, nyeri tekan), perkusi untuk menilai kemungkinan asites (shifting dullness).</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ginekologi bimanual: penilaian ukuran, konsistensi (kistik, padat, atau campuran), mobilitas, nyeri, serta sifat unilateral/bilateral massa adneksa; penilaian uterus dan forniks untuk menyingkirkan diagnosis banding uterus (misalnya mioma bertangkai).</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rektovaginal dipertimbangkan pada kasus tertentu untuk menilai perluasan massa ke kavum Douglas atau ligamentum uterosakral, terutama bila dicurigai keterlibatan endometriosis dalam.</w:t>
      </w:r>
    </w:p>
    <w:p>
      <w:pPr>
        <w:pStyle w:val="ListParagraph"/>
        <w:numPr>
          <w:ilvl w:val="0"/>
          <w:numId w:val="2"/>
        </w:numPr>
        <w:spacing w:after="100" w:line="290"/>
      </w:pPr>
      <w:r>
        <w:rPr>
          <w:rFonts w:ascii="IBM Plex Sans" w:cs="IBM Plex Sans" w:eastAsia="IBM Plex Sans" w:hAnsi="IBM Plex Sans"/>
          <w:color w:val="334155"/>
          <w:sz w:val="21"/>
          <w:szCs w:val="21"/>
        </w:rPr>
        <w:t xml:space="preserve">Sensitivitas pemeriksaan bimanual menurun pada pasien dengan indeks massa tubuh tinggi atau uterus retrofleksi, sehingga konfirmasi ultrasonografi tetap diperlukan meskipun pemeriksaan fisik tidak jelas.</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vital dan tanda kegawatan: takikardia, demam, nyeri tekan lepas, atau defans muskular mengarah pada komplikasi akut (torsi, ruptur dengan perdarahan intraperitoneal, atau infeksi) dan memerlukan tata laksana kedaruratan segera, di luar alur non-akut PPK ini.</w:t>
      </w:r>
    </w:p>
    <w:p>
      <w:pPr>
        <w:pStyle w:val="Heading1"/>
        <w:spacing w:after="160" w:before="320"/>
      </w:pPr>
      <w:r>
        <w:rPr>
          <w:rFonts w:ascii="Source Serif 4" w:cs="Source Serif 4" w:eastAsia="Source Serif 4" w:hAnsi="Source Serif 4"/>
          <w:b/>
          <w:bCs/>
          <w:color w:val="4F46E5"/>
          <w:sz w:val="28"/>
          <w:szCs w:val="28"/>
        </w:rPr>
        <w:t xml:space="preserve">4. Kriteria Diagnosis</w:t>
      </w:r>
    </w:p>
    <w:p>
      <w:pPr>
        <w:spacing w:after="160" w:line="300"/>
      </w:pPr>
      <w:r>
        <w:rPr>
          <w:rFonts w:ascii="IBM Plex Sans" w:cs="IBM Plex Sans" w:eastAsia="IBM Plex Sans" w:hAnsi="IBM Plex Sans"/>
          <w:color w:val="334155"/>
          <w:sz w:val="21"/>
          <w:szCs w:val="21"/>
        </w:rPr>
        <w:t xml:space="preserve">Diagnosis tumor jinak ovarium tanpa infertilitas ditegakkan berdasarkan kombinasi anamnesis, temuan pemeriksaan fisik, dan konfirmasi pencitraan ultrasonografi transvaginal (dilengkapi transabdominal bila diperlukan) yang menunjukkan morfologi konsisten jinak menurut kaidah International Ovarian Tumor Analysis (IOTA) Simple Rules, tanpa fitur kecurigaan keganasan (M-rules). Konfirmasi histopatologis pascabedah, mengacu pada WHO Classification of Tumours — Female Genital Tumours edisi ke-5, menjadi baku emas apabila dilakukan tindakan operatif.</w:t>
      </w:r>
    </w:p>
    <w:p>
      <w:pPr>
        <w:spacing w:after="100" w:before="120"/>
      </w:pPr>
      <w:r>
        <w:rPr>
          <w:rFonts w:ascii="IBM Plex Sans" w:cs="IBM Plex Sans" w:eastAsia="IBM Plex Sans" w:hAnsi="IBM Plex Sans"/>
          <w:i/>
          <w:iCs/>
          <w:color w:val="334155"/>
          <w:sz w:val="19"/>
          <w:szCs w:val="19"/>
        </w:rPr>
        <w:t xml:space="preserve">Kode Diagnosis Terverifikasi (Tabel 7 No. 52 Kepkonsil)</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3023"/>
        <w:gridCol w:w="3023"/>
        <w:gridCol w:w="3023"/>
      </w:tblGrid>
      <w:tr>
        <w:trPr>
          <w:tblHeader/>
        </w:trPr>
        <w:tc>
          <w:tcPr>
            <w:tcW w:type="dxa" w:w="302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w:t>
            </w:r>
          </w:p>
        </w:tc>
        <w:tc>
          <w:tcPr>
            <w:tcW w:type="dxa" w:w="302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Nilai</w:t>
            </w:r>
          </w:p>
        </w:tc>
        <w:tc>
          <w:tcPr>
            <w:tcW w:type="dxa" w:w="302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Keterangan</w:t>
            </w:r>
          </w:p>
        </w:tc>
      </w:tr>
      <w:tr>
        <w:tc>
          <w:tcPr>
            <w:tcW w:type="dxa" w:w="3023"/>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ICD-10</w:t>
            </w:r>
          </w:p>
        </w:tc>
        <w:tc>
          <w:tcPr>
            <w:tcW w:type="dxa" w:w="3023"/>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D27</w:t>
            </w:r>
          </w:p>
        </w:tc>
        <w:tc>
          <w:tcPr>
            <w:tcW w:type="dxa" w:w="3023"/>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Neoplasma jinak ovarium (benign neoplasm of ovary)</w:t>
            </w:r>
          </w:p>
        </w:tc>
      </w:tr>
      <w:tr>
        <w:tc>
          <w:tcPr>
            <w:tcW w:type="dxa" w:w="3023"/>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ICD-11</w:t>
            </w:r>
          </w:p>
        </w:tc>
        <w:tc>
          <w:tcPr>
            <w:tcW w:type="dxa" w:w="3023"/>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2F32</w:t>
            </w:r>
          </w:p>
        </w:tc>
        <w:tc>
          <w:tcPr>
            <w:tcW w:type="dxa" w:w="3023"/>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Benign neoplasm of ovary</w:t>
            </w:r>
          </w:p>
        </w:tc>
      </w:tr>
      <w:tr>
        <w:tc>
          <w:tcPr>
            <w:tcW w:type="dxa" w:w="3023"/>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Keterangan/Populasi</w:t>
            </w:r>
          </w:p>
        </w:tc>
        <w:tc>
          <w:tcPr>
            <w:tcW w:type="dxa" w:w="3023"/>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w:t>
            </w:r>
          </w:p>
        </w:tc>
        <w:tc>
          <w:tcPr>
            <w:tcW w:type="dxa" w:w="3023"/>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Tumor ovarium jinak, tidak terkait infertilitas</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mencakup subtipe histologis tumor jinak ovarium yang tersering: kistadenoma serosa, kistadenoma musinosum, teratoma matur (kista dermoid), fibroma/fibrotekoma, dan kista fungsional persisten (folikel atau korpus luteum) yang menetap lebih dari tiga siklus menstruasi.</w:t>
      </w:r>
    </w:p>
    <w:p>
      <w:pPr>
        <w:spacing w:after="160" w:line="300"/>
      </w:pPr>
      <w:r>
        <w:rPr>
          <w:rFonts w:ascii="IBM Plex Sans" w:cs="IBM Plex Sans" w:eastAsia="IBM Plex Sans" w:hAnsi="IBM Plex Sans"/>
          <w:color w:val="334155"/>
          <w:sz w:val="21"/>
          <w:szCs w:val="21"/>
        </w:rPr>
        <w:t xml:space="preserve">Diagnosis banding yang wajib disingkirkan secara sistematis, baik ginekologis maupun non-ginekologis:</w:t>
      </w:r>
    </w:p>
    <w:p>
      <w:pPr>
        <w:pStyle w:val="ListParagraph"/>
        <w:numPr>
          <w:ilvl w:val="0"/>
          <w:numId w:val="2"/>
        </w:numPr>
        <w:spacing w:after="100" w:line="290"/>
      </w:pPr>
      <w:r>
        <w:rPr>
          <w:rFonts w:ascii="IBM Plex Sans" w:cs="IBM Plex Sans" w:eastAsia="IBM Plex Sans" w:hAnsi="IBM Plex Sans"/>
          <w:color w:val="334155"/>
          <w:sz w:val="21"/>
          <w:szCs w:val="21"/>
        </w:rPr>
        <w:t xml:space="preserve">Kista ovarium terpuntir (torsi adneksa) — PPK No. 53.</w:t>
      </w:r>
    </w:p>
    <w:p>
      <w:pPr>
        <w:pStyle w:val="ListParagraph"/>
        <w:numPr>
          <w:ilvl w:val="0"/>
          <w:numId w:val="2"/>
        </w:numPr>
        <w:spacing w:after="100" w:line="290"/>
      </w:pPr>
      <w:r>
        <w:rPr>
          <w:rFonts w:ascii="IBM Plex Sans" w:cs="IBM Plex Sans" w:eastAsia="IBM Plex Sans" w:hAnsi="IBM Plex Sans"/>
          <w:color w:val="334155"/>
          <w:sz w:val="21"/>
          <w:szCs w:val="21"/>
        </w:rPr>
        <w:t xml:space="preserve">Endometrioma ovarium (kista coklat) pada konteks endometriosis.</w:t>
      </w:r>
    </w:p>
    <w:p>
      <w:pPr>
        <w:pStyle w:val="ListParagraph"/>
        <w:numPr>
          <w:ilvl w:val="0"/>
          <w:numId w:val="2"/>
        </w:numPr>
        <w:spacing w:after="100" w:line="290"/>
      </w:pPr>
      <w:r>
        <w:rPr>
          <w:rFonts w:ascii="IBM Plex Sans" w:cs="IBM Plex Sans" w:eastAsia="IBM Plex Sans" w:hAnsi="IBM Plex Sans"/>
          <w:color w:val="334155"/>
          <w:sz w:val="21"/>
          <w:szCs w:val="21"/>
        </w:rPr>
        <w:t xml:space="preserve">Kehamilan ektopik pada wanita usia reproduksi dengan massa adneksa dan keterlambatan haid.</w:t>
      </w:r>
    </w:p>
    <w:p>
      <w:pPr>
        <w:pStyle w:val="ListParagraph"/>
        <w:numPr>
          <w:ilvl w:val="0"/>
          <w:numId w:val="2"/>
        </w:numPr>
        <w:spacing w:after="100" w:line="290"/>
      </w:pPr>
      <w:r>
        <w:rPr>
          <w:rFonts w:ascii="IBM Plex Sans" w:cs="IBM Plex Sans" w:eastAsia="IBM Plex Sans" w:hAnsi="IBM Plex Sans"/>
          <w:color w:val="334155"/>
          <w:sz w:val="21"/>
          <w:szCs w:val="21"/>
        </w:rPr>
        <w:t xml:space="preserve">Mioma uteri subserosa bertangkai yang menyerupai massa adneksa.</w:t>
      </w:r>
    </w:p>
    <w:p>
      <w:pPr>
        <w:pStyle w:val="ListParagraph"/>
        <w:numPr>
          <w:ilvl w:val="0"/>
          <w:numId w:val="2"/>
        </w:numPr>
        <w:spacing w:after="100" w:line="290"/>
      </w:pPr>
      <w:r>
        <w:rPr>
          <w:rFonts w:ascii="IBM Plex Sans" w:cs="IBM Plex Sans" w:eastAsia="IBM Plex Sans" w:hAnsi="IBM Plex Sans"/>
          <w:color w:val="334155"/>
          <w:sz w:val="21"/>
          <w:szCs w:val="21"/>
        </w:rPr>
        <w:t xml:space="preserve">Hidrosalping atau abses tubo-ovarium pada konteks infeksi panggul.</w:t>
      </w:r>
    </w:p>
    <w:p>
      <w:pPr>
        <w:pStyle w:val="ListParagraph"/>
        <w:numPr>
          <w:ilvl w:val="0"/>
          <w:numId w:val="2"/>
        </w:numPr>
        <w:spacing w:after="100" w:line="290"/>
      </w:pPr>
      <w:r>
        <w:rPr>
          <w:rFonts w:ascii="IBM Plex Sans" w:cs="IBM Plex Sans" w:eastAsia="IBM Plex Sans" w:hAnsi="IBM Plex Sans"/>
          <w:color w:val="334155"/>
          <w:sz w:val="21"/>
          <w:szCs w:val="21"/>
        </w:rPr>
        <w:t xml:space="preserve">Diagnosis banding non-ginekologis: massa apendikular/abses periapendikular, massa divertikular, atau ginjal pelvis ektopik yang secara pencitraan dapat menyerupai massa adneksa.</w:t>
      </w:r>
    </w:p>
    <w:p>
      <w:pPr>
        <w:pStyle w:val="ListParagraph"/>
        <w:numPr>
          <w:ilvl w:val="0"/>
          <w:numId w:val="2"/>
        </w:numPr>
        <w:spacing w:after="100" w:line="290"/>
      </w:pPr>
      <w:r>
        <w:rPr>
          <w:rFonts w:ascii="IBM Plex Sans" w:cs="IBM Plex Sans" w:eastAsia="IBM Plex Sans" w:hAnsi="IBM Plex Sans"/>
          <w:color w:val="334155"/>
          <w:sz w:val="21"/>
          <w:szCs w:val="21"/>
        </w:rPr>
        <w:t xml:space="preserve">Tumor ovarium borderline dan keganasan ovarium primer atau sekunder (metastasis), sebagai diagnosis banding utama yang disingkirkan melalui stratifikasi risiko sistematis.</w:t>
      </w: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pStyle w:val="ListParagraph"/>
        <w:numPr>
          <w:ilvl w:val="0"/>
          <w:numId w:val="2"/>
        </w:numPr>
        <w:spacing w:after="100" w:line="290"/>
      </w:pPr>
      <w:r>
        <w:rPr>
          <w:rFonts w:ascii="IBM Plex Sans" w:cs="IBM Plex Sans" w:eastAsia="IBM Plex Sans" w:hAnsi="IBM Plex Sans"/>
          <w:color w:val="334155"/>
          <w:sz w:val="21"/>
          <w:szCs w:val="21"/>
        </w:rPr>
        <w:t xml:space="preserve">Ultrasonografi transvaginal (dilengkapi transabdominal pada massa besar) sebagai modalitas pencitraan lini pertama, dengan pelaporan morfologi terstruktur mengikuti kaidah IOTA Simple Rules (B-features vs M-features) untuk stratifikasi awal risiko jinak/ganas.</w:t>
      </w:r>
    </w:p>
    <w:p>
      <w:pPr>
        <w:pStyle w:val="ListParagraph"/>
        <w:numPr>
          <w:ilvl w:val="0"/>
          <w:numId w:val="2"/>
        </w:numPr>
        <w:spacing w:after="100" w:line="290"/>
      </w:pPr>
      <w:r>
        <w:rPr>
          <w:rFonts w:ascii="IBM Plex Sans" w:cs="IBM Plex Sans" w:eastAsia="IBM Plex Sans" w:hAnsi="IBM Plex Sans"/>
          <w:color w:val="334155"/>
          <w:sz w:val="21"/>
          <w:szCs w:val="21"/>
        </w:rPr>
        <w:t xml:space="preserve">Model ADNEX (Assessment of Different NEoplasias in the adneXa) dari kelompok IOTA dapat digunakan sebagai pelengkap Simple Rules pada kasus dengan hasil inkonklusif, karena menggabungkan sembilan prediktor klinis dan ultrasonografi (usia, kadar CA-125, jenis pusat layanan, diameter maksimal lesi, proporsi jaringan padat, jumlah lokulus kistik, jumlah proyeksi papiler, bayangan akustik, dan asites) untuk memperkirakan risiko keganasan secara lebih terperinci.</w:t>
      </w:r>
    </w:p>
    <w:p>
      <w:pPr>
        <w:pStyle w:val="ListParagraph"/>
        <w:numPr>
          <w:ilvl w:val="0"/>
          <w:numId w:val="2"/>
        </w:numPr>
        <w:spacing w:after="100" w:line="290"/>
      </w:pPr>
      <w:r>
        <w:rPr>
          <w:rFonts w:ascii="IBM Plex Sans" w:cs="IBM Plex Sans" w:eastAsia="IBM Plex Sans" w:hAnsi="IBM Plex Sans"/>
          <w:color w:val="334155"/>
          <w:sz w:val="21"/>
          <w:szCs w:val="21"/>
        </w:rPr>
        <w:t xml:space="preserve">Petanda tumor serum: CA-125, terutama pada wanita perimenopause/postmenopause atau bila morfologi USG meragukan; HE4 dan indeks ROMA (Risk of Ovarian Malignancy Algorithm) sebagai pelengkap bila tersedia; AFP, β-hCG, dan LDH dipertimbangkan pada wanita muda dengan kecurigaan tumor sel germinal (misalnya teratoma imatur).</w:t>
      </w:r>
    </w:p>
    <w:p>
      <w:pPr>
        <w:pStyle w:val="ListParagraph"/>
        <w:numPr>
          <w:ilvl w:val="0"/>
          <w:numId w:val="2"/>
        </w:numPr>
        <w:spacing w:after="100" w:line="290"/>
      </w:pPr>
      <w:r>
        <w:rPr>
          <w:rFonts w:ascii="IBM Plex Sans" w:cs="IBM Plex Sans" w:eastAsia="IBM Plex Sans" w:hAnsi="IBM Plex Sans"/>
          <w:color w:val="334155"/>
          <w:sz w:val="21"/>
          <w:szCs w:val="21"/>
        </w:rPr>
        <w:t xml:space="preserve">Risk of Malignancy Index (RMI) — menggabungkan status menopause, skor morfologi USG, dan kadar CA-125 — tetap menjadi salah satu alat stratifikasi risiko yang paling luas digunakan untuk menentukan jalur rujukan, meskipun performa diagnostiknya secara umum berada di bawah IOTA Simple Rules maupun ADNEX pada studi validasi.</w:t>
      </w:r>
    </w:p>
    <w:p>
      <w:pPr>
        <w:pStyle w:val="ListParagraph"/>
        <w:numPr>
          <w:ilvl w:val="0"/>
          <w:numId w:val="2"/>
        </w:numPr>
        <w:spacing w:after="100" w:line="290"/>
      </w:pPr>
      <w:r>
        <w:rPr>
          <w:rFonts w:ascii="IBM Plex Sans" w:cs="IBM Plex Sans" w:eastAsia="IBM Plex Sans" w:hAnsi="IBM Plex Sans"/>
          <w:color w:val="334155"/>
          <w:sz w:val="21"/>
          <w:szCs w:val="21"/>
        </w:rPr>
        <w:t xml:space="preserve">Magnetic Resonance Imaging (MRI) pelvis sebagai modalitas lini kedua pada kasus dengan hasil USG inkonklusif, khususnya untuk mengevaluasi kandungan lemak (mengarah pada teratoma) atau komponen padat yang meragukan.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laboratorium dasar (darah perifer lengkap, fungsi hati dan ginjal) serta tes kehamilan pada wanita usia reproduksi untuk menyingkirkan kehamilan ektopik.</w:t>
      </w:r>
    </w:p>
    <w:p>
      <w:pPr>
        <w:pStyle w:val="Heading1"/>
        <w:spacing w:after="160" w:before="320"/>
      </w:pPr>
      <w:r>
        <w:rPr>
          <w:rFonts w:ascii="Source Serif 4" w:cs="Source Serif 4" w:eastAsia="Source Serif 4" w:hAnsi="Source Serif 4"/>
          <w:b/>
          <w:bCs/>
          <w:color w:val="4F46E5"/>
          <w:sz w:val="28"/>
          <w:szCs w:val="28"/>
        </w:rPr>
        <w:t xml:space="preserve">7. Tata Laksana</w:t>
      </w:r>
    </w:p>
    <w:p>
      <w:pPr>
        <w:pStyle w:val="Heading2"/>
        <w:spacing w:after="120" w:before="220"/>
      </w:pPr>
      <w:r>
        <w:rPr>
          <w:rFonts w:ascii="Source Serif 4" w:cs="Source Serif 4" w:eastAsia="Source Serif 4" w:hAnsi="Source Serif 4"/>
          <w:b/>
          <w:bCs/>
          <w:color w:val="4F46E5"/>
          <w:sz w:val="24"/>
          <w:szCs w:val="24"/>
        </w:rPr>
        <w:t xml:space="preserve">7.1 Tata Laksana Non-Farmakologis</w:t>
      </w:r>
    </w:p>
    <w:p>
      <w:pPr>
        <w:spacing w:after="160" w:line="300"/>
      </w:pPr>
      <w:r>
        <w:rPr>
          <w:rFonts w:ascii="IBM Plex Sans" w:cs="IBM Plex Sans" w:eastAsia="IBM Plex Sans" w:hAnsi="IBM Plex Sans"/>
          <w:color w:val="334155"/>
          <w:sz w:val="21"/>
          <w:szCs w:val="21"/>
        </w:rPr>
        <w:t xml:space="preserve">Observasi berkala dengan USG ulang merupakan pendekatan utama untuk kista sederhana (simple cyst) berukuran kecil hingga sedang (umumnya &lt;5–10 cm menurut morfologi) tanpa fitur kecurigaan pada wanita usia reproduksi, mengingat sebagian besar bersifat fungsional dan mengalami resolusi spontan dalam beberapa siklus menstruasi. Interval evaluasi ulang lazimnya 8–12 minggu, disertai edukasi tanda kewaspadaan (nyeri akut) selama masa observasi. Aspirasi jarum atau parasentesis kista secara membabi buta tidak direkomendasikan sebagai modalitas diagnostik maupun terapeutik pada massa kistik ovarium karena berisiko menyebabkan ruptur kista, peritonitis kimiawi, penyebaran sel tumor, serta menunda diagnosis definitif.</w:t>
      </w:r>
    </w:p>
    <w:p>
      <w:pPr>
        <w:pStyle w:val="Heading2"/>
        <w:spacing w:after="120" w:before="220"/>
      </w:pPr>
      <w:r>
        <w:rPr>
          <w:rFonts w:ascii="Source Serif 4" w:cs="Source Serif 4" w:eastAsia="Source Serif 4" w:hAnsi="Source Serif 4"/>
          <w:b/>
          <w:bCs/>
          <w:color w:val="4F46E5"/>
          <w:sz w:val="24"/>
          <w:szCs w:val="24"/>
        </w:rPr>
        <w:t xml:space="preserve">7.2 Tata Laksana Farmakologis</w:t>
      </w:r>
    </w:p>
    <w:p>
      <w:pPr>
        <w:spacing w:after="160" w:line="300"/>
      </w:pPr>
      <w:r>
        <w:rPr>
          <w:rFonts w:ascii="IBM Plex Sans" w:cs="IBM Plex Sans" w:eastAsia="IBM Plex Sans" w:hAnsi="IBM Plex Sans"/>
          <w:color w:val="334155"/>
          <w:sz w:val="21"/>
          <w:szCs w:val="21"/>
        </w:rPr>
        <w:t xml:space="preserve">Tidak terdapat terapi farmakologis yang terbukti dapat menghilangkan tumor jinak ovarium struktural yang telah terbentuk. Analgesia diberikan sesuai kebutuhan untuk nyeri ringan-sedang. Kontrasepsi hormonal kombinasi tidak direkomendasikan sebagai terapi untuk mempercepat resolusi kista yang sudah ada, namun bermanfaat mencegah pembentukan kista fungsional baru pada pasien dengan riwayat rekuren.</w:t>
      </w:r>
    </w:p>
    <w:p>
      <w:pPr>
        <w:pStyle w:val="Heading2"/>
        <w:spacing w:after="120" w:before="220"/>
      </w:pPr>
      <w:r>
        <w:rPr>
          <w:rFonts w:ascii="Source Serif 4" w:cs="Source Serif 4" w:eastAsia="Source Serif 4" w:hAnsi="Source Serif 4"/>
          <w:b/>
          <w:bCs/>
          <w:color w:val="4F46E5"/>
          <w:sz w:val="24"/>
          <w:szCs w:val="24"/>
        </w:rPr>
        <w:t xml:space="preserve">7.3 Tata Laksana Bedah/Prosedural</w:t>
      </w:r>
    </w:p>
    <w:p>
      <w:pPr>
        <w:spacing w:after="160" w:line="300"/>
      </w:pPr>
      <w:r>
        <w:rPr>
          <w:rFonts w:ascii="IBM Plex Sans" w:cs="IBM Plex Sans" w:eastAsia="IBM Plex Sans" w:hAnsi="IBM Plex Sans"/>
          <w:color w:val="334155"/>
          <w:sz w:val="21"/>
          <w:szCs w:val="21"/>
        </w:rPr>
        <w:t xml:space="preserve">Indikasi tindakan bedah meliputi: massa persisten berukuran besar atau bertambah pada pemantauan, morfologi kompleks atau meragukan pada USG ulang, gejala simtomatik bermakna, dan seluruh massa adneksa persisten pada wanita postmenopause. Pendekatan laparoskopi merupakan standar baku untuk massa dengan morfologi jinak pada evaluasi praoperatif. Tinjauan sistematis Cochrane atas uji klinis acak yang membandingkan laparoskopi dengan laparotomi pada tumor ovarium jinak melaporkan bahwa laparoskopi berkaitan dengan penurunan demam pascaoperasi, infeksi saluran kemih, komplikasi pascaoperasi secara umum, nyeri pascaoperasi, lama rawat inap, dan biaya perawatan, tanpa perbedaan bermakna pada angka kekambuhan tumor.</w:t>
      </w:r>
    </w:p>
    <w:p>
      <w:pPr>
        <w:spacing w:after="160" w:line="300"/>
      </w:pPr>
      <w:r>
        <w:rPr>
          <w:rFonts w:ascii="IBM Plex Sans" w:cs="IBM Plex Sans" w:eastAsia="IBM Plex Sans" w:hAnsi="IBM Plex Sans"/>
          <w:color w:val="334155"/>
          <w:sz w:val="21"/>
          <w:szCs w:val="21"/>
        </w:rPr>
        <w:t xml:space="preserve">Kistektomi ovarium (pengangkatan kista dengan mempertahankan jaringan ovarium sehat) menjadi prosedur pilihan pada wanita usia reproduksi untuk mempertahankan cadangan ovarium, sedangkan ooforektomi dipertimbangkan pada wanita perimenopause/postmenopause, massa bilateral, atau kasus rekuren multipel. Prinsip bedah wajib mencegah tumpahan isi kista ke rongga peritoneum (spillage) melalui penggunaan kantong endoskopik (endobag) saat ekstraksi, mengingat penilaian praoperatif tidak dapat sepenuhnya menyingkirkan keganasan. Pemeriksaan potong beku (frozen section) intraoperatif dipertimbangkan pada kasus dengan kecurigaan sedang untuk memandu luasnya tindakan dalam satu sesi operasi, dengan hasil akhir tetap mengacu pada pemeriksaan histopatologi definitif pascaoperasi.</w:t>
      </w:r>
    </w:p>
    <w:p>
      <w:pPr>
        <w:pStyle w:val="Heading2"/>
        <w:spacing w:after="120" w:before="220"/>
      </w:pPr>
      <w:r>
        <w:rPr>
          <w:rFonts w:ascii="Source Serif 4" w:cs="Source Serif 4" w:eastAsia="Source Serif 4" w:hAnsi="Source Serif 4"/>
          <w:b/>
          <w:bCs/>
          <w:color w:val="4F46E5"/>
          <w:sz w:val="24"/>
          <w:szCs w:val="24"/>
        </w:rPr>
        <w:t xml:space="preserve">7.4 Kriteria Rujukan ke Subspesialis Onkologi Ginekologi</w:t>
      </w:r>
    </w:p>
    <w:p>
      <w:pPr>
        <w:spacing w:after="160" w:line="300"/>
      </w:pPr>
      <w:r>
        <w:rPr>
          <w:rFonts w:ascii="IBM Plex Sans" w:cs="IBM Plex Sans" w:eastAsia="IBM Plex Sans" w:hAnsi="IBM Plex Sans"/>
          <w:color w:val="334155"/>
          <w:sz w:val="21"/>
          <w:szCs w:val="21"/>
        </w:rPr>
        <w:t xml:space="preserve">Rujukan ke subspesialis Onkologi Ginekologi dilakukan apabila dijumpai salah satu dari: fitur M-rules IOTA pada USG (massa padat ireguler, asites, ≥4 struktur papiler, massa multilokular padat ireguler berdiameter ≥100 mm, aliran darah sangat kuat pada Doppler); skor RMI atau risiko ADNEX yang tinggi; kadar CA-125 sangat tinggi di luar konteks fisiologis; adanya asites atau tanda metastasis abdominal/jauh; serta riwayat keluarga kuat kanker ovarium atau payudara herediter derajat pertama. Kasus dengan kriteria di atas tidak dikelola dalam alur PPK ini dan wajib dialihkan ke jalur tata laksana keganasan ovarium yang sesuai, idealnya melalui diskusi tim multidisiplin (tumor board) bila tersedia di fasilitas layanan.</w:t>
      </w:r>
    </w:p>
    <w:p>
      <w:pPr>
        <w:spacing w:after="0" w:before="160"/>
      </w:pPr>
    </w:p>
    <w:tbl>
      <w:tblPr>
        <w:tblW w:type="dxa" w:w="9070"/>
        <w:tblBorders>
          <w:top w:val="single" w:color="B45309" w:sz="6"/>
          <w:left w:val="single" w:color="B45309" w:sz="24"/>
          <w:bottom w:val="single" w:color="B45309" w:sz="6"/>
          <w:right w:val="single" w:color="B45309" w:sz="6"/>
          <w:insideH w:val="single" w:color="auto" w:sz="4"/>
          <w:insideV w:val="single" w:color="auto" w:sz="4"/>
        </w:tblBorders>
      </w:tblPr>
      <w:tblGrid>
        <w:gridCol w:w="9070"/>
      </w:tblGrid>
      <w:tr>
        <w:tc>
          <w:tcPr>
            <w:tcW w:type="dxa" w:w="9070"/>
            <w:shd w:fill="FFF7ED" w:val="clear"/>
            <w:tcMar>
              <w:top w:type="dxa" w:w="160"/>
              <w:left w:type="dxa" w:w="220"/>
              <w:bottom w:type="dxa" w:w="160"/>
              <w:right w:type="dxa" w:w="220"/>
            </w:tcMar>
          </w:tcPr>
          <w:p>
            <w:pPr>
              <w:spacing w:after="80"/>
            </w:pPr>
            <w:r>
              <w:rPr>
                <w:rFonts w:ascii="IBM Plex Sans" w:cs="IBM Plex Sans" w:eastAsia="IBM Plex Sans" w:hAnsi="IBM Plex Sans"/>
                <w:b/>
                <w:bCs/>
                <w:color w:val="B45309"/>
                <w:sz w:val="20"/>
                <w:szCs w:val="20"/>
              </w:rPr>
              <w:t xml:space="preserve">Kontribusi Divisi Pengampu — Onkologi Ginekologi</w:t>
            </w:r>
          </w:p>
          <w:p>
            <w:pPr>
              <w:spacing w:after="0" w:line="280"/>
            </w:pPr>
            <w:r>
              <w:rPr>
                <w:rFonts w:ascii="IBM Plex Sans" w:cs="IBM Plex Sans" w:eastAsia="IBM Plex Sans" w:hAnsi="IBM Plex Sans"/>
                <w:color w:val="334155"/>
                <w:sz w:val="20"/>
                <w:szCs w:val="20"/>
              </w:rPr>
              <w:t xml:space="preserve">A. Deskripsi: Perspektif Onkologi Ginekologi relevan pada PPK ini karena keputusan operasional terpenting — observasi versus rujukan segera — bertumpu pada akurasi stratifikasi risiko keganasan praoperatif.
B. Penerapan Stratifikasi Risiko Terstandar: Divisi Onkologi Ginekologi menekankan penerapan konsisten alat stratifikasi terstandar (IOTA Simple Rules, model ADNEX, dan/atau RMI) di seluruh fasilitas layanan, disertai jalur rujukan yang jelas dan cepat bila skor menunjukkan risiko tinggi, untuk menghindari keterlambatan penanganan keganasan yang tersamar sebagai tumor jinak.
C. Ilustrasi Kasus Lapangan: Seorang wanita usia 52 tahun dengan massa ovarium unilokular 4 cm tanpa komponen padat pada USG awal dikelola secara observasi; pada kontrol 12 minggu ditemukan pertumbuhan disertai komponen papiler, sehingga skor RMI dihitung ulang dan pasien dirujuk ke Onkologi Ginekologi sebelum tindakan definitif, sesuai kriteria rujukan pada bagian 7.4.</w:t>
            </w:r>
          </w:p>
        </w:tc>
      </w:tr>
    </w:tbl>
    <w:p>
      <w:pPr>
        <w:pStyle w:val="Heading1"/>
        <w:spacing w:after="160" w:before="320"/>
      </w:pPr>
      <w:r>
        <w:rPr>
          <w:rFonts w:ascii="Source Serif 4" w:cs="Source Serif 4" w:eastAsia="Source Serif 4" w:hAnsi="Source Serif 4"/>
          <w:b/>
          <w:bCs/>
          <w:color w:val="4F46E5"/>
          <w:sz w:val="28"/>
          <w:szCs w:val="28"/>
        </w:rPr>
        <w:t xml:space="preserve">8. Edukasi Pasien dan Keluarga</w:t>
      </w:r>
    </w:p>
    <w:p>
      <w:pPr>
        <w:spacing w:after="160" w:line="300"/>
      </w:pPr>
      <w:r>
        <w:rPr>
          <w:rFonts w:ascii="IBM Plex Sans" w:cs="IBM Plex Sans" w:eastAsia="IBM Plex Sans" w:hAnsi="IBM Plex Sans"/>
          <w:color w:val="334155"/>
          <w:sz w:val="21"/>
          <w:szCs w:val="21"/>
        </w:rPr>
        <w:t xml:space="preserve">Edukasi mencakup penjelasan sifat jinak dari temuan saat ini, rasional pilihan tata laksana (observasi terjadwal atau tindakan bedah), pentingnya kepatuhan terhadap jadwal kontrol USG, serta tanda kewaspadaan yang memerlukan kunjungan segera ke fasilitas gawat darurat (nyeri perut mendadak dan hebat, demam, atau tanda syok). Pasien dan keluarga juga diberikan informasi mengenai dampak potensial tindakan bedah terhadap cadangan ovarium dan fertilitas di masa depan, termasuk keunggulan pendekatan yang mempertahankan jaringan ovarium sehat bila memungkinkan secara klinis. Proses pengambilan keputusan bersama (shared decision making) dianjurkan, termasuk persetujuan tindakan yang secara eksplisit mencakup kemungkinan perluasan tindakan menjadi ooforektomi apabila ditemukan gambaran mencurigakan saat operasi berlangsung.</w:t>
      </w:r>
    </w:p>
    <w:p>
      <w:pPr>
        <w:pStyle w:val="Heading1"/>
        <w:spacing w:after="160" w:before="320"/>
      </w:pPr>
      <w:r>
        <w:rPr>
          <w:rFonts w:ascii="Source Serif 4" w:cs="Source Serif 4" w:eastAsia="Source Serif 4" w:hAnsi="Source Serif 4"/>
          <w:b/>
          <w:bCs/>
          <w:color w:val="4F46E5"/>
          <w:sz w:val="28"/>
          <w:szCs w:val="28"/>
        </w:rPr>
        <w:t xml:space="preserve">9. Prognosis</w:t>
      </w:r>
    </w:p>
    <w:p>
      <w:pPr>
        <w:spacing w:after="160" w:line="300"/>
      </w:pPr>
      <w:r>
        <w:rPr>
          <w:rFonts w:ascii="IBM Plex Sans" w:cs="IBM Plex Sans" w:eastAsia="IBM Plex Sans" w:hAnsi="IBM Plex Sans"/>
          <w:color w:val="334155"/>
          <w:sz w:val="21"/>
          <w:szCs w:val="21"/>
        </w:rPr>
        <w:t xml:space="preserve">Prognosis tumor jinak ovarium tanpa infertilitas secara umum baik dengan tata laksana yang sesuai, baik melalui observasi maupun tindakan bedah konservatif. Risiko rekurensi kista bervariasi menurut jenis histologis dan luas reseksi; teratoma matur, misalnya, memiliki kecenderungan lebih tinggi untuk timbul kembali pada ovarium kontralateral dibandingkan kistadenoma sederhana. Risiko transformasi maligna pada tumor yang telah dikonfirmasi jinak secara histopatologis tergolong rendah. Pemantauan pascatindakan tetap dianjurkan, khususnya pada pasien dengan riwayat multipel atau bilateral, untuk mendeteksi dini kekambuhan atau temuan baru.</w:t>
      </w:r>
    </w:p>
    <w:p>
      <w:pPr>
        <w:pStyle w:val="Heading1"/>
        <w:spacing w:after="160" w:before="320"/>
      </w:pPr>
      <w:r>
        <w:rPr>
          <w:rFonts w:ascii="Source Serif 4" w:cs="Source Serif 4" w:eastAsia="Source Serif 4" w:hAnsi="Source Serif 4"/>
          <w:b/>
          <w:bCs/>
          <w:color w:val="4F46E5"/>
          <w:sz w:val="28"/>
          <w:szCs w:val="28"/>
        </w:rPr>
        <w:t xml:space="preserve">10. Tingkat Evidens dan Rekomendasi</w:t>
      </w:r>
    </w:p>
    <w:p>
      <w:pPr>
        <w:spacing w:after="160" w:line="300"/>
      </w:pPr>
      <w:r>
        <w:rPr>
          <w:rFonts w:ascii="IBM Plex Sans" w:cs="IBM Plex Sans" w:eastAsia="IBM Plex Sans" w:hAnsi="IBM Plex Sans"/>
          <w:color w:val="334155"/>
          <w:sz w:val="21"/>
          <w:szCs w:val="21"/>
        </w:rPr>
        <w:t xml:space="preserve">Tingkat evidens mengikuti skala baku U.S. Preventive Services Task Force (I, II-1, II-2, II-3, III) yang lazim digunakan pada Practice Bulletin/Green-top Guideline yang dikutip.</w:t>
      </w:r>
    </w:p>
    <w:p>
      <w:pPr>
        <w:spacing w:after="100" w:before="120"/>
      </w:pPr>
      <w:r>
        <w:rPr>
          <w:rFonts w:ascii="IBM Plex Sans" w:cs="IBM Plex Sans" w:eastAsia="IBM Plex Sans" w:hAnsi="IBM Plex Sans"/>
          <w:i/>
          <w:iCs/>
          <w:color w:val="334155"/>
          <w:sz w:val="19"/>
          <w:szCs w:val="19"/>
        </w:rPr>
        <w:t xml:space="preserve">Ringkasan Tingkat Evidens dan Rekomendasi</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2267"/>
        <w:gridCol w:w="2267"/>
        <w:gridCol w:w="2267"/>
        <w:gridCol w:w="2267"/>
      </w:tblGrid>
      <w:tr>
        <w:trPr>
          <w:tblHeader/>
        </w:trPr>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 Tata Laksana</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67"/>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USG transvaginal sebagai modalitas diagnostik lini pertama</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II-2</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 (A)</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PB No. 174; RCOG GTG No. 62</w:t>
            </w:r>
          </w:p>
        </w:tc>
      </w:tr>
      <w:tr>
        <w:tc>
          <w:tcPr>
            <w:tcW w:type="dxa" w:w="2267"/>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Penggunaan IOTA Simple Rules/ADNEX untuk stratifikasi risiko</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 (A)</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ESGO/ISUOG/IOTA/ESGE Consensus 2021</w:t>
            </w:r>
          </w:p>
        </w:tc>
      </w:tr>
      <w:tr>
        <w:tc>
          <w:tcPr>
            <w:tcW w:type="dxa" w:w="2267"/>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RMI sebagai alat triase kombinasi USG–menopause–CA-125</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II-2</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 (B)</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GTG No. 62; Jacobs dkk. 1990</w:t>
            </w:r>
          </w:p>
        </w:tc>
      </w:tr>
      <w:tr>
        <w:tc>
          <w:tcPr>
            <w:tcW w:type="dxa" w:w="2267"/>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Pendekatan laparoskopi pada massa bermorfologi jinak</w:t>
            </w:r>
          </w:p>
        </w:tc>
        <w:tc>
          <w:tcPr>
            <w:tcW w:type="dxa" w:w="2267"/>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I</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 (A)</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Cochrane — Medeiros dkk. 2009</w:t>
            </w:r>
          </w:p>
        </w:tc>
      </w:tr>
      <w:tr>
        <w:tc>
          <w:tcPr>
            <w:tcW w:type="dxa" w:w="2267"/>
            <w:shd w:fill="FFFFFF"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Observasi kista sederhana tanpa fitur kecurigaan pada usia reproduksi</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II-3</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 (B)</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PB No. 174; SOGC No. 404</w:t>
            </w:r>
          </w:p>
        </w:tc>
      </w:tr>
      <w:tr>
        <w:tc>
          <w:tcPr>
            <w:tcW w:type="dxa" w:w="2267"/>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Aspirasi/parasentesis kista tidak dianjurkan sebagai tata laksana rutin</w:t>
            </w:r>
          </w:p>
        </w:tc>
        <w:tc>
          <w:tcPr>
            <w:tcW w:type="dxa" w:w="2267"/>
            <w:shd w:fill="F1F5F9" w:val="clear"/>
            <w:tcMar>
              <w:top w:type="dxa" w:w="90"/>
              <w:left w:type="dxa" w:w="120"/>
              <w:bottom w:type="dxa" w:w="90"/>
              <w:right w:type="dxa" w:w="120"/>
            </w:tcMar>
          </w:tcPr>
          <w:p>
            <w:r>
              <w:rPr>
                <w:rFonts w:ascii="IBM Plex Mono" w:cs="IBM Plex Mono" w:eastAsia="IBM Plex Mono" w:hAnsi="IBM Plex Mono"/>
                <w:color w:val="334155"/>
                <w:sz w:val="19"/>
                <w:szCs w:val="19"/>
              </w:rPr>
              <w:t xml:space="preserve">III</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 melawan (D)</w:t>
            </w:r>
          </w:p>
        </w:tc>
        <w:tc>
          <w:tcPr>
            <w:tcW w:type="dxa" w:w="2267"/>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ACOG PB No. 174</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2"/>
        </w:numPr>
        <w:spacing w:after="100" w:line="290"/>
      </w:pPr>
      <w:r>
        <w:rPr>
          <w:rFonts w:ascii="IBM Plex Sans" w:cs="IBM Plex Sans" w:eastAsia="IBM Plex Sans" w:hAnsi="IBM Plex Sans"/>
          <w:color w:val="334155"/>
          <w:sz w:val="21"/>
          <w:szCs w:val="21"/>
        </w:rPr>
        <w:t xml:space="preserve">Proporsi pasien dengan hasil histopatologi pascabedah yang sesuai dengan diagnosis praoperatif (target ≥90% sebagai acuan mutu internal, mengingat belum tersedia ambang nasional yang dipublikasikan resmi).</w:t>
      </w:r>
    </w:p>
    <w:p>
      <w:pPr>
        <w:pStyle w:val="ListParagraph"/>
        <w:numPr>
          <w:ilvl w:val="0"/>
          <w:numId w:val="2"/>
        </w:numPr>
        <w:spacing w:after="100" w:line="290"/>
      </w:pPr>
      <w:r>
        <w:rPr>
          <w:rFonts w:ascii="IBM Plex Sans" w:cs="IBM Plex Sans" w:eastAsia="IBM Plex Sans" w:hAnsi="IBM Plex Sans"/>
          <w:color w:val="334155"/>
          <w:sz w:val="21"/>
          <w:szCs w:val="21"/>
        </w:rPr>
        <w:t xml:space="preserve">Proporsi kasus dengan kriteria M-rules IOTA/RMI/ADNEX berisiko tinggi yang dirujuk ke Onkologi Ginekologi sebelum tindakan definitif (target 100%).</w:t>
      </w:r>
    </w:p>
    <w:p>
      <w:pPr>
        <w:pStyle w:val="ListParagraph"/>
        <w:numPr>
          <w:ilvl w:val="0"/>
          <w:numId w:val="2"/>
        </w:numPr>
        <w:spacing w:after="100" w:line="290"/>
      </w:pPr>
      <w:r>
        <w:rPr>
          <w:rFonts w:ascii="IBM Plex Sans" w:cs="IBM Plex Sans" w:eastAsia="IBM Plex Sans" w:hAnsi="IBM Plex Sans"/>
          <w:color w:val="334155"/>
          <w:sz w:val="21"/>
          <w:szCs w:val="21"/>
        </w:rPr>
        <w:t xml:space="preserve">Angka komplikasi bedah terkait tumpahan isi kista (spillage) intraoperatif.</w:t>
      </w:r>
    </w:p>
    <w:p>
      <w:pPr>
        <w:pStyle w:val="ListParagraph"/>
        <w:numPr>
          <w:ilvl w:val="0"/>
          <w:numId w:val="2"/>
        </w:numPr>
        <w:spacing w:after="100" w:line="290"/>
      </w:pPr>
      <w:r>
        <w:rPr>
          <w:rFonts w:ascii="IBM Plex Sans" w:cs="IBM Plex Sans" w:eastAsia="IBM Plex Sans" w:hAnsi="IBM Plex Sans"/>
          <w:color w:val="334155"/>
          <w:sz w:val="21"/>
          <w:szCs w:val="21"/>
        </w:rPr>
        <w:t xml:space="preserve">Angka kekambuhan kista/tumor pada evaluasi ulang 12 bulan pascatindakan konservatif.</w:t>
      </w:r>
    </w:p>
    <w:p>
      <w:pPr>
        <w:pStyle w:val="ListParagraph"/>
        <w:numPr>
          <w:ilvl w:val="0"/>
          <w:numId w:val="2"/>
        </w:numPr>
        <w:spacing w:after="100" w:line="290"/>
      </w:pPr>
      <w:r>
        <w:rPr>
          <w:rFonts w:ascii="IBM Plex Sans" w:cs="IBM Plex Sans" w:eastAsia="IBM Plex Sans" w:hAnsi="IBM Plex Sans"/>
          <w:color w:val="334155"/>
          <w:sz w:val="21"/>
          <w:szCs w:val="21"/>
        </w:rPr>
        <w:t xml:space="preserve">Kepatuhan dokumentasi stratifikasi risiko (IOTA/RMI/ADNEX) pada rekam medis sebelum keputusan tata laksana.</w:t>
      </w:r>
    </w:p>
    <w:p>
      <w:pPr>
        <w:pStyle w:val="Heading1"/>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menetapkan tumor jinak ovarium tanpa infertilitas sebagai kompetensi inti spesialis Obstetri dan Ginekologi (ICD-10 D27; ICD-11 2F32), tanpa merinci algoritma diagnostik-terapeutik pada tingkat tabel kompetensi. Untuk pengayaan algoritma klinis, PPK ini merujuk standar internasional berikut.</w:t>
      </w:r>
    </w:p>
    <w:p>
      <w:pPr>
        <w:pStyle w:val="ListParagraph"/>
        <w:numPr>
          <w:ilvl w:val="0"/>
          <w:numId w:val="2"/>
        </w:numPr>
        <w:spacing w:after="100" w:line="290"/>
      </w:pPr>
      <w:r>
        <w:rPr>
          <w:rFonts w:ascii="IBM Plex Sans" w:cs="IBM Plex Sans" w:eastAsia="IBM Plex Sans" w:hAnsi="IBM Plex Sans"/>
          <w:color w:val="334155"/>
          <w:sz w:val="21"/>
          <w:szCs w:val="21"/>
        </w:rPr>
        <w:t xml:space="preserve">American College of Obstetricians and Gynecologists (ACOG), Practice Bulletin No. 174 (2016): menegaskan bahwa tujuan utama evaluasi massa adneksa adalah menyingkirkan kemungkinan keganasan, dengan keputusan tata laksana yang banyak dipengaruhi usia serta riwayat keluarga pasien, dan secara eksplisit menyatakan aspirasi/parasentesis kista bukan tata laksana yang dianjurkan — sejalan dengan pendekatan stratifikasi risiko dan larangan aspirasi rutin pada PPK ini.</w:t>
      </w:r>
    </w:p>
    <w:p>
      <w:pPr>
        <w:pStyle w:val="ListParagraph"/>
        <w:numPr>
          <w:ilvl w:val="0"/>
          <w:numId w:val="2"/>
        </w:numPr>
        <w:spacing w:after="100" w:line="290"/>
      </w:pPr>
      <w:r>
        <w:rPr>
          <w:rFonts w:ascii="IBM Plex Sans" w:cs="IBM Plex Sans" w:eastAsia="IBM Plex Sans" w:hAnsi="IBM Plex Sans"/>
          <w:color w:val="334155"/>
          <w:sz w:val="21"/>
          <w:szCs w:val="21"/>
        </w:rPr>
        <w:t xml:space="preserve">Royal College of Obstetricians and Gynaecologists (RCOG)/British Society for Gynaecological Endoscopy, Green-top Guideline No. 62 (2011): merekomendasikan Risk of Malignancy Index sebagai model stratifikasi yang luas digunakan, dengan aturan ultrasonografi IOTA menunjukkan sensitivitas dan spesifisitas yang lebih tinggi pada studi-studi lanjutan — PPK ini mengadopsi kombinasi RMI dan IOTA Simple Rules sebagai alat stratifikasi standar pada bagian Pemeriksaan Penunjang dan Kriteria Rujukan.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ESGO/ISUOG/IOTA/ESGE Consensus Statement (2021), yang disusun bersama International Society of Ultrasound in Obstetrics and Gynecology (ISUOG): menekankan pentingnya karakterisasi akurat lesi adneksa baru untuk menentukan jalur tata laksana yang tepat, dengan pasien bermassa curiga ganas dirujuk ke pusat onkologi ginekologi — konsisten dengan kriteria rujukan pada bagian 7.4 PPK ini.</w:t>
      </w:r>
    </w:p>
    <w:p>
      <w:pPr>
        <w:pStyle w:val="ListParagraph"/>
        <w:numPr>
          <w:ilvl w:val="0"/>
          <w:numId w:val="2"/>
        </w:numPr>
        <w:spacing w:after="100" w:line="290"/>
      </w:pPr>
      <w:r>
        <w:rPr>
          <w:rFonts w:ascii="IBM Plex Sans" w:cs="IBM Plex Sans" w:eastAsia="IBM Plex Sans" w:hAnsi="IBM Plex Sans"/>
          <w:color w:val="334155"/>
          <w:sz w:val="21"/>
          <w:szCs w:val="21"/>
        </w:rPr>
        <w:t xml:space="preserve">Cochrane Database of Systematic Reviews — Medeiros dkk. (2009), tinjauan sistematis uji klinis acak laparoskopi versus laparotomi untuk tumor ovarium jinak: mendukung laparoskopi sebagai pendekatan bedah dengan morbiditas pascaoperasi lebih rendah tanpa peningkatan risiko kekambuhan — menjadi dasar evidens Kelas I pada bagian Tata Laksana Bedah/Prosedural PPK ini.</w:t>
      </w:r>
    </w:p>
    <w:p>
      <w:pPr>
        <w:spacing w:after="160" w:line="300"/>
      </w:pPr>
      <w:r>
        <w:rPr>
          <w:rFonts w:ascii="IBM Plex Sans" w:cs="IBM Plex Sans" w:eastAsia="IBM Plex Sans" w:hAnsi="IBM Plex Sans"/>
          <w:color w:val="334155"/>
          <w:sz w:val="21"/>
          <w:szCs w:val="21"/>
        </w:rPr>
        <w:t xml:space="preserve">Tidak dijumpai perbedaan bermakna antara standar nasional dan standar internasional dalam prinsip stratifikasi risiko dan indikasi rujukan. Standar internasional memberikan pengayaan algoritma teknis (skor IOTA, model ADNEX, ambang RMI, evidens bedah minimal invasif) yang diadopsi sebagai bagian pemeriksaan penunjang, tata laksana bedah, dan kriteria rujukan pada PPK ini; standar nasional (Kepkonsil) tetap menjadi acuan utama kerangka kompetensi dan kewenangan praktik di Indonesia.</w:t>
      </w:r>
    </w:p>
    <w:p>
      <w:pPr>
        <w:pStyle w:val="Heading1"/>
        <w:spacing w:after="160" w:before="320"/>
      </w:pPr>
      <w:r>
        <w:rPr>
          <w:rFonts w:ascii="Source Serif 4" w:cs="Source Serif 4" w:eastAsia="Source Serif 4" w:hAnsi="Source Serif 4"/>
          <w:b/>
          <w:bCs/>
          <w:color w:val="4F46E5"/>
          <w:sz w:val="28"/>
          <w:szCs w:val="28"/>
        </w:rPr>
        <w:t xml:space="preserve">13. Kepustakaan</w:t>
      </w:r>
    </w:p>
    <w:p>
      <w:pPr>
        <w:pStyle w:val="ListParagraph"/>
        <w:numPr>
          <w:ilvl w:val="0"/>
          <w:numId w:val="2"/>
        </w:numPr>
        <w:spacing w:after="140" w:line="290"/>
      </w:pPr>
      <w:r>
        <w:rPr>
          <w:rFonts w:ascii="IBM Plex Sans" w:cs="IBM Plex Sans" w:eastAsia="IBM Plex Sans" w:hAnsi="IBM Plex Sans"/>
          <w:color w:val="334155"/>
          <w:sz w:val="20"/>
          <w:szCs w:val="20"/>
        </w:rPr>
        <w:t xml:space="preserve">Konsil Kesehatan Indonesia. Keputusan Ketua Konsil Kesehatan Indonesia No. HK.01.02/KKI/1318/2026 tentang Standar Kompetensi Dokter Spesialis dan Subspesialis Bidang Obstetri dan Ginekologi. Tabel 7, entri No. 52.</w:t>
      </w:r>
    </w:p>
    <w:p>
      <w:pPr>
        <w:pStyle w:val="ListParagraph"/>
        <w:numPr>
          <w:ilvl w:val="0"/>
          <w:numId w:val="2"/>
        </w:numPr>
        <w:spacing w:after="140" w:line="290"/>
      </w:pPr>
      <w:r>
        <w:rPr>
          <w:rFonts w:ascii="IBM Plex Sans" w:cs="IBM Plex Sans" w:eastAsia="IBM Plex Sans" w:hAnsi="IBM Plex Sans"/>
          <w:color w:val="334155"/>
          <w:sz w:val="20"/>
          <w:szCs w:val="20"/>
        </w:rPr>
        <w:t xml:space="preserve">American College of Obstetricians and Gynecologists' Committee on Practice Bulletins—Gynecology. Practice Bulletin No. 174: Evaluation and Management of Adnexal Masses. Obstetrics &amp; Gynecology. 2016;128(5):e210–e226.  —  Tersedia daring: </w:t>
      </w:r>
      <w:hyperlink w:history="1" r:id="rIdxfbt9bhmuyymte27aw0xk">
        <w:r>
          <w:rPr>
            <w:rFonts w:ascii="IBM Plex Mono" w:cs="IBM Plex Mono" w:eastAsia="IBM Plex Mono" w:hAnsi="IBM Plex Mono"/>
            <w:color w:val="4F46E5"/>
            <w:sz w:val="18"/>
            <w:szCs w:val="18"/>
            <w:u w:val="single"/>
          </w:rPr>
          <w:t xml:space="preserve">https://www.acog.org/clinical/clinical-guidance/practice-bulletin/articles/2016/11/evaluation-and-management-of-adnexal-masses</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Royal College of Obstetricians and Gynaecologists / British Society for Gynaecological Endoscopy. Green-top Guideline No. 62: Management of Suspected Ovarian Masses in Premenopausal Women. November 2011.  —  Tersedia daring: </w:t>
      </w:r>
      <w:hyperlink w:history="1" r:id="rIdsbw1jhc2kdm9enlhdnzcp">
        <w:r>
          <w:rPr>
            <w:rFonts w:ascii="IBM Plex Mono" w:cs="IBM Plex Mono" w:eastAsia="IBM Plex Mono" w:hAnsi="IBM Plex Mono"/>
            <w:color w:val="4F46E5"/>
            <w:sz w:val="18"/>
            <w:szCs w:val="18"/>
            <w:u w:val="single"/>
          </w:rPr>
          <w:t xml:space="preserve">https://www.rcog.org.uk/guidance/browse-all-guidance/green-top-guidelines/ovarian-masses-in-premenopausal-women-management-of-suspected-green-top-guideline-no-62/</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Wolfman W, dkk., untuk Society of Obstetricians and Gynaecologists of Canada. Guideline No. 404: Initial Investigation and Management of Benign Ovarian Masses. Journal of Obstetrics and Gynaecology Canada. 2020;42(8):1040–1050.  —  Tersedia daring: </w:t>
      </w:r>
      <w:hyperlink w:history="1" r:id="rIdbju1t17vgip9ripveyhtm">
        <w:r>
          <w:rPr>
            <w:rFonts w:ascii="IBM Plex Mono" w:cs="IBM Plex Mono" w:eastAsia="IBM Plex Mono" w:hAnsi="IBM Plex Mono"/>
            <w:color w:val="4F46E5"/>
            <w:sz w:val="18"/>
            <w:szCs w:val="18"/>
            <w:u w:val="single"/>
          </w:rPr>
          <w:t xml:space="preserve">https://doi.org/10.1016/j.jogc.2020.01.014</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Timmerman D, Planchamp F, Bourne T, dkk. ESGO/ISUOG/IOTA/ESGE Consensus Statement on Preoperative Diagnosis of Ovarian Tumors. Ultrasound in Obstetrics &amp; Gynecology. 2021;58(1):148–168.  —  Tersedia daring: </w:t>
      </w:r>
      <w:hyperlink w:history="1" r:id="rIdq0l291fw0atal0sm_atmy">
        <w:r>
          <w:rPr>
            <w:rFonts w:ascii="IBM Plex Mono" w:cs="IBM Plex Mono" w:eastAsia="IBM Plex Mono" w:hAnsi="IBM Plex Mono"/>
            <w:color w:val="4F46E5"/>
            <w:sz w:val="18"/>
            <w:szCs w:val="18"/>
            <w:u w:val="single"/>
          </w:rPr>
          <w:t xml:space="preserve">https://doi.org/10.1002/uog.23635</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Medeiros LR, Rosa DD, Bozzetti MC, Fachel JMG, Furness S, Garry R, Rosa MI, Stein AT. Laparoscopy versus Laparotomy for Benign Ovarian Tumour. Cochrane Database of Systematic Reviews. 2009, Issue 2. Art. No.: CD004751.  —  Tersedia daring: </w:t>
      </w:r>
      <w:hyperlink w:history="1" r:id="rIdrptoq0pvjqk75qi64lwal">
        <w:r>
          <w:rPr>
            <w:rFonts w:ascii="IBM Plex Mono" w:cs="IBM Plex Mono" w:eastAsia="IBM Plex Mono" w:hAnsi="IBM Plex Mono"/>
            <w:color w:val="4F46E5"/>
            <w:sz w:val="18"/>
            <w:szCs w:val="18"/>
            <w:u w:val="single"/>
          </w:rPr>
          <w:t xml:space="preserve">https://doi.org/10.1002/14651858.CD004751.pub3</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Van Calster B, Van Hoorde K, Valentin L, dkk., International Ovarian Tumour Analysis Group. Evaluating the Risk of Ovarian Cancer before Surgery Using the ADNEX Model. BMJ. 2014;349:g5920.  —  Tersedia daring: </w:t>
      </w:r>
      <w:hyperlink w:history="1" r:id="rIdurkbqc8627hjtpnlenzfz">
        <w:r>
          <w:rPr>
            <w:rFonts w:ascii="IBM Plex Mono" w:cs="IBM Plex Mono" w:eastAsia="IBM Plex Mono" w:hAnsi="IBM Plex Mono"/>
            <w:color w:val="4F46E5"/>
            <w:sz w:val="18"/>
            <w:szCs w:val="18"/>
            <w:u w:val="single"/>
          </w:rPr>
          <w:t xml:space="preserve">https://doi.org/10.1136/bmj.g5920</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Jacobs I, Oram D, Fairbanks J, Turner J, Frost C, Grudzinskas JG. A Risk of Malignancy Index Incorporating CA 125, Ultrasound and Menopausal Status for the Accurate Preoperative Diagnosis of Ovarian Cancer. British Journal of Obstetrics and Gynaecology. 1990;97(10):922–929.  —  Tersedia daring: </w:t>
      </w:r>
      <w:hyperlink w:history="1" r:id="rIdazs9u4g1_z3l2tkn6ooke">
        <w:r>
          <w:rPr>
            <w:rFonts w:ascii="IBM Plex Mono" w:cs="IBM Plex Mono" w:eastAsia="IBM Plex Mono" w:hAnsi="IBM Plex Mono"/>
            <w:color w:val="4F46E5"/>
            <w:sz w:val="18"/>
            <w:szCs w:val="18"/>
            <w:u w:val="single"/>
          </w:rPr>
          <w:t xml:space="preserve">https://doi.org/10.1111/j.1471-0528.1990.tb02448.x</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WHO Classification of Tumours Editorial Board. Female Genital Tumours. WHO Classification of Tumours, edisi ke-5, Volume 4. Lyon: International Agency for Research on Cancer; 2020.  —  Tersedia daring: </w:t>
      </w:r>
      <w:hyperlink w:history="1" r:id="rIdib7n3uqdqy_xyanuohfax">
        <w:r>
          <w:rPr>
            <w:rFonts w:ascii="IBM Plex Mono" w:cs="IBM Plex Mono" w:eastAsia="IBM Plex Mono" w:hAnsi="IBM Plex Mono"/>
            <w:color w:val="4F46E5"/>
            <w:sz w:val="18"/>
            <w:szCs w:val="18"/>
            <w:u w:val="single"/>
          </w:rPr>
          <w:t xml:space="preserve">https://publications.iarc.who.int/Book-And-Report-Series/Who-Classification-Of-Tumours/Female-Genital-Tumours-2020</w:t>
        </w:r>
      </w:hyperlink>
    </w:p>
    <w:p>
      <w:pPr>
        <w:pStyle w:val="ListParagraph"/>
        <w:numPr>
          <w:ilvl w:val="0"/>
          <w:numId w:val="2"/>
        </w:numPr>
        <w:spacing w:after="140" w:line="290"/>
      </w:pPr>
      <w:r>
        <w:rPr>
          <w:rFonts w:ascii="IBM Plex Sans" w:cs="IBM Plex Sans" w:eastAsia="IBM Plex Sans" w:hAnsi="IBM Plex Sans"/>
          <w:color w:val="334155"/>
          <w:sz w:val="20"/>
          <w:szCs w:val="20"/>
        </w:rPr>
        <w:t xml:space="preserve">Buku Tematik B7 — Tumor Jinak Ginekologi dan Kelainan Struktural Uterus (dokumen induk ekosistem literatur SpOG).</w:t>
      </w:r>
    </w:p>
    <w:p>
      <w:pPr>
        <w:spacing w:before="200"/>
      </w:pPr>
    </w:p>
    <w:p>
      <w:pPr>
        <w:pStyle w:val="Heading1"/>
        <w:spacing w:after="160" w:before="320"/>
      </w:pPr>
      <w:r>
        <w:rPr>
          <w:rFonts w:ascii="Source Serif 4" w:cs="Source Serif 4" w:eastAsia="Source Serif 4" w:hAnsi="Source Serif 4"/>
          <w:b/>
          <w:bCs/>
          <w:color w:val="4F46E5"/>
          <w:sz w:val="28"/>
          <w:szCs w:val="28"/>
        </w:rPr>
        <w:t xml:space="preserve">Glosarium</w:t>
      </w:r>
    </w:p>
    <w:p>
      <w:pPr>
        <w:spacing w:after="160" w:line="300"/>
      </w:pPr>
      <w:r>
        <w:rPr>
          <w:rFonts w:ascii="IBM Plex Sans" w:cs="IBM Plex Sans" w:eastAsia="IBM Plex Sans" w:hAnsi="IBM Plex Sans"/>
          <w:color w:val="334155"/>
          <w:sz w:val="21"/>
          <w:szCs w:val="21"/>
        </w:rPr>
        <w:t xml:space="preserve">Daftar istilah teknis yang digunakan dalam PPK ini, disusun berdasarkan urutan abjad untuk memudahkan rujukan cepat.</w:t>
      </w:r>
    </w:p>
    <w:p>
      <w:pPr>
        <w:spacing w:after="40" w:before="120"/>
      </w:pPr>
      <w:r>
        <w:rPr>
          <w:rFonts w:ascii="IBM Plex Sans" w:cs="IBM Plex Sans" w:eastAsia="IBM Plex Sans" w:hAnsi="IBM Plex Sans"/>
          <w:b/>
          <w:bCs/>
          <w:color w:val="4F46E5"/>
          <w:sz w:val="21"/>
          <w:szCs w:val="21"/>
        </w:rPr>
        <w:t xml:space="preserve">Adneksa (adnexa)</w:t>
      </w:r>
    </w:p>
    <w:p>
      <w:pPr>
        <w:spacing w:after="120" w:line="280"/>
        <w:ind w:left="260"/>
      </w:pPr>
      <w:r>
        <w:rPr>
          <w:rFonts w:ascii="IBM Plex Sans" w:cs="IBM Plex Sans" w:eastAsia="IBM Plex Sans" w:hAnsi="IBM Plex Sans"/>
          <w:color w:val="334155"/>
          <w:sz w:val="20"/>
          <w:szCs w:val="20"/>
        </w:rPr>
        <w:t xml:space="preserve">Struktur di sekitar uterus yang meliputi ovarium, tuba fallopi, dan jaringan penyangganya.</w:t>
      </w:r>
    </w:p>
    <w:p>
      <w:pPr>
        <w:spacing w:after="40" w:before="120"/>
      </w:pPr>
      <w:r>
        <w:rPr>
          <w:rFonts w:ascii="IBM Plex Sans" w:cs="IBM Plex Sans" w:eastAsia="IBM Plex Sans" w:hAnsi="IBM Plex Sans"/>
          <w:b/>
          <w:bCs/>
          <w:color w:val="4F46E5"/>
          <w:sz w:val="21"/>
          <w:szCs w:val="21"/>
        </w:rPr>
        <w:t xml:space="preserve">ADNEX model</w:t>
      </w:r>
    </w:p>
    <w:p>
      <w:pPr>
        <w:spacing w:after="120" w:line="280"/>
        <w:ind w:left="260"/>
      </w:pPr>
      <w:r>
        <w:rPr>
          <w:rFonts w:ascii="IBM Plex Sans" w:cs="IBM Plex Sans" w:eastAsia="IBM Plex Sans" w:hAnsi="IBM Plex Sans"/>
          <w:color w:val="334155"/>
          <w:sz w:val="20"/>
          <w:szCs w:val="20"/>
        </w:rPr>
        <w:t xml:space="preserve">Model prediksi risiko dari kelompok IOTA yang menggabungkan sembilan prediktor klinis dan ultrasonografi untuk memperkirakan kemungkinan suatu massa adneksa bersifat jinak, borderline, atau ganas (Van Calster dkk., 2014).</w:t>
      </w:r>
    </w:p>
    <w:p>
      <w:pPr>
        <w:spacing w:after="40" w:before="120"/>
      </w:pPr>
      <w:r>
        <w:rPr>
          <w:rFonts w:ascii="IBM Plex Sans" w:cs="IBM Plex Sans" w:eastAsia="IBM Plex Sans" w:hAnsi="IBM Plex Sans"/>
          <w:b/>
          <w:bCs/>
          <w:color w:val="4F46E5"/>
          <w:sz w:val="21"/>
          <w:szCs w:val="21"/>
        </w:rPr>
        <w:t xml:space="preserve">CA-125</w:t>
      </w:r>
    </w:p>
    <w:p>
      <w:pPr>
        <w:spacing w:after="120" w:line="280"/>
        <w:ind w:left="260"/>
      </w:pPr>
      <w:r>
        <w:rPr>
          <w:rFonts w:ascii="IBM Plex Sans" w:cs="IBM Plex Sans" w:eastAsia="IBM Plex Sans" w:hAnsi="IBM Plex Sans"/>
          <w:color w:val="334155"/>
          <w:sz w:val="20"/>
          <w:szCs w:val="20"/>
        </w:rPr>
        <w:t xml:space="preserve">Petanda tumor serum (cancer antigen 125) yang kadarnya dapat meningkat pada keganasan ovarium epitelial, namun juga pada berbagai kondisi jinak seperti endometriosis, mioma, dan kehamilan.</w:t>
      </w:r>
    </w:p>
    <w:p>
      <w:pPr>
        <w:spacing w:after="40" w:before="120"/>
      </w:pPr>
      <w:r>
        <w:rPr>
          <w:rFonts w:ascii="IBM Plex Sans" w:cs="IBM Plex Sans" w:eastAsia="IBM Plex Sans" w:hAnsi="IBM Plex Sans"/>
          <w:b/>
          <w:bCs/>
          <w:color w:val="4F46E5"/>
          <w:sz w:val="21"/>
          <w:szCs w:val="21"/>
        </w:rPr>
        <w:t xml:space="preserve">Endobag</w:t>
      </w:r>
    </w:p>
    <w:p>
      <w:pPr>
        <w:spacing w:after="120" w:line="280"/>
        <w:ind w:left="260"/>
      </w:pPr>
      <w:r>
        <w:rPr>
          <w:rFonts w:ascii="IBM Plex Sans" w:cs="IBM Plex Sans" w:eastAsia="IBM Plex Sans" w:hAnsi="IBM Plex Sans"/>
          <w:color w:val="334155"/>
          <w:sz w:val="20"/>
          <w:szCs w:val="20"/>
        </w:rPr>
        <w:t xml:space="preserve">Kantong khusus berbahan tidak tembus cairan yang digunakan dalam prosedur laparoskopi untuk mengeluarkan spesimen massa ovarium tanpa kontak langsung dengan rongga peritoneum, guna mencegah tumpahan isi kista.</w:t>
      </w:r>
    </w:p>
    <w:p>
      <w:pPr>
        <w:spacing w:after="40" w:before="120"/>
      </w:pPr>
      <w:r>
        <w:rPr>
          <w:rFonts w:ascii="IBM Plex Sans" w:cs="IBM Plex Sans" w:eastAsia="IBM Plex Sans" w:hAnsi="IBM Plex Sans"/>
          <w:b/>
          <w:bCs/>
          <w:color w:val="4F46E5"/>
          <w:sz w:val="21"/>
          <w:szCs w:val="21"/>
        </w:rPr>
        <w:t xml:space="preserve">Fibroma ovarium</w:t>
      </w:r>
    </w:p>
    <w:p>
      <w:pPr>
        <w:spacing w:after="120" w:line="280"/>
        <w:ind w:left="260"/>
      </w:pPr>
      <w:r>
        <w:rPr>
          <w:rFonts w:ascii="IBM Plex Sans" w:cs="IBM Plex Sans" w:eastAsia="IBM Plex Sans" w:hAnsi="IBM Plex Sans"/>
          <w:color w:val="334155"/>
          <w:sz w:val="20"/>
          <w:szCs w:val="20"/>
        </w:rPr>
        <w:t xml:space="preserve">Tumor jinak ovarium yang berasal dari sel stroma gonad (sex cord-stromal), umumnya bersifat padat dan asimtomatik.</w:t>
      </w:r>
    </w:p>
    <w:p>
      <w:pPr>
        <w:spacing w:after="40" w:before="120"/>
      </w:pPr>
      <w:r>
        <w:rPr>
          <w:rFonts w:ascii="IBM Plex Sans" w:cs="IBM Plex Sans" w:eastAsia="IBM Plex Sans" w:hAnsi="IBM Plex Sans"/>
          <w:b/>
          <w:bCs/>
          <w:color w:val="4F46E5"/>
          <w:sz w:val="21"/>
          <w:szCs w:val="21"/>
        </w:rPr>
        <w:t xml:space="preserve">Frozen section (potong beku)</w:t>
      </w:r>
    </w:p>
    <w:p>
      <w:pPr>
        <w:spacing w:after="120" w:line="280"/>
        <w:ind w:left="260"/>
      </w:pPr>
      <w:r>
        <w:rPr>
          <w:rFonts w:ascii="IBM Plex Sans" w:cs="IBM Plex Sans" w:eastAsia="IBM Plex Sans" w:hAnsi="IBM Plex Sans"/>
          <w:color w:val="334155"/>
          <w:sz w:val="20"/>
          <w:szCs w:val="20"/>
        </w:rPr>
        <w:t xml:space="preserve">Pemeriksaan histopatologi cepat intraoperatif untuk memandu keputusan luasnya tindakan bedah, dengan hasil akhir tetap mengacu pada pemeriksaan histopatologi definitif.</w:t>
      </w:r>
    </w:p>
    <w:p>
      <w:pPr>
        <w:spacing w:after="40" w:before="120"/>
      </w:pPr>
      <w:r>
        <w:rPr>
          <w:rFonts w:ascii="IBM Plex Sans" w:cs="IBM Plex Sans" w:eastAsia="IBM Plex Sans" w:hAnsi="IBM Plex Sans"/>
          <w:b/>
          <w:bCs/>
          <w:color w:val="4F46E5"/>
          <w:sz w:val="21"/>
          <w:szCs w:val="21"/>
        </w:rPr>
        <w:t xml:space="preserve">HE4 dan ROMA</w:t>
      </w:r>
    </w:p>
    <w:p>
      <w:pPr>
        <w:spacing w:after="120" w:line="280"/>
        <w:ind w:left="260"/>
      </w:pPr>
      <w:r>
        <w:rPr>
          <w:rFonts w:ascii="IBM Plex Sans" w:cs="IBM Plex Sans" w:eastAsia="IBM Plex Sans" w:hAnsi="IBM Plex Sans"/>
          <w:color w:val="334155"/>
          <w:sz w:val="20"/>
          <w:szCs w:val="20"/>
        </w:rPr>
        <w:t xml:space="preserve">HE4 (Human Epididymis Protein 4) adalah petanda tumor pelengkap CA-125; ROMA (Risk of Ovarian Malignancy Algorithm) adalah indeks yang menggabungkan HE4, CA-125, dan status menopause untuk memperkirakan risiko keganasan ovarium.</w:t>
      </w:r>
    </w:p>
    <w:p>
      <w:pPr>
        <w:spacing w:after="40" w:before="120"/>
      </w:pPr>
      <w:r>
        <w:rPr>
          <w:rFonts w:ascii="IBM Plex Sans" w:cs="IBM Plex Sans" w:eastAsia="IBM Plex Sans" w:hAnsi="IBM Plex Sans"/>
          <w:b/>
          <w:bCs/>
          <w:color w:val="4F46E5"/>
          <w:sz w:val="21"/>
          <w:szCs w:val="21"/>
        </w:rPr>
        <w:t xml:space="preserve">IOTA Simple Rules</w:t>
      </w:r>
    </w:p>
    <w:p>
      <w:pPr>
        <w:spacing w:after="120" w:line="280"/>
        <w:ind w:left="260"/>
      </w:pPr>
      <w:r>
        <w:rPr>
          <w:rFonts w:ascii="IBM Plex Sans" w:cs="IBM Plex Sans" w:eastAsia="IBM Plex Sans" w:hAnsi="IBM Plex Sans"/>
          <w:color w:val="334155"/>
          <w:sz w:val="20"/>
          <w:szCs w:val="20"/>
        </w:rPr>
        <w:t xml:space="preserve">Sepuluh kaidah ultrasonografi (lima B-features menunjukkan jinak, lima M-features menunjukkan curiga ganas) yang dikembangkan kelompok International Ovarian Tumour Analysis untuk menstratifikasi risiko massa adneksa.</w:t>
      </w:r>
    </w:p>
    <w:p>
      <w:pPr>
        <w:spacing w:after="40" w:before="120"/>
      </w:pPr>
      <w:r>
        <w:rPr>
          <w:rFonts w:ascii="IBM Plex Sans" w:cs="IBM Plex Sans" w:eastAsia="IBM Plex Sans" w:hAnsi="IBM Plex Sans"/>
          <w:b/>
          <w:bCs/>
          <w:color w:val="4F46E5"/>
          <w:sz w:val="21"/>
          <w:szCs w:val="21"/>
        </w:rPr>
        <w:t xml:space="preserve">Kistadenoma musinosum</w:t>
      </w:r>
    </w:p>
    <w:p>
      <w:pPr>
        <w:spacing w:after="120" w:line="280"/>
        <w:ind w:left="260"/>
      </w:pPr>
      <w:r>
        <w:rPr>
          <w:rFonts w:ascii="IBM Plex Sans" w:cs="IBM Plex Sans" w:eastAsia="IBM Plex Sans" w:hAnsi="IBM Plex Sans"/>
          <w:color w:val="334155"/>
          <w:sz w:val="20"/>
          <w:szCs w:val="20"/>
        </w:rPr>
        <w:t xml:space="preserve">Tumor epitelial jinak ovarium yang berisi cairan musinosum (kental), umumnya berukuran besar dan multilokular.</w:t>
      </w:r>
    </w:p>
    <w:p>
      <w:pPr>
        <w:spacing w:after="40" w:before="120"/>
      </w:pPr>
      <w:r>
        <w:rPr>
          <w:rFonts w:ascii="IBM Plex Sans" w:cs="IBM Plex Sans" w:eastAsia="IBM Plex Sans" w:hAnsi="IBM Plex Sans"/>
          <w:b/>
          <w:bCs/>
          <w:color w:val="4F46E5"/>
          <w:sz w:val="21"/>
          <w:szCs w:val="21"/>
        </w:rPr>
        <w:t xml:space="preserve">Kistadenoma serosa</w:t>
      </w:r>
    </w:p>
    <w:p>
      <w:pPr>
        <w:spacing w:after="120" w:line="280"/>
        <w:ind w:left="260"/>
      </w:pPr>
      <w:r>
        <w:rPr>
          <w:rFonts w:ascii="IBM Plex Sans" w:cs="IBM Plex Sans" w:eastAsia="IBM Plex Sans" w:hAnsi="IBM Plex Sans"/>
          <w:color w:val="334155"/>
          <w:sz w:val="20"/>
          <w:szCs w:val="20"/>
        </w:rPr>
        <w:t xml:space="preserve">Tumor epitelial jinak ovarium yang paling sering dijumpai, berisi cairan serosa (encer, jernih).</w:t>
      </w:r>
    </w:p>
    <w:p>
      <w:pPr>
        <w:spacing w:after="40" w:before="120"/>
      </w:pPr>
      <w:r>
        <w:rPr>
          <w:rFonts w:ascii="IBM Plex Sans" w:cs="IBM Plex Sans" w:eastAsia="IBM Plex Sans" w:hAnsi="IBM Plex Sans"/>
          <w:b/>
          <w:bCs/>
          <w:color w:val="4F46E5"/>
          <w:sz w:val="21"/>
          <w:szCs w:val="21"/>
        </w:rPr>
        <w:t xml:space="preserve">Kistektomi ovarium</w:t>
      </w:r>
    </w:p>
    <w:p>
      <w:pPr>
        <w:spacing w:after="120" w:line="280"/>
        <w:ind w:left="260"/>
      </w:pPr>
      <w:r>
        <w:rPr>
          <w:rFonts w:ascii="IBM Plex Sans" w:cs="IBM Plex Sans" w:eastAsia="IBM Plex Sans" w:hAnsi="IBM Plex Sans"/>
          <w:color w:val="334155"/>
          <w:sz w:val="20"/>
          <w:szCs w:val="20"/>
        </w:rPr>
        <w:t xml:space="preserve">Tindakan bedah pengangkatan kista atau tumor ovarium dengan mempertahankan jaringan ovarium sehat di sekitarnya.</w:t>
      </w:r>
    </w:p>
    <w:p>
      <w:pPr>
        <w:spacing w:after="40" w:before="120"/>
      </w:pPr>
      <w:r>
        <w:rPr>
          <w:rFonts w:ascii="IBM Plex Sans" w:cs="IBM Plex Sans" w:eastAsia="IBM Plex Sans" w:hAnsi="IBM Plex Sans"/>
          <w:b/>
          <w:bCs/>
          <w:color w:val="4F46E5"/>
          <w:sz w:val="21"/>
          <w:szCs w:val="21"/>
        </w:rPr>
        <w:t xml:space="preserve">Ooforektomi</w:t>
      </w:r>
    </w:p>
    <w:p>
      <w:pPr>
        <w:spacing w:after="120" w:line="280"/>
        <w:ind w:left="260"/>
      </w:pPr>
      <w:r>
        <w:rPr>
          <w:rFonts w:ascii="IBM Plex Sans" w:cs="IBM Plex Sans" w:eastAsia="IBM Plex Sans" w:hAnsi="IBM Plex Sans"/>
          <w:color w:val="334155"/>
          <w:sz w:val="20"/>
          <w:szCs w:val="20"/>
        </w:rPr>
        <w:t xml:space="preserve">Tindakan bedah pengangkatan seluruh ovarium.</w:t>
      </w:r>
    </w:p>
    <w:p>
      <w:pPr>
        <w:spacing w:after="40" w:before="120"/>
      </w:pPr>
      <w:r>
        <w:rPr>
          <w:rFonts w:ascii="IBM Plex Sans" w:cs="IBM Plex Sans" w:eastAsia="IBM Plex Sans" w:hAnsi="IBM Plex Sans"/>
          <w:b/>
          <w:bCs/>
          <w:color w:val="4F46E5"/>
          <w:sz w:val="21"/>
          <w:szCs w:val="21"/>
        </w:rPr>
        <w:t xml:space="preserve">RMI (Risk of Malignancy Index)</w:t>
      </w:r>
    </w:p>
    <w:p>
      <w:pPr>
        <w:spacing w:after="120" w:line="280"/>
        <w:ind w:left="260"/>
      </w:pPr>
      <w:r>
        <w:rPr>
          <w:rFonts w:ascii="IBM Plex Sans" w:cs="IBM Plex Sans" w:eastAsia="IBM Plex Sans" w:hAnsi="IBM Plex Sans"/>
          <w:color w:val="334155"/>
          <w:sz w:val="20"/>
          <w:szCs w:val="20"/>
        </w:rPr>
        <w:t xml:space="preserve">Indeks stratifikasi risiko keganasan ovarium yang menggabungkan status menopause, skor morfologi ultrasonografi, dan kadar CA-125 (Jacobs dkk., 1990).</w:t>
      </w:r>
    </w:p>
    <w:p>
      <w:pPr>
        <w:spacing w:after="40" w:before="120"/>
      </w:pPr>
      <w:r>
        <w:rPr>
          <w:rFonts w:ascii="IBM Plex Sans" w:cs="IBM Plex Sans" w:eastAsia="IBM Plex Sans" w:hAnsi="IBM Plex Sans"/>
          <w:b/>
          <w:bCs/>
          <w:color w:val="4F46E5"/>
          <w:sz w:val="21"/>
          <w:szCs w:val="21"/>
        </w:rPr>
        <w:t xml:space="preserve">Spillage</w:t>
      </w:r>
    </w:p>
    <w:p>
      <w:pPr>
        <w:spacing w:after="120" w:line="280"/>
        <w:ind w:left="260"/>
      </w:pPr>
      <w:r>
        <w:rPr>
          <w:rFonts w:ascii="IBM Plex Sans" w:cs="IBM Plex Sans" w:eastAsia="IBM Plex Sans" w:hAnsi="IBM Plex Sans"/>
          <w:color w:val="334155"/>
          <w:sz w:val="20"/>
          <w:szCs w:val="20"/>
        </w:rPr>
        <w:t xml:space="preserve">Tumpahnya isi kista ke rongga peritoneum selama tindakan bedah, yang berpotensi menyebarkan sel tumor bila massa ternyata bersifat ganas.</w:t>
      </w:r>
    </w:p>
    <w:p>
      <w:pPr>
        <w:spacing w:after="40" w:before="120"/>
      </w:pPr>
      <w:r>
        <w:rPr>
          <w:rFonts w:ascii="IBM Plex Sans" w:cs="IBM Plex Sans" w:eastAsia="IBM Plex Sans" w:hAnsi="IBM Plex Sans"/>
          <w:b/>
          <w:bCs/>
          <w:color w:val="4F46E5"/>
          <w:sz w:val="21"/>
          <w:szCs w:val="21"/>
        </w:rPr>
        <w:t xml:space="preserve">Teratoma matur (kista dermoid)</w:t>
      </w:r>
    </w:p>
    <w:p>
      <w:pPr>
        <w:spacing w:after="120" w:line="280"/>
        <w:ind w:left="260"/>
      </w:pPr>
      <w:r>
        <w:rPr>
          <w:rFonts w:ascii="IBM Plex Sans" w:cs="IBM Plex Sans" w:eastAsia="IBM Plex Sans" w:hAnsi="IBM Plex Sans"/>
          <w:color w:val="334155"/>
          <w:sz w:val="20"/>
          <w:szCs w:val="20"/>
        </w:rPr>
        <w:t xml:space="preserve">Tumor sel germinal jinak ovarium yang mengandung jaringan matang dari ketiga lapisan germinal (mis. rambut, gigi, jaringan lemak).</w:t>
      </w:r>
    </w:p>
    <w:p>
      <w:pPr>
        <w:spacing w:after="40" w:before="120"/>
      </w:pPr>
      <w:r>
        <w:rPr>
          <w:rFonts w:ascii="IBM Plex Sans" w:cs="IBM Plex Sans" w:eastAsia="IBM Plex Sans" w:hAnsi="IBM Plex Sans"/>
          <w:b/>
          <w:bCs/>
          <w:color w:val="4F46E5"/>
          <w:sz w:val="21"/>
          <w:szCs w:val="21"/>
        </w:rPr>
        <w:t xml:space="preserve">Tumor borderline ovarium</w:t>
      </w:r>
    </w:p>
    <w:p>
      <w:pPr>
        <w:spacing w:after="120" w:line="280"/>
        <w:ind w:left="260"/>
      </w:pPr>
      <w:r>
        <w:rPr>
          <w:rFonts w:ascii="IBM Plex Sans" w:cs="IBM Plex Sans" w:eastAsia="IBM Plex Sans" w:hAnsi="IBM Plex Sans"/>
          <w:color w:val="334155"/>
          <w:sz w:val="20"/>
          <w:szCs w:val="20"/>
        </w:rPr>
        <w:t xml:space="preserve">Kelompok tumor ovarium epitelial dengan potensi keganasan rendah, secara histologis berada di antara tumor jinak dan karsinoma invasif.</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45309" w:sz="4" w:space="4"/>
      </w:pBdr>
      <w:tabs>
        <w:tab w:val="right" w:pos="9026"/>
      </w:tabs>
    </w:pPr>
    <w:r>
      <w:rPr>
        <w:rFonts w:ascii="IBM Plex Sans" w:cs="IBM Plex Sans" w:eastAsia="IBM Plex Sans" w:hAnsi="IBM Plex Sans"/>
        <w:color w:val="334155"/>
        <w:sz w:val="15"/>
        <w:szCs w:val="15"/>
      </w:rPr>
      <w:t xml:space="preserve">Perpustakaan Digital ABBA — Dokumen 52 dari 73 — ← PPK-051 Endometritis Kronik tanpa Infertilitas | PPK-053 Kista Ovarium Terpuntir →</w:t>
    </w:r>
    <w:r>
      <w:rPr>
        <w:rFonts w:ascii="IBM Plex Sans" w:cs="IBM Plex Sans" w:eastAsia="IBM Plex Sans" w:hAnsi="IBM Plex Sans"/>
        <w:color w:val="334155"/>
        <w:sz w:val="15"/>
        <w:szCs w:val="15"/>
      </w:rPr>
      <w:t xml:space="preserve">	Halaman </w:t>
    </w:r>
    <w:r>
      <w:rPr>
        <w:rFonts w:ascii="IBM Plex Sans" w:cs="IBM Plex Sans" w:eastAsia="IBM Plex Sans" w:hAnsi="IBM Plex Sans"/>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tabs>
        <w:tab w:val="right" w:pos="9026"/>
      </w:tabs>
    </w:pPr>
    <w:r>
      <w:rPr>
        <w:rFonts w:ascii="IBM Plex Sans" w:cs="IBM Plex Sans" w:eastAsia="IBM Plex Sans" w:hAnsi="IBM Plex Sans"/>
        <w:color w:val="334155"/>
        <w:sz w:val="16"/>
        <w:szCs w:val="16"/>
      </w:rPr>
      <w:t xml:space="preserve">Unit Kerja Obstetri dan Ginekologi</w:t>
    </w:r>
    <w:r>
      <w:rPr>
        <w:rFonts w:ascii="IBM Plex Mono" w:cs="IBM Plex Mono" w:eastAsia="IBM Plex Mono" w:hAnsi="IBM Plex Mono"/>
        <w:color w:val="4F46E5"/>
        <w:sz w:val="16"/>
        <w:szCs w:val="16"/>
      </w:rPr>
      <w:t xml:space="preserve">	Tumor Jinak Ovarium tanpa Infertilitas — PPK-052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20"/>
    </w:pPr>
    <w:rPr>
      <w:rFonts w:ascii="Source Serif 4" w:cs="Source Serif 4" w:eastAsia="Source Serif 4" w:hAnsi="Source Serif 4"/>
      <w:b/>
      <w:bCs/>
      <w:color w:val="4F46E5"/>
      <w:sz w:val="28"/>
      <w:szCs w:val="28"/>
    </w:rPr>
  </w:style>
  <w:style w:type="paragraph" w:styleId="Heading2">
    <w:name w:val="Heading 2"/>
    <w:basedOn w:val="Normal"/>
    <w:next w:val="Normal"/>
    <w:qFormat/>
    <w:pPr>
      <w:spacing w:after="120" w:before="220"/>
    </w:pPr>
    <w:rPr>
      <w:rFonts w:ascii="Source Serif 4" w:cs="Source Serif 4" w:eastAsia="Source Serif 4" w:hAnsi="Source Serif 4"/>
      <w:b/>
      <w:bCs/>
      <w:color w:val="4F46E5"/>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xfbt9bhmuyymte27aw0xk" Type="http://schemas.openxmlformats.org/officeDocument/2006/relationships/hyperlink" Target="https://www.acog.org/clinical/clinical-guidance/practice-bulletin/articles/2016/11/evaluation-and-management-of-adnexal-masses" TargetMode="External"/><Relationship Id="rIdsbw1jhc2kdm9enlhdnzcp" Type="http://schemas.openxmlformats.org/officeDocument/2006/relationships/hyperlink" Target="https://www.rcog.org.uk/guidance/browse-all-guidance/green-top-guidelines/ovarian-masses-in-premenopausal-women-management-of-suspected-green-top-guideline-no-62/" TargetMode="External"/><Relationship Id="rIdbju1t17vgip9ripveyhtm" Type="http://schemas.openxmlformats.org/officeDocument/2006/relationships/hyperlink" Target="https://doi.org/10.1016/j.jogc.2020.01.014" TargetMode="External"/><Relationship Id="rIdq0l291fw0atal0sm_atmy" Type="http://schemas.openxmlformats.org/officeDocument/2006/relationships/hyperlink" Target="https://doi.org/10.1002/uog.23635" TargetMode="External"/><Relationship Id="rIdrptoq0pvjqk75qi64lwal" Type="http://schemas.openxmlformats.org/officeDocument/2006/relationships/hyperlink" Target="https://doi.org/10.1002/14651858.CD004751.pub3" TargetMode="External"/><Relationship Id="rIdurkbqc8627hjtpnlenzfz" Type="http://schemas.openxmlformats.org/officeDocument/2006/relationships/hyperlink" Target="https://doi.org/10.1136/bmj.g5920" TargetMode="External"/><Relationship Id="rIdazs9u4g1_z3l2tkn6ooke" Type="http://schemas.openxmlformats.org/officeDocument/2006/relationships/hyperlink" Target="https://doi.org/10.1111/j.1471-0528.1990.tb02448.x" TargetMode="External"/><Relationship Id="rIdib7n3uqdqy_xyanuohfax" Type="http://schemas.openxmlformats.org/officeDocument/2006/relationships/hyperlink" Target="https://publications.iarc.who.int/Book-And-Report-Series/Who-Classification-Of-Tumours/Female-Genital-Tumours-2020"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2026-08-18T02:36:58.426Z</dcterms:created>
  <dcterms:modified xsi:type="dcterms:W3CDTF">2026-08-18T02:36:58.444Z</dcterms:modified>
</cp:coreProperties>
</file>

<file path=docProps/custom.xml><?xml version="1.0" encoding="utf-8"?>
<Properties xmlns="http://schemas.openxmlformats.org/officeDocument/2006/custom-properties" xmlns:vt="http://schemas.openxmlformats.org/officeDocument/2006/docPropsVTypes"/>
</file>