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jc w:val="center"/>
      </w:pPr>
      <w:r>
        <w:rPr>
          <w:rFonts w:ascii="IBM Plex Sans" w:cs="IBM Plex Sans" w:eastAsia="IBM Plex Sans" w:hAnsi="IBM Plex Sans"/>
          <w:b/>
          <w:bCs/>
          <w:color w:val="B45309"/>
          <w:sz w:val="24"/>
          <w:szCs w:val="24"/>
        </w:rPr>
        <w:t xml:space="preserve">PANDUAN PRAKTIK KLINIS</w:t>
      </w:r>
    </w:p>
    <w:p>
      <w:pPr>
        <w:spacing w:after="100" w:before="300"/>
        <w:jc w:val="center"/>
      </w:pPr>
      <w:r>
        <w:rPr>
          <w:rFonts w:ascii="Source Serif 4" w:cs="Source Serif 4" w:eastAsia="Source Serif 4" w:hAnsi="Source Serif 4"/>
          <w:b/>
          <w:bCs/>
          <w:color w:val="4F46E5"/>
          <w:sz w:val="52"/>
          <w:szCs w:val="52"/>
        </w:rPr>
        <w:t xml:space="preserve">Sindrom Ovarium Polikistik Sederhana</w:t>
      </w:r>
    </w:p>
    <w:p>
      <w:pPr>
        <w:spacing w:after="400"/>
        <w:jc w:val="center"/>
      </w:pPr>
      <w:r>
        <w:rPr>
          <w:rFonts w:ascii="Source Serif 4" w:cs="Source Serif 4" w:eastAsia="Source Serif 4" w:hAnsi="Source Serif 4"/>
          <w:i/>
          <w:iCs/>
          <w:color w:val="64748B"/>
          <w:sz w:val="30"/>
          <w:szCs w:val="30"/>
        </w:rPr>
        <w:t xml:space="preserve">Simple Polycystic Ovary Syndrome</w:t>
      </w:r>
    </w:p>
    <w:p>
      <w:pPr>
        <w:spacing w:after="60"/>
        <w:jc w:val="center"/>
      </w:pPr>
      <w:r>
        <w:rPr>
          <w:rFonts w:ascii="IBM Plex Mono" w:cs="IBM Plex Mono" w:eastAsia="IBM Plex Mono" w:hAnsi="IBM Plex Mono"/>
          <w:color w:val="334155"/>
          <w:sz w:val="20"/>
          <w:szCs w:val="20"/>
        </w:rPr>
        <w:t xml:space="preserve">PPK-058  |  ICD-10 </w:t>
      </w:r>
      <w:r>
        <w:rPr>
          <w:rFonts w:ascii="IBM Plex Mono" w:cs="IBM Plex Mono" w:eastAsia="IBM Plex Mono" w:hAnsi="IBM Plex Mono"/>
          <w:b/>
          <w:bCs/>
          <w:color w:val="B45309"/>
          <w:sz w:val="20"/>
          <w:szCs w:val="20"/>
        </w:rPr>
        <w:t xml:space="preserve">E28.2</w:t>
      </w:r>
      <w:r>
        <w:rPr>
          <w:rFonts w:ascii="IBM Plex Mono" w:cs="IBM Plex Mono" w:eastAsia="IBM Plex Mono" w:hAnsi="IBM Plex Mono"/>
          <w:color w:val="334155"/>
          <w:sz w:val="20"/>
          <w:szCs w:val="20"/>
        </w:rPr>
        <w:t xml:space="preserve">  |  ICD-11 </w:t>
      </w:r>
      <w:r>
        <w:rPr>
          <w:rFonts w:ascii="IBM Plex Mono" w:cs="IBM Plex Mono" w:eastAsia="IBM Plex Mono" w:hAnsi="IBM Plex Mono"/>
          <w:b/>
          <w:bCs/>
          <w:color w:val="B45309"/>
          <w:sz w:val="20"/>
          <w:szCs w:val="20"/>
        </w:rPr>
        <w:t xml:space="preserve">5A80.1</w:t>
      </w:r>
    </w:p>
    <w:p>
      <w:pPr>
        <w:spacing w:after="40"/>
        <w:jc w:val="center"/>
      </w:pPr>
      <w:r>
        <w:rPr>
          <w:rFonts w:ascii="IBM Plex Sans" w:cs="IBM Plex Sans" w:eastAsia="IBM Plex Sans" w:hAnsi="IBM Plex Sans"/>
          <w:color w:val="64748B"/>
          <w:sz w:val="20"/>
          <w:szCs w:val="20"/>
        </w:rPr>
        <w:t xml:space="preserve">Dokumen 58 dari 73 — Kategori PPK</w:t>
      </w:r>
    </w:p>
    <w:p>
      <w:pPr>
        <w:spacing w:after="40"/>
        <w:jc w:val="center"/>
      </w:pPr>
      <w:r>
        <w:rPr>
          <w:rFonts w:ascii="IBM Plex Sans" w:cs="IBM Plex Sans" w:eastAsia="IBM Plex Sans" w:hAnsi="IBM Plex Sans"/>
          <w:color w:val="64748B"/>
          <w:sz w:val="20"/>
          <w:szCs w:val="20"/>
        </w:rPr>
        <w:t xml:space="preserve">Unit Obstetri dan Ginekologi — Divisi Fertilitas dan Endokrinologi Reproduksi</w:t>
      </w:r>
    </w:p>
    <w:p>
      <w:pPr>
        <w:spacing w:after="40"/>
        <w:jc w:val="center"/>
      </w:pPr>
      <w:r>
        <w:rPr>
          <w:rFonts w:ascii="IBM Plex Sans" w:cs="IBM Plex Sans" w:eastAsia="IBM Plex Sans" w:hAnsi="IBM Plex Sans"/>
          <w:color w:val="64748B"/>
          <w:sz w:val="20"/>
          <w:szCs w:val="20"/>
        </w:rPr>
        <w:t xml:space="preserve">Divisi Pengampu: Fertilitas dan Endokrinologi Reproduksi</w:t>
      </w:r>
    </w:p>
    <w:p>
      <w:pPr>
        <w:spacing w:after="900"/>
      </w:pPr>
    </w:p>
    <w:p>
      <w:pPr>
        <w:spacing w:after="30"/>
        <w:jc w:val="center"/>
      </w:pPr>
      <w:r>
        <w:rPr>
          <w:rFonts w:ascii="IBM Plex Sans" w:cs="IBM Plex Sans" w:eastAsia="IBM Plex Sans" w:hAnsi="IBM Plex Sans"/>
          <w:b/>
          <w:bCs/>
          <w:color w:val="334155"/>
          <w:sz w:val="21"/>
          <w:szCs w:val="21"/>
        </w:rPr>
        <w:t xml:space="preserve">Dr.dr. Budi Siswanto, Sp.OG., Subsp.Obginsos., SH., S.Kom.</w:t>
      </w:r>
    </w:p>
    <w:p>
      <w:pPr>
        <w:spacing w:after="200"/>
        <w:jc w:val="center"/>
      </w:pPr>
      <w:r>
        <w:rPr>
          <w:rFonts w:ascii="IBM Plex Sans" w:cs="IBM Plex Sans" w:eastAsia="IBM Plex Sans" w:hAnsi="IBM Plex Sans"/>
          <w:color w:val="64748B"/>
          <w:sz w:val="18"/>
          <w:szCs w:val="18"/>
        </w:rPr>
        <w:t xml:space="preserve">Perpustakaan Digital ABBA — Jl. Kerinci Raya No. 9, Malang 65138</w:t>
      </w:r>
    </w:p>
    <w:p>
      <w:pPr>
        <w:spacing w:after="0"/>
        <w:jc w:val="center"/>
      </w:pPr>
      <w:r>
        <w:rPr>
          <w:rFonts w:ascii="IBM Plex Mono" w:cs="IBM Plex Mono" w:eastAsia="IBM Plex Mono" w:hAnsi="IBM Plex Mono"/>
          <w:color w:val="64748B"/>
          <w:sz w:val="18"/>
          <w:szCs w:val="18"/>
        </w:rPr>
        <w:t xml:space="preserve">2026</w:t>
      </w:r>
    </w:p>
    <w:p>
      <w:r>
        <w:br w:type="page"/>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1. Pengertian / Definisi</w:t>
      </w:r>
    </w:p>
    <w:p>
      <w:pPr>
        <w:spacing w:after="160" w:line="300"/>
      </w:pPr>
      <w:r>
        <w:rPr>
          <w:rFonts w:ascii="IBM Plex Sans" w:cs="IBM Plex Sans" w:eastAsia="IBM Plex Sans" w:hAnsi="IBM Plex Sans"/>
          <w:color w:val="334155"/>
          <w:sz w:val="22"/>
          <w:szCs w:val="22"/>
        </w:rPr>
        <w:t xml:space="preserve">PPK ini merupakan turunan operasional dari Buku Tematik B8 — Gangguan Haid, Endokrinologi Reproduksi Dasar, dan Infertilitas Dasar, pada bab yang membahas Sindrom Ovarium Polikistik (Polycystic Ovary Syndrome, disingkat SOPK/PCOS).</w:t>
      </w:r>
    </w:p>
    <w:p>
      <w:pPr>
        <w:spacing w:after="160" w:line="300"/>
      </w:pPr>
      <w:r>
        <w:rPr>
          <w:rFonts w:ascii="IBM Plex Sans" w:cs="IBM Plex Sans" w:eastAsia="IBM Plex Sans" w:hAnsi="IBM Plex Sans"/>
          <w:color w:val="334155"/>
          <w:sz w:val="22"/>
          <w:szCs w:val="22"/>
        </w:rPr>
        <w:t xml:space="preserve">Sindrom Ovarium Polikistik Sederhana (Simple Polycystic Ovary Syndrome) adalah gangguan endokrin reproduksi dengan oligo-ovulasi/anovulasi, hiperandrogenisme klinis/biokimia, dan/atau gambaran ovarium polikistik menurut kriteria Rotterdam, tanpa disertai komorbid kompleks. Istilah "sederhana" pada PPK ini menunjuk pada populasi dengan gejala ringan yang tata laksana awalnya berada dalam kewenangan dokter spesialis obstetri dan ginekologi (SpOG) umum, berbeda dengan SOPK kompleks yang disertai resistensi insulin berat, sindrom metabolik, infertilitas menetap, atau hiperandrogenisme berat sehingga memerlukan penanganan Subspesialis Fertilitas dan Endokrinologi Reproduksi.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40"/>
              <w:left w:type="dxa" w:w="200"/>
              <w:bottom w:type="dxa" w:w="140"/>
              <w:right w:type="dxa" w:w="200"/>
            </w:tcMar>
          </w:tcPr>
          <w:p>
            <w:pPr>
              <w:spacing w:after="60"/>
            </w:pPr>
            <w:r>
              <w:rPr>
                <w:rFonts w:ascii="IBM Plex Sans" w:cs="IBM Plex Sans" w:eastAsia="IBM Plex Sans" w:hAnsi="IBM Plex Sans"/>
                <w:b/>
                <w:bCs/>
                <w:color w:val="B45309"/>
                <w:sz w:val="18"/>
                <w:szCs w:val="18"/>
              </w:rPr>
              <w:t xml:space="preserve">DASAR REGULASI</w:t>
            </w:r>
          </w:p>
          <w:p>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Tabel 7 No. 58 (Sindrom ovarium polikistik sederhana / Simple polycystic ovary syndrome; ICD-10 E28.2; ICD-11 5A80.1; Keterangan/Populasi: PCOS dengan gejala ringan). [1]</w:t>
            </w:r>
          </w:p>
        </w:tc>
      </w:tr>
    </w:tbl>
    <w:p>
      <w:pPr>
        <w:spacing w:after="160"/>
      </w:pPr>
    </w:p>
    <w:p>
      <w:pPr>
        <w:spacing w:after="160" w:line="300"/>
      </w:pPr>
      <w:r>
        <w:rPr>
          <w:rFonts w:ascii="IBM Plex Sans" w:cs="IBM Plex Sans" w:eastAsia="IBM Plex Sans" w:hAnsi="IBM Plex Sans"/>
          <w:color w:val="334155"/>
          <w:sz w:val="22"/>
          <w:szCs w:val="22"/>
        </w:rPr>
        <w:t xml:space="preserve">Secara patofisiologi, SOPK melibatkan interaksi antara peningkatan frekuensi dan amplitudo denyut gonadotropin-releasing hormone (GnRH) di hipotalamus, sekresi LH yang relatif berlebih dibandingkan FSH, hiperandrogenisme ovarium dan/atau adrenal, serta resistensi insulin dengan hiperinsulinemia kompensatorik yang memperberat produksi androgen ovarium. Kombinasi mekanisme ini menghasilkan gangguan pematangan folikel, anovulasi kronis, dan akumulasi folikel antral kecil yang tampak sebagai morfologi ovarium polikistik pada USG.</w:t>
      </w:r>
    </w:p>
    <w:p>
      <w:pPr>
        <w:spacing w:after="160" w:line="300"/>
      </w:pPr>
      <w:r>
        <w:rPr>
          <w:rFonts w:ascii="IBM Plex Sans" w:cs="IBM Plex Sans" w:eastAsia="IBM Plex Sans" w:hAnsi="IBM Plex Sans"/>
          <w:color w:val="334155"/>
          <w:sz w:val="22"/>
          <w:szCs w:val="22"/>
        </w:rPr>
        <w:t xml:space="preserve">Diagnosis ditegakkan menggunakan kriteria Rotterdam (konsensus ESHRE/ASRM, 2003) [4], yaitu terpenuhinya minimal dua dari tiga kriteria: (1) oligo-ovulasi atau anovulasi, (2) tanda klinis dan/atau biokimia hiperandrogenisme, dan (3) morfologi ovarium polikistik pada pemeriksaan ultrasonografi, setelah menyingkirkan penyebab lain hiperandrogenisme dan gangguan ovulasi. Kombinasi kriteria yang terpenuhi menentukan fenotipe SOPK sebagaimana diringkas pada tabel berikut.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870"/>
        <w:gridCol w:w="1870"/>
        <w:gridCol w:w="1870"/>
        <w:gridCol w:w="1870"/>
        <w:gridCol w:w="1870"/>
      </w:tblGrid>
      <w:tr>
        <w:trPr>
          <w:tblHeader/>
        </w:trPr>
        <w:tc>
          <w:tcPr>
            <w:tcW w:type="dxa" w:w="187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Fenotipe</w:t>
            </w:r>
          </w:p>
        </w:tc>
        <w:tc>
          <w:tcPr>
            <w:tcW w:type="dxa" w:w="187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Oligo/Anovulasi</w:t>
            </w:r>
          </w:p>
        </w:tc>
        <w:tc>
          <w:tcPr>
            <w:tcW w:type="dxa" w:w="187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Hiperandrogenisme</w:t>
            </w:r>
          </w:p>
        </w:tc>
        <w:tc>
          <w:tcPr>
            <w:tcW w:type="dxa" w:w="187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Ovarium Polikistik (USG)</w:t>
            </w:r>
          </w:p>
        </w:tc>
        <w:tc>
          <w:tcPr>
            <w:tcW w:type="dxa" w:w="187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Karakteristik Umum</w:t>
            </w:r>
          </w:p>
        </w:tc>
      </w:tr>
      <w:tr>
        <w:tc>
          <w:tcPr>
            <w:tcW w:type="dxa" w:w="187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 (klasik lengkap)</w:t>
            </w:r>
          </w:p>
        </w:tc>
        <w:tc>
          <w:tcPr>
            <w:tcW w:type="dxa" w:w="187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Ada</w:t>
            </w:r>
          </w:p>
        </w:tc>
        <w:tc>
          <w:tcPr>
            <w:tcW w:type="dxa" w:w="187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Ada</w:t>
            </w:r>
          </w:p>
        </w:tc>
        <w:tc>
          <w:tcPr>
            <w:tcW w:type="dxa" w:w="187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Ada</w:t>
            </w:r>
          </w:p>
        </w:tc>
        <w:tc>
          <w:tcPr>
            <w:tcW w:type="dxa" w:w="187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Fenotipe paling berat; risiko metabolik tertinggi</w:t>
            </w:r>
          </w:p>
        </w:tc>
      </w:tr>
      <w:tr>
        <w:tc>
          <w:tcPr>
            <w:tcW w:type="dxa" w:w="187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B (klasik tanpa USG)</w:t>
            </w:r>
          </w:p>
        </w:tc>
        <w:tc>
          <w:tcPr>
            <w:tcW w:type="dxa" w:w="187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Ada</w:t>
            </w:r>
          </w:p>
        </w:tc>
        <w:tc>
          <w:tcPr>
            <w:tcW w:type="dxa" w:w="187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Ada</w:t>
            </w:r>
          </w:p>
        </w:tc>
        <w:tc>
          <w:tcPr>
            <w:tcW w:type="dxa" w:w="187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Tidak ada</w:t>
            </w:r>
          </w:p>
        </w:tc>
        <w:tc>
          <w:tcPr>
            <w:tcW w:type="dxa" w:w="187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Profil metabolik menyerupai fenotipe A</w:t>
            </w:r>
          </w:p>
        </w:tc>
      </w:tr>
      <w:tr>
        <w:tc>
          <w:tcPr>
            <w:tcW w:type="dxa" w:w="187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C (ovulatorik)</w:t>
            </w:r>
          </w:p>
        </w:tc>
        <w:tc>
          <w:tcPr>
            <w:tcW w:type="dxa" w:w="187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Tidak ada</w:t>
            </w:r>
          </w:p>
        </w:tc>
        <w:tc>
          <w:tcPr>
            <w:tcW w:type="dxa" w:w="187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Ada</w:t>
            </w:r>
          </w:p>
        </w:tc>
        <w:tc>
          <w:tcPr>
            <w:tcW w:type="dxa" w:w="187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Ada</w:t>
            </w:r>
          </w:p>
        </w:tc>
        <w:tc>
          <w:tcPr>
            <w:tcW w:type="dxa" w:w="1870"/>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Siklus haid relatif teratur; hiperandrogenisme menonjol</w:t>
            </w:r>
          </w:p>
        </w:tc>
      </w:tr>
      <w:tr>
        <w:tc>
          <w:tcPr>
            <w:tcW w:type="dxa" w:w="187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D (normoandrogenik)</w:t>
            </w:r>
          </w:p>
        </w:tc>
        <w:tc>
          <w:tcPr>
            <w:tcW w:type="dxa" w:w="187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Ada</w:t>
            </w:r>
          </w:p>
        </w:tc>
        <w:tc>
          <w:tcPr>
            <w:tcW w:type="dxa" w:w="187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Tidak ada</w:t>
            </w:r>
          </w:p>
        </w:tc>
        <w:tc>
          <w:tcPr>
            <w:tcW w:type="dxa" w:w="187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Ada</w:t>
            </w:r>
          </w:p>
        </w:tc>
        <w:tc>
          <w:tcPr>
            <w:tcW w:type="dxa" w:w="1870"/>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Profil metabolik umumnya paling ringan di antara keempat fenotipe</w:t>
            </w:r>
          </w:p>
        </w:tc>
      </w:tr>
    </w:tbl>
    <w:p>
      <w:pPr>
        <w:spacing w:after="160"/>
      </w:pPr>
    </w:p>
    <w:p>
      <w:pPr>
        <w:spacing w:after="160" w:line="300"/>
      </w:pPr>
      <w:r>
        <w:rPr>
          <w:rFonts w:ascii="IBM Plex Sans" w:cs="IBM Plex Sans" w:eastAsia="IBM Plex Sans" w:hAnsi="IBM Plex Sans"/>
          <w:color w:val="334155"/>
          <w:sz w:val="22"/>
          <w:szCs w:val="22"/>
        </w:rPr>
        <w:t xml:space="preserve">PPK ini secara operasional ditujukan terutama pada fenotipe dengan gejala ringan dan tanpa komorbid kompleks (umumnya berkaitan dengan fenotipe C dan D), sedangkan fenotipe A dan B yang disertai gambaran metabolik berat dipertimbangkan sebagai kandidat rujukan sesuai kriteria pada bagian 7.4.</w:t>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2. Anamnesis</w:t>
      </w:r>
    </w:p>
    <w:p>
      <w:pPr>
        <w:spacing w:after="160" w:line="300"/>
      </w:pPr>
      <w:r>
        <w:rPr>
          <w:rFonts w:ascii="IBM Plex Sans" w:cs="IBM Plex Sans" w:eastAsia="IBM Plex Sans" w:hAnsi="IBM Plex Sans"/>
          <w:color w:val="334155"/>
          <w:sz w:val="22"/>
          <w:szCs w:val="22"/>
        </w:rPr>
        <w:t xml:space="preserve">Anamnesis terstruktur ditujukan untuk menggali tiga komponen kriteria Rotterdam sekaligus menyingkirkan diagnosis banding endokrin lain.</w:t>
      </w:r>
    </w:p>
    <w:p>
      <w:pPr>
        <w:pStyle w:val="ListParagraph"/>
        <w:numPr>
          <w:ilvl w:val="0"/>
          <w:numId w:val="2"/>
        </w:numPr>
        <w:spacing w:after="90"/>
      </w:pPr>
      <w:r>
        <w:rPr>
          <w:rFonts w:ascii="IBM Plex Sans" w:cs="IBM Plex Sans" w:eastAsia="IBM Plex Sans" w:hAnsi="IBM Plex Sans"/>
          <w:color w:val="334155"/>
          <w:sz w:val="22"/>
          <w:szCs w:val="22"/>
        </w:rPr>
        <w:t xml:space="preserve">Pola haid: usia menarke, siklus haid (oligomenore dengan interval lebih dari 35 hari, atau amenore sekunder), riwayat haid tidak teratur sejak remaja.</w:t>
      </w:r>
    </w:p>
    <w:p>
      <w:pPr>
        <w:pStyle w:val="ListParagraph"/>
        <w:numPr>
          <w:ilvl w:val="0"/>
          <w:numId w:val="2"/>
        </w:numPr>
        <w:spacing w:after="90"/>
      </w:pPr>
      <w:r>
        <w:rPr>
          <w:rFonts w:ascii="IBM Plex Sans" w:cs="IBM Plex Sans" w:eastAsia="IBM Plex Sans" w:hAnsi="IBM Plex Sans"/>
          <w:color w:val="334155"/>
          <w:sz w:val="22"/>
          <w:szCs w:val="22"/>
        </w:rPr>
        <w:t xml:space="preserve">Tanda hiperandrogenisme: jerawat (akne) menetap, pertumbuhan rambut berlebih dengan pola pria (hirsutisme) pada wajah, dada, atau punggung, serta kerontokan rambut pola androgenik (alopesia androgenik).</w:t>
      </w:r>
    </w:p>
    <w:p>
      <w:pPr>
        <w:pStyle w:val="ListParagraph"/>
        <w:numPr>
          <w:ilvl w:val="0"/>
          <w:numId w:val="2"/>
        </w:numPr>
        <w:spacing w:after="90"/>
      </w:pPr>
      <w:r>
        <w:rPr>
          <w:rFonts w:ascii="IBM Plex Sans" w:cs="IBM Plex Sans" w:eastAsia="IBM Plex Sans" w:hAnsi="IBM Plex Sans"/>
          <w:color w:val="334155"/>
          <w:sz w:val="22"/>
          <w:szCs w:val="22"/>
        </w:rPr>
        <w:t xml:space="preserve">Riwayat berat badan: kenaikan berat badan progresif, kesulitan menurunkan berat badan, pola makan, dan aktivitas fisik.</w:t>
      </w:r>
    </w:p>
    <w:p>
      <w:pPr>
        <w:pStyle w:val="ListParagraph"/>
        <w:numPr>
          <w:ilvl w:val="0"/>
          <w:numId w:val="2"/>
        </w:numPr>
        <w:spacing w:after="90"/>
      </w:pPr>
      <w:r>
        <w:rPr>
          <w:rFonts w:ascii="IBM Plex Sans" w:cs="IBM Plex Sans" w:eastAsia="IBM Plex Sans" w:hAnsi="IBM Plex Sans"/>
          <w:color w:val="334155"/>
          <w:sz w:val="22"/>
          <w:szCs w:val="22"/>
        </w:rPr>
        <w:t xml:space="preserve">Riwayat reproduksi: status pernikahan, keinginan hamil saat ini, riwayat infertilitas, atau keguguran berulang.</w:t>
      </w:r>
    </w:p>
    <w:p>
      <w:pPr>
        <w:pStyle w:val="ListParagraph"/>
        <w:numPr>
          <w:ilvl w:val="0"/>
          <w:numId w:val="2"/>
        </w:numPr>
        <w:spacing w:after="90"/>
      </w:pPr>
      <w:r>
        <w:rPr>
          <w:rFonts w:ascii="IBM Plex Sans" w:cs="IBM Plex Sans" w:eastAsia="IBM Plex Sans" w:hAnsi="IBM Plex Sans"/>
          <w:color w:val="334155"/>
          <w:sz w:val="22"/>
          <w:szCs w:val="22"/>
        </w:rPr>
        <w:t xml:space="preserve">Riwayat keluarga: SOPK, diabetes melitus tipe 2, atau sindrom metabolik pada keluarga tingkat pertama.</w:t>
      </w:r>
    </w:p>
    <w:p>
      <w:pPr>
        <w:pStyle w:val="ListParagraph"/>
        <w:numPr>
          <w:ilvl w:val="0"/>
          <w:numId w:val="2"/>
        </w:numPr>
        <w:spacing w:after="90"/>
      </w:pPr>
      <w:r>
        <w:rPr>
          <w:rFonts w:ascii="IBM Plex Sans" w:cs="IBM Plex Sans" w:eastAsia="IBM Plex Sans" w:hAnsi="IBM Plex Sans"/>
          <w:color w:val="334155"/>
          <w:sz w:val="22"/>
          <w:szCs w:val="22"/>
        </w:rPr>
        <w:t xml:space="preserve">Gejala penyerta yang mengarah ke diagnosis banding: penggunaan obat pemicu hiperprolaktinemia, gejala hipotiroid/hipertiroid, gejala virilisasi berat (suara memberat, pembesaran klitoris) yang mengarah ke tumor penghasil androgen atau hiperplasia adrenal kongenital.</w:t>
      </w:r>
    </w:p>
    <w:p>
      <w:pPr>
        <w:pStyle w:val="ListParagraph"/>
        <w:numPr>
          <w:ilvl w:val="0"/>
          <w:numId w:val="2"/>
        </w:numPr>
        <w:spacing w:after="90"/>
      </w:pPr>
      <w:r>
        <w:rPr>
          <w:rFonts w:ascii="IBM Plex Sans" w:cs="IBM Plex Sans" w:eastAsia="IBM Plex Sans" w:hAnsi="IBM Plex Sans"/>
          <w:color w:val="334155"/>
          <w:sz w:val="22"/>
          <w:szCs w:val="22"/>
        </w:rPr>
        <w:t xml:space="preserve">Riwayat psikososial: gejala cemas atau depresi terkait citra tubuh, karena SOPK berkaitan dengan beban psikologis yang bermakna dan perlu ditapis secara rutin.</w:t>
      </w:r>
    </w:p>
    <w:p>
      <w:pPr>
        <w:spacing w:after="160" w:line="300"/>
      </w:pPr>
      <w:r>
        <w:rPr>
          <w:rFonts w:ascii="IBM Plex Sans" w:cs="IBM Plex Sans" w:eastAsia="IBM Plex Sans" w:hAnsi="IBM Plex Sans"/>
          <w:color w:val="334155"/>
          <w:sz w:val="22"/>
          <w:szCs w:val="22"/>
        </w:rPr>
        <w:t xml:space="preserve">Pertimbangan khusus pada remaja: pada 3 tahun pertama pascamenarke, oligomenore fisiologis akibat imaturitas sumbu hipotalamus-hipofisis-ovarium sering menyerupai gambaran SOPK. Diagnosis definitif pada kelompok usia ini sebaiknya menunggu kestabilan siklus haid dan idealnya mensyaratkan seluruh tiga kriteria Rotterdam terpenuhi untuk menghindari overdiagnosis, sesuai penekanan pada pembaruan pedoman internasional terkini [5].</w:t>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3. Pemeriksaan Fisik</w:t>
      </w:r>
    </w:p>
    <w:p>
      <w:pPr>
        <w:pStyle w:val="ListParagraph"/>
        <w:numPr>
          <w:ilvl w:val="0"/>
          <w:numId w:val="2"/>
        </w:numPr>
        <w:spacing w:after="90"/>
      </w:pPr>
      <w:r>
        <w:rPr>
          <w:rFonts w:ascii="IBM Plex Sans" w:cs="IBM Plex Sans" w:eastAsia="IBM Plex Sans" w:hAnsi="IBM Plex Sans"/>
          <w:color w:val="334155"/>
          <w:sz w:val="22"/>
          <w:szCs w:val="22"/>
        </w:rPr>
        <w:t xml:space="preserve">Antropometri: berat badan, tinggi badan, indeks massa tubuh (IMT), dan lingkar pinggang untuk menilai obesitas sentral.</w:t>
      </w:r>
    </w:p>
    <w:p>
      <w:pPr>
        <w:pStyle w:val="ListParagraph"/>
        <w:numPr>
          <w:ilvl w:val="0"/>
          <w:numId w:val="2"/>
        </w:numPr>
        <w:spacing w:after="90"/>
      </w:pPr>
      <w:r>
        <w:rPr>
          <w:rFonts w:ascii="IBM Plex Sans" w:cs="IBM Plex Sans" w:eastAsia="IBM Plex Sans" w:hAnsi="IBM Plex Sans"/>
          <w:color w:val="334155"/>
          <w:sz w:val="22"/>
          <w:szCs w:val="22"/>
        </w:rPr>
        <w:t xml:space="preserve">Tekanan darah, sebagai bagian penapisan komponen sindrom metabolik.</w:t>
      </w:r>
    </w:p>
    <w:p>
      <w:pPr>
        <w:pStyle w:val="ListParagraph"/>
        <w:numPr>
          <w:ilvl w:val="0"/>
          <w:numId w:val="2"/>
        </w:numPr>
        <w:spacing w:after="90"/>
      </w:pPr>
      <w:r>
        <w:rPr>
          <w:rFonts w:ascii="IBM Plex Sans" w:cs="IBM Plex Sans" w:eastAsia="IBM Plex Sans" w:hAnsi="IBM Plex Sans"/>
          <w:color w:val="334155"/>
          <w:sz w:val="22"/>
          <w:szCs w:val="22"/>
        </w:rPr>
        <w:t xml:space="preserve">Penilaian hirsutisme dengan skor Ferriman-Gallwey termodifikasi (skor ≥8 dianggap bermakna pada populasi umum, dengan ambang yang dapat disesuaikan secara klinis pada populasi Asia yang cenderung memiliki densitas rambut tubuh lebih rendah).</w:t>
      </w:r>
    </w:p>
    <w:p>
      <w:pPr>
        <w:pStyle w:val="ListParagraph"/>
        <w:numPr>
          <w:ilvl w:val="0"/>
          <w:numId w:val="2"/>
        </w:numPr>
        <w:spacing w:after="90"/>
      </w:pPr>
      <w:r>
        <w:rPr>
          <w:rFonts w:ascii="IBM Plex Sans" w:cs="IBM Plex Sans" w:eastAsia="IBM Plex Sans" w:hAnsi="IBM Plex Sans"/>
          <w:color w:val="334155"/>
          <w:sz w:val="22"/>
          <w:szCs w:val="22"/>
        </w:rPr>
        <w:t xml:space="preserve">Inspeksi kulit: akne, alopesia androgenik, dan akantosis nigrikans (penebalan serta hiperpigmentasi kulit leher, aksila, atau lipat paha) sebagai penanda resistensi insulin.</w:t>
      </w:r>
    </w:p>
    <w:p>
      <w:pPr>
        <w:pStyle w:val="ListParagraph"/>
        <w:numPr>
          <w:ilvl w:val="0"/>
          <w:numId w:val="2"/>
        </w:numPr>
        <w:spacing w:after="90"/>
      </w:pPr>
      <w:r>
        <w:rPr>
          <w:rFonts w:ascii="IBM Plex Sans" w:cs="IBM Plex Sans" w:eastAsia="IBM Plex Sans" w:hAnsi="IBM Plex Sans"/>
          <w:color w:val="334155"/>
          <w:sz w:val="22"/>
          <w:szCs w:val="22"/>
        </w:rPr>
        <w:t xml:space="preserve">Pemeriksaan tanda virilisasi berat (klitoromegali, suara memberat, perubahan bentuk tubuh maskulin) — bila ditemukan, arahkan kecurigaan ke diagnosis banding tumor penghasil androgen atau hiperplasia adrenal kongenital, bukan SOPK sederhana.</w:t>
      </w:r>
    </w:p>
    <w:p>
      <w:pPr>
        <w:pStyle w:val="ListParagraph"/>
        <w:numPr>
          <w:ilvl w:val="0"/>
          <w:numId w:val="2"/>
        </w:numPr>
        <w:spacing w:after="90"/>
      </w:pPr>
      <w:r>
        <w:rPr>
          <w:rFonts w:ascii="IBM Plex Sans" w:cs="IBM Plex Sans" w:eastAsia="IBM Plex Sans" w:hAnsi="IBM Plex Sans"/>
          <w:color w:val="334155"/>
          <w:sz w:val="22"/>
          <w:szCs w:val="22"/>
        </w:rPr>
        <w:t xml:space="preserve">Pemeriksaan ginekologi dasar sesuai indikasi klinis.</w:t>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4. Kriteria Diagnosis</w:t>
      </w:r>
    </w:p>
    <w:p>
      <w:pPr>
        <w:spacing w:after="160" w:line="300"/>
      </w:pPr>
      <w:r>
        <w:rPr>
          <w:rFonts w:ascii="IBM Plex Sans" w:cs="IBM Plex Sans" w:eastAsia="IBM Plex Sans" w:hAnsi="IBM Plex Sans"/>
          <w:color w:val="334155"/>
          <w:sz w:val="22"/>
          <w:szCs w:val="22"/>
        </w:rPr>
        <w:t xml:space="preserve">Sindrom Ovarium Polikistik (SOPK) — Polycystic Ovary Syndrome (PCOS) — kode ICD-10 E28.2 dan ICD-11 5A80.1, ditegakkan bila memenuhi minimal 2 dari 3 kriteria Rotterdam berikut [4], setelah menyingkirkan etiologi lain:</w:t>
      </w:r>
    </w:p>
    <w:p>
      <w:pPr>
        <w:pStyle w:val="ListParagraph"/>
        <w:numPr>
          <w:ilvl w:val="0"/>
          <w:numId w:val="3"/>
        </w:numPr>
        <w:spacing w:after="90"/>
      </w:pPr>
      <w:r>
        <w:rPr>
          <w:rFonts w:ascii="IBM Plex Sans" w:cs="IBM Plex Sans" w:eastAsia="IBM Plex Sans" w:hAnsi="IBM Plex Sans"/>
          <w:color w:val="334155"/>
          <w:sz w:val="22"/>
          <w:szCs w:val="22"/>
        </w:rPr>
        <w:t xml:space="preserve">Oligo-ovulasi atau anovulasi, secara klinis tampak sebagai oligomenore (siklus lebih dari 35 hari) atau amenore sekunder.</w:t>
      </w:r>
    </w:p>
    <w:p>
      <w:pPr>
        <w:pStyle w:val="ListParagraph"/>
        <w:numPr>
          <w:ilvl w:val="0"/>
          <w:numId w:val="3"/>
        </w:numPr>
        <w:spacing w:after="90"/>
      </w:pPr>
      <w:r>
        <w:rPr>
          <w:rFonts w:ascii="IBM Plex Sans" w:cs="IBM Plex Sans" w:eastAsia="IBM Plex Sans" w:hAnsi="IBM Plex Sans"/>
          <w:color w:val="334155"/>
          <w:sz w:val="22"/>
          <w:szCs w:val="22"/>
        </w:rPr>
        <w:t xml:space="preserve">Hiperandrogenisme klinis (hirsutisme, akne, alopesia androgenik) dan/atau biokimia (kadar testosteron total/bebas meningkat).</w:t>
      </w:r>
    </w:p>
    <w:p>
      <w:pPr>
        <w:pStyle w:val="ListParagraph"/>
        <w:numPr>
          <w:ilvl w:val="0"/>
          <w:numId w:val="3"/>
        </w:numPr>
        <w:spacing w:after="90"/>
      </w:pPr>
      <w:r>
        <w:rPr>
          <w:rFonts w:ascii="IBM Plex Sans" w:cs="IBM Plex Sans" w:eastAsia="IBM Plex Sans" w:hAnsi="IBM Plex Sans"/>
          <w:color w:val="334155"/>
          <w:sz w:val="22"/>
          <w:szCs w:val="22"/>
        </w:rPr>
        <w:t xml:space="preserve">Gambaran morfologi ovarium polikistik pada USG transvaginal: minimal 20 folikel berukuran 2–9 mm per ovarium dan/atau volume ovarium ≥10 mL, tanpa adanya kista dominan atau korpus luteum.</w:t>
      </w:r>
    </w:p>
    <w:p>
      <w:pPr>
        <w:spacing w:after="160" w:line="300"/>
      </w:pPr>
      <w:r>
        <w:rPr>
          <w:rFonts w:ascii="IBM Plex Sans" w:cs="IBM Plex Sans" w:eastAsia="IBM Plex Sans" w:hAnsi="IBM Plex Sans"/>
          <w:color w:val="334155"/>
          <w:sz w:val="22"/>
          <w:szCs w:val="22"/>
        </w:rPr>
        <w:t xml:space="preserve">Klasifikasi "sederhana" pada PPK ini ditetapkan bila kriteria di atas terpenuhi dengan gejala ringan, tanpa disertai resistensi insulin berat/sindrom metabolik bermakna, tanpa infertilitas menetap yang memerlukan induksi ovulasi terstruktur, dan tanpa kecurigaan keganasan/hiperplasia endometrium — sesuai keterangan populasi Tabel 7 Kepkonsil No. 58 [1].</w:t>
      </w:r>
    </w:p>
    <w:p>
      <w:pPr>
        <w:spacing w:after="160" w:line="300"/>
      </w:pPr>
      <w:r>
        <w:rPr>
          <w:rFonts w:ascii="IBM Plex Sans" w:cs="IBM Plex Sans" w:eastAsia="IBM Plex Sans" w:hAnsi="IBM Plex Sans"/>
          <w:color w:val="334155"/>
          <w:sz w:val="22"/>
          <w:szCs w:val="22"/>
        </w:rPr>
        <w:t xml:space="preserve">Catatan pengayaan diagnostik: pembaruan pedoman internasional 2023 menyebutkan kadar hormon anti-Müller (AMH) sebagai alternatif penilaian morfologi ovarium polikistik pada populasi dewasa apabila USG tidak tersedia atau tidak dapat dilakukan, dengan ambang laboratorium yang bergantung pada jenis uji (assay-specific) [5]. Penerapan AMH sebagai pengganti USG belum menjadi bagian kriteria diagnosis resmi pada Tabel 7 Kepkonsil, sehingga pada PPK ini USG tetap menjadi modalitas penunjang utama; AMH dapat dipertimbangkan sebagai pemeriksaan tambahan bila USG sulit diakses.</w:t>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334155"/>
          <w:sz w:val="22"/>
          <w:szCs w:val="22"/>
        </w:rPr>
        <w:t xml:space="preserve">Diagnosis kerja: Sindrom Ovarium Polikistik Sederhana (E28.2 / 5A80.1).</w:t>
      </w:r>
    </w:p>
    <w:p>
      <w:pPr>
        <w:spacing w:after="160" w:line="300"/>
      </w:pPr>
      <w:r>
        <w:rPr>
          <w:rFonts w:ascii="IBM Plex Sans" w:cs="IBM Plex Sans" w:eastAsia="IBM Plex Sans" w:hAnsi="IBM Plex Sans"/>
          <w:color w:val="334155"/>
          <w:sz w:val="22"/>
          <w:szCs w:val="22"/>
        </w:rPr>
        <w:t xml:space="preserve">Diagnosis banding yang wajib disingkirkan sebelum diagnosis SOPK ditegakkan:</w:t>
      </w:r>
    </w:p>
    <w:p>
      <w:pPr>
        <w:pStyle w:val="ListParagraph"/>
        <w:numPr>
          <w:ilvl w:val="0"/>
          <w:numId w:val="2"/>
        </w:numPr>
        <w:spacing w:after="90"/>
      </w:pPr>
      <w:r>
        <w:rPr>
          <w:rFonts w:ascii="IBM Plex Sans" w:cs="IBM Plex Sans" w:eastAsia="IBM Plex Sans" w:hAnsi="IBM Plex Sans"/>
          <w:color w:val="334155"/>
          <w:sz w:val="22"/>
          <w:szCs w:val="22"/>
        </w:rPr>
        <w:t xml:space="preserve">Hiperplasia adrenal kongenital non-klasik (onset lambat) — ditandai kadar 17-hidroksiprogesteron (17-OHP) yang meningkat.</w:t>
      </w:r>
    </w:p>
    <w:p>
      <w:pPr>
        <w:pStyle w:val="ListParagraph"/>
        <w:numPr>
          <w:ilvl w:val="0"/>
          <w:numId w:val="2"/>
        </w:numPr>
        <w:spacing w:after="90"/>
      </w:pPr>
      <w:r>
        <w:rPr>
          <w:rFonts w:ascii="IBM Plex Sans" w:cs="IBM Plex Sans" w:eastAsia="IBM Plex Sans" w:hAnsi="IBM Plex Sans"/>
          <w:color w:val="334155"/>
          <w:sz w:val="22"/>
          <w:szCs w:val="22"/>
        </w:rPr>
        <w:t xml:space="preserve">Hiperprolaktinemia — kadar prolaktin meningkat, dapat menyebabkan oligomenore/amenore disertai galaktorea.</w:t>
      </w:r>
    </w:p>
    <w:p>
      <w:pPr>
        <w:pStyle w:val="ListParagraph"/>
        <w:numPr>
          <w:ilvl w:val="0"/>
          <w:numId w:val="2"/>
        </w:numPr>
        <w:spacing w:after="90"/>
      </w:pPr>
      <w:r>
        <w:rPr>
          <w:rFonts w:ascii="IBM Plex Sans" w:cs="IBM Plex Sans" w:eastAsia="IBM Plex Sans" w:hAnsi="IBM Plex Sans"/>
          <w:color w:val="334155"/>
          <w:sz w:val="22"/>
          <w:szCs w:val="22"/>
        </w:rPr>
        <w:t xml:space="preserve">Disfungsi tiroid (hipotiroid maupun hipertiroid) — ditandai kadar TSH yang abnormal.</w:t>
      </w:r>
    </w:p>
    <w:p>
      <w:pPr>
        <w:pStyle w:val="ListParagraph"/>
        <w:numPr>
          <w:ilvl w:val="0"/>
          <w:numId w:val="2"/>
        </w:numPr>
        <w:spacing w:after="90"/>
      </w:pPr>
      <w:r>
        <w:rPr>
          <w:rFonts w:ascii="IBM Plex Sans" w:cs="IBM Plex Sans" w:eastAsia="IBM Plex Sans" w:hAnsi="IBM Plex Sans"/>
          <w:color w:val="334155"/>
          <w:sz w:val="22"/>
          <w:szCs w:val="22"/>
        </w:rPr>
        <w:t xml:space="preserve">Sindrom Cushing — dipertimbangkan pada kecurigaan klinis tertentu (striae keunguan yang lebar, moon face, buffalo hump).</w:t>
      </w:r>
    </w:p>
    <w:p>
      <w:pPr>
        <w:pStyle w:val="ListParagraph"/>
        <w:numPr>
          <w:ilvl w:val="0"/>
          <w:numId w:val="2"/>
        </w:numPr>
        <w:spacing w:after="90"/>
      </w:pPr>
      <w:r>
        <w:rPr>
          <w:rFonts w:ascii="IBM Plex Sans" w:cs="IBM Plex Sans" w:eastAsia="IBM Plex Sans" w:hAnsi="IBM Plex Sans"/>
          <w:color w:val="334155"/>
          <w:sz w:val="22"/>
          <w:szCs w:val="22"/>
        </w:rPr>
        <w:t xml:space="preserve">Tumor penghasil androgen di ovarium atau adrenal — dicurigai pada onset hiperandrogenisme yang cepat dan berat (virilisasi).</w:t>
      </w:r>
    </w:p>
    <w:p>
      <w:pPr>
        <w:pStyle w:val="ListParagraph"/>
        <w:numPr>
          <w:ilvl w:val="0"/>
          <w:numId w:val="2"/>
        </w:numPr>
        <w:spacing w:after="90"/>
      </w:pPr>
      <w:r>
        <w:rPr>
          <w:rFonts w:ascii="IBM Plex Sans" w:cs="IBM Plex Sans" w:eastAsia="IBM Plex Sans" w:hAnsi="IBM Plex Sans"/>
          <w:color w:val="334155"/>
          <w:sz w:val="22"/>
          <w:szCs w:val="22"/>
        </w:rPr>
        <w:t xml:space="preserve">Amenore hipotalamus fungsional atau kegagalan ovarium prematur — dibedakan melalui profil gonadotropin yang tidak sesuai dengan gambaran SOPK.</w:t>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6. Pemeriksaan Penunjang</w:t>
      </w:r>
    </w:p>
    <w:p>
      <w:pPr>
        <w:pStyle w:val="ListParagraph"/>
        <w:numPr>
          <w:ilvl w:val="0"/>
          <w:numId w:val="2"/>
        </w:numPr>
        <w:spacing w:after="90"/>
      </w:pPr>
      <w:r>
        <w:rPr>
          <w:rFonts w:ascii="IBM Plex Sans" w:cs="IBM Plex Sans" w:eastAsia="IBM Plex Sans" w:hAnsi="IBM Plex Sans"/>
          <w:color w:val="334155"/>
          <w:sz w:val="22"/>
          <w:szCs w:val="22"/>
        </w:rPr>
        <w:t xml:space="preserve">Ultrasonografi (USG) transvaginal (atau transabdominal pada pasien yang belum menikah atau bila USG transvaginal tidak dapat dilakukan) untuk menilai morfologi ovarium polikistik.</w:t>
      </w:r>
    </w:p>
    <w:p>
      <w:pPr>
        <w:pStyle w:val="ListParagraph"/>
        <w:numPr>
          <w:ilvl w:val="0"/>
          <w:numId w:val="2"/>
        </w:numPr>
        <w:spacing w:after="90"/>
      </w:pPr>
      <w:r>
        <w:rPr>
          <w:rFonts w:ascii="IBM Plex Sans" w:cs="IBM Plex Sans" w:eastAsia="IBM Plex Sans" w:hAnsi="IBM Plex Sans"/>
          <w:color w:val="334155"/>
          <w:sz w:val="22"/>
          <w:szCs w:val="22"/>
        </w:rPr>
        <w:t xml:space="preserve">Profil hormon reproduksi: LH, FSH, rasio LH/FSH, serta testosteron total dan/atau bebas dan SHBG (sex hormone-binding globulin).</w:t>
      </w:r>
    </w:p>
    <w:p>
      <w:pPr>
        <w:pStyle w:val="ListParagraph"/>
        <w:numPr>
          <w:ilvl w:val="0"/>
          <w:numId w:val="2"/>
        </w:numPr>
        <w:spacing w:after="90"/>
      </w:pPr>
      <w:r>
        <w:rPr>
          <w:rFonts w:ascii="IBM Plex Sans" w:cs="IBM Plex Sans" w:eastAsia="IBM Plex Sans" w:hAnsi="IBM Plex Sans"/>
          <w:color w:val="334155"/>
          <w:sz w:val="22"/>
          <w:szCs w:val="22"/>
        </w:rPr>
        <w:t xml:space="preserve">17-hidroksiprogesteron (17-OHP) untuk menyingkirkan hiperplasia adrenal kongenital non-klasik.</w:t>
      </w:r>
    </w:p>
    <w:p>
      <w:pPr>
        <w:pStyle w:val="ListParagraph"/>
        <w:numPr>
          <w:ilvl w:val="0"/>
          <w:numId w:val="2"/>
        </w:numPr>
        <w:spacing w:after="90"/>
      </w:pPr>
      <w:r>
        <w:rPr>
          <w:rFonts w:ascii="IBM Plex Sans" w:cs="IBM Plex Sans" w:eastAsia="IBM Plex Sans" w:hAnsi="IBM Plex Sans"/>
          <w:color w:val="334155"/>
          <w:sz w:val="22"/>
          <w:szCs w:val="22"/>
        </w:rPr>
        <w:t xml:space="preserve">Prolaktin serum dan TSH untuk menyingkirkan hiperprolaktinemia dan disfungsi tiroid.</w:t>
      </w:r>
    </w:p>
    <w:p>
      <w:pPr>
        <w:pStyle w:val="ListParagraph"/>
        <w:numPr>
          <w:ilvl w:val="0"/>
          <w:numId w:val="2"/>
        </w:numPr>
        <w:spacing w:after="90"/>
      </w:pPr>
      <w:r>
        <w:rPr>
          <w:rFonts w:ascii="IBM Plex Sans" w:cs="IBM Plex Sans" w:eastAsia="IBM Plex Sans" w:hAnsi="IBM Plex Sans"/>
          <w:color w:val="334155"/>
          <w:sz w:val="22"/>
          <w:szCs w:val="22"/>
        </w:rPr>
        <w:t xml:space="preserve">Profil metabolik: glukosa darah puasa, HbA1c, dan/atau tes toleransi glukosa oral (OGTT) 75 gram pada pasien dengan faktor risiko resistensi insulin (obesitas, riwayat keluarga diabetes melitus tipe 2).</w:t>
      </w:r>
    </w:p>
    <w:p>
      <w:pPr>
        <w:pStyle w:val="ListParagraph"/>
        <w:numPr>
          <w:ilvl w:val="0"/>
          <w:numId w:val="2"/>
        </w:numPr>
        <w:spacing w:after="90"/>
      </w:pPr>
      <w:r>
        <w:rPr>
          <w:rFonts w:ascii="IBM Plex Sans" w:cs="IBM Plex Sans" w:eastAsia="IBM Plex Sans" w:hAnsi="IBM Plex Sans"/>
          <w:color w:val="334155"/>
          <w:sz w:val="22"/>
          <w:szCs w:val="22"/>
        </w:rPr>
        <w:t xml:space="preserve">Profil lipid puasa, mengingat peningkatan risiko dislipidemia pada SOPK.</w:t>
      </w:r>
    </w:p>
    <w:p>
      <w:pPr>
        <w:pStyle w:val="ListParagraph"/>
        <w:numPr>
          <w:ilvl w:val="0"/>
          <w:numId w:val="2"/>
        </w:numPr>
        <w:spacing w:after="90"/>
      </w:pPr>
      <w:r>
        <w:rPr>
          <w:rFonts w:ascii="IBM Plex Sans" w:cs="IBM Plex Sans" w:eastAsia="IBM Plex Sans" w:hAnsi="IBM Plex Sans"/>
          <w:color w:val="334155"/>
          <w:sz w:val="22"/>
          <w:szCs w:val="22"/>
        </w:rPr>
        <w:t xml:space="preserve">AMH serum sebagai pemeriksaan tambahan opsional bila USG sulit diakses, dengan interpretasi mengikuti ambang spesifik metode pemeriksaan yang digunakan laboratorium [5].</w:t>
      </w:r>
    </w:p>
    <w:p>
      <w:pPr>
        <w:pStyle w:val="ListParagraph"/>
        <w:numPr>
          <w:ilvl w:val="0"/>
          <w:numId w:val="2"/>
        </w:numPr>
        <w:spacing w:after="90"/>
      </w:pPr>
      <w:r>
        <w:rPr>
          <w:rFonts w:ascii="IBM Plex Sans" w:cs="IBM Plex Sans" w:eastAsia="IBM Plex Sans" w:hAnsi="IBM Plex Sans"/>
          <w:color w:val="334155"/>
          <w:sz w:val="22"/>
          <w:szCs w:val="22"/>
        </w:rPr>
        <w:t xml:space="preserve">Pemeriksaan tambahan sesuai kecurigaan diagnosis banding (misalnya uji supresi deksametason bila dicurigai Sindrom Cushing).</w:t>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7. Tata Laksana</w:t>
      </w:r>
    </w:p>
    <w:p>
      <w:pPr>
        <w:pStyle w:val="Heading2"/>
        <w:spacing w:after="120" w:before="200"/>
      </w:pPr>
      <w:r>
        <w:rPr>
          <w:rFonts w:ascii="Source Serif 4" w:cs="Source Serif 4" w:eastAsia="Source Serif 4" w:hAnsi="Source Serif 4"/>
          <w:b/>
          <w:bCs/>
          <w:color w:val="4F46E5"/>
          <w:sz w:val="24"/>
          <w:szCs w:val="24"/>
        </w:rPr>
        <w:t xml:space="preserve">7.1 Tata Laksana Non-Farmakologis</w:t>
      </w:r>
    </w:p>
    <w:p>
      <w:pPr>
        <w:spacing w:after="160" w:line="300"/>
      </w:pPr>
      <w:r>
        <w:rPr>
          <w:rFonts w:ascii="IBM Plex Sans" w:cs="IBM Plex Sans" w:eastAsia="IBM Plex Sans" w:hAnsi="IBM Plex Sans"/>
          <w:color w:val="334155"/>
          <w:sz w:val="22"/>
          <w:szCs w:val="22"/>
        </w:rPr>
        <w:t xml:space="preserve">Modifikasi gaya hidup merupakan lini pertama tata laksana SOPK sederhana, terutama pada pasien dengan kelebihan berat badan atau obesitas [2].</w:t>
      </w:r>
    </w:p>
    <w:p>
      <w:pPr>
        <w:pStyle w:val="ListParagraph"/>
        <w:numPr>
          <w:ilvl w:val="0"/>
          <w:numId w:val="2"/>
        </w:numPr>
        <w:spacing w:after="90"/>
      </w:pPr>
      <w:r>
        <w:rPr>
          <w:rFonts w:ascii="IBM Plex Sans" w:cs="IBM Plex Sans" w:eastAsia="IBM Plex Sans" w:hAnsi="IBM Plex Sans"/>
          <w:color w:val="334155"/>
          <w:sz w:val="22"/>
          <w:szCs w:val="22"/>
        </w:rPr>
        <w:t xml:space="preserve">Target penurunan berat badan 5–10% dari berat badan awal pada pasien dengan IMT berlebih/obesitas, terbukti memperbaiki regularitas siklus haid dan profil metabolik.</w:t>
      </w:r>
    </w:p>
    <w:p>
      <w:pPr>
        <w:pStyle w:val="ListParagraph"/>
        <w:numPr>
          <w:ilvl w:val="0"/>
          <w:numId w:val="2"/>
        </w:numPr>
        <w:spacing w:after="90"/>
      </w:pPr>
      <w:r>
        <w:rPr>
          <w:rFonts w:ascii="IBM Plex Sans" w:cs="IBM Plex Sans" w:eastAsia="IBM Plex Sans" w:hAnsi="IBM Plex Sans"/>
          <w:color w:val="334155"/>
          <w:sz w:val="22"/>
          <w:szCs w:val="22"/>
        </w:rPr>
        <w:t xml:space="preserve">Aktivitas fisik terstruktur minimal 150 menit per minggu dengan intensitas sedang.</w:t>
      </w:r>
    </w:p>
    <w:p>
      <w:pPr>
        <w:pStyle w:val="ListParagraph"/>
        <w:numPr>
          <w:ilvl w:val="0"/>
          <w:numId w:val="2"/>
        </w:numPr>
        <w:spacing w:after="90"/>
      </w:pPr>
      <w:r>
        <w:rPr>
          <w:rFonts w:ascii="IBM Plex Sans" w:cs="IBM Plex Sans" w:eastAsia="IBM Plex Sans" w:hAnsi="IBM Plex Sans"/>
          <w:color w:val="334155"/>
          <w:sz w:val="22"/>
          <w:szCs w:val="22"/>
        </w:rPr>
        <w:t xml:space="preserve">Edukasi pola makan seimbang, idealnya dengan pendekatan multidisiplin bersama gizi klinik bila tersedia.</w:t>
      </w:r>
    </w:p>
    <w:p>
      <w:pPr>
        <w:pStyle w:val="ListParagraph"/>
        <w:numPr>
          <w:ilvl w:val="0"/>
          <w:numId w:val="2"/>
        </w:numPr>
        <w:spacing w:after="90"/>
      </w:pPr>
      <w:r>
        <w:rPr>
          <w:rFonts w:ascii="IBM Plex Sans" w:cs="IBM Plex Sans" w:eastAsia="IBM Plex Sans" w:hAnsi="IBM Plex Sans"/>
          <w:color w:val="334155"/>
          <w:sz w:val="22"/>
          <w:szCs w:val="22"/>
        </w:rPr>
        <w:t xml:space="preserve">Dukungan psikologis, mengingat asosiasi SOPK dengan gangguan citra tubuh, kecemasan, dan gejala depresif.</w:t>
      </w:r>
    </w:p>
    <w:p>
      <w:pPr>
        <w:pStyle w:val="Heading2"/>
        <w:spacing w:after="120" w:before="200"/>
      </w:pPr>
      <w:r>
        <w:rPr>
          <w:rFonts w:ascii="Source Serif 4" w:cs="Source Serif 4" w:eastAsia="Source Serif 4" w:hAnsi="Source Serif 4"/>
          <w:b/>
          <w:bCs/>
          <w:color w:val="4F46E5"/>
          <w:sz w:val="24"/>
          <w:szCs w:val="24"/>
        </w:rPr>
        <w:t xml:space="preserve">7.2 Tata Laksana Farmakologis</w:t>
      </w:r>
    </w:p>
    <w:p>
      <w:pPr>
        <w:pStyle w:val="ListParagraph"/>
        <w:numPr>
          <w:ilvl w:val="0"/>
          <w:numId w:val="2"/>
        </w:numPr>
        <w:spacing w:after="90"/>
      </w:pPr>
      <w:r>
        <w:rPr>
          <w:rFonts w:ascii="IBM Plex Sans" w:cs="IBM Plex Sans" w:eastAsia="IBM Plex Sans" w:hAnsi="IBM Plex Sans"/>
          <w:color w:val="334155"/>
          <w:sz w:val="22"/>
          <w:szCs w:val="22"/>
        </w:rPr>
        <w:t xml:space="preserve">Kontrasepsi hormonal kombinasi (pil kombinasi estrogen-progestin) sebagai lini pertama untuk regularisasi siklus haid dan perbaikan hiperandrogenisme klinis pada pasien yang tidak merencanakan kehamilan segera dan tanpa kontraindikasi estrogen [2]. Pemilihan jenis progestin mempertimbangkan profil androgenisitas: progestin dengan efek antiandrogenik atau netral (mis. drospirenon, siproteron asetat, desogestrel) lebih disukai dibandingkan progestin dengan efek androgenik.</w:t>
      </w:r>
    </w:p>
    <w:p>
      <w:pPr>
        <w:pStyle w:val="ListParagraph"/>
        <w:numPr>
          <w:ilvl w:val="0"/>
          <w:numId w:val="2"/>
        </w:numPr>
        <w:spacing w:after="90"/>
      </w:pPr>
      <w:r>
        <w:rPr>
          <w:rFonts w:ascii="IBM Plex Sans" w:cs="IBM Plex Sans" w:eastAsia="IBM Plex Sans" w:hAnsi="IBM Plex Sans"/>
          <w:color w:val="334155"/>
          <w:sz w:val="22"/>
          <w:szCs w:val="22"/>
        </w:rPr>
        <w:t xml:space="preserve">Progestin siklik (misalnya medroksiprogesteron asetat) sebagai alternatif pada pasien dengan kontraindikasi estrogen, untuk proteksi endometrium dan regularisasi peluruhan haid.</w:t>
      </w:r>
    </w:p>
    <w:p>
      <w:pPr>
        <w:pStyle w:val="ListParagraph"/>
        <w:numPr>
          <w:ilvl w:val="0"/>
          <w:numId w:val="2"/>
        </w:numPr>
        <w:spacing w:after="90"/>
      </w:pPr>
      <w:r>
        <w:rPr>
          <w:rFonts w:ascii="IBM Plex Sans" w:cs="IBM Plex Sans" w:eastAsia="IBM Plex Sans" w:hAnsi="IBM Plex Sans"/>
          <w:color w:val="334155"/>
          <w:sz w:val="22"/>
          <w:szCs w:val="22"/>
        </w:rPr>
        <w:t xml:space="preserve">Metformin dipertimbangkan pada pasien dengan resistensi insulin/gangguan toleransi glukosa, IMT berlebih, atau sebagai adjuvan induksi ovulasi pada rencana kehamilan; diberikan bersama modifikasi gaya hidup. Tinjauan sistematis Cochrane melaporkan perbaikan luaran ovulasi dan kehamilan klinis dengan metformin, baik sebagai monoterapi maupun kombinasi dengan klomifen sitrat [3].</w:t>
      </w:r>
    </w:p>
    <w:p>
      <w:pPr>
        <w:pStyle w:val="ListParagraph"/>
        <w:numPr>
          <w:ilvl w:val="0"/>
          <w:numId w:val="2"/>
        </w:numPr>
        <w:spacing w:after="90"/>
      </w:pPr>
      <w:r>
        <w:rPr>
          <w:rFonts w:ascii="IBM Plex Sans" w:cs="IBM Plex Sans" w:eastAsia="IBM Plex Sans" w:hAnsi="IBM Plex Sans"/>
          <w:color w:val="334155"/>
          <w:sz w:val="22"/>
          <w:szCs w:val="22"/>
        </w:rPr>
        <w:t xml:space="preserve">Anti-androgen (misalnya spironolakton) dapat ditambahkan untuk hirsutisme yang tidak berespons adekuat terhadap kontrasepsi hormonal setelah minimal 6 bulan, dan wajib disertai kontrasepsi adekuat karena risiko teratogenik.</w:t>
      </w:r>
    </w:p>
    <w:p>
      <w:pPr>
        <w:pStyle w:val="ListParagraph"/>
        <w:numPr>
          <w:ilvl w:val="0"/>
          <w:numId w:val="2"/>
        </w:numPr>
        <w:spacing w:after="90"/>
      </w:pPr>
      <w:r>
        <w:rPr>
          <w:rFonts w:ascii="IBM Plex Sans" w:cs="IBM Plex Sans" w:eastAsia="IBM Plex Sans" w:hAnsi="IBM Plex Sans"/>
          <w:color w:val="334155"/>
          <w:sz w:val="22"/>
          <w:szCs w:val="22"/>
        </w:rPr>
        <w:t xml:space="preserve">Induksi ovulasi lini pertama diberikan hanya pada pasien dengan rencana kehamilan aktif. Letrozol direkomendasikan sebagai agen lini pertama berdasarkan uji klinis acak multisenter berskala besar (Pregnancy in Polycystic Ovary Syndrome II) yang menunjukkan angka kelahiran hidup dan ovulasi lebih tinggi dibandingkan klomifen sitrat pada perempuan dengan SOPK dan infertilitas anovulatorik [6]. Klomifen sitrat tetap menjadi alternatif yang sahih apabila letrozol tidak tersedia. Bila diperlukan protokol induksi ovulasi terstruktur, pasien dirujuk sesuai butir 7.4.</w:t>
      </w:r>
    </w:p>
    <w:p>
      <w:pPr>
        <w:pStyle w:val="Heading2"/>
        <w:spacing w:after="120" w:before="200"/>
      </w:pPr>
      <w:r>
        <w:rPr>
          <w:rFonts w:ascii="Source Serif 4" w:cs="Source Serif 4" w:eastAsia="Source Serif 4" w:hAnsi="Source Serif 4"/>
          <w:b/>
          <w:bCs/>
          <w:color w:val="4F46E5"/>
          <w:sz w:val="24"/>
          <w:szCs w:val="24"/>
        </w:rPr>
        <w:t xml:space="preserve">7.3 Tata Laksana Bedah/Prosedural (bila relevan)</w:t>
      </w:r>
    </w:p>
    <w:p>
      <w:pPr>
        <w:spacing w:after="160" w:line="300"/>
      </w:pPr>
      <w:r>
        <w:rPr>
          <w:rFonts w:ascii="IBM Plex Sans" w:cs="IBM Plex Sans" w:eastAsia="IBM Plex Sans" w:hAnsi="IBM Plex Sans"/>
          <w:color w:val="334155"/>
          <w:sz w:val="22"/>
          <w:szCs w:val="22"/>
        </w:rPr>
        <w:t xml:space="preserve">Pada SOPK sederhana, tata laksana bedah/prosedural umumnya tidak diperlukan. Prosedur seperti ovarian drilling laparoskopik dipertimbangkan hanya pada kasus infertilitas dengan resistensi terhadap induksi ovulasi lini pertama, dan dilaksanakan di tingkat rujukan Subspesialis Fertilitas dan Endokrinologi Reproduksi, bukan pada lingkup PPK ini.</w:t>
      </w:r>
    </w:p>
    <w:p>
      <w:pPr>
        <w:pStyle w:val="Heading2"/>
        <w:spacing w:after="120" w:before="200"/>
      </w:pPr>
      <w:r>
        <w:rPr>
          <w:rFonts w:ascii="Source Serif 4" w:cs="Source Serif 4" w:eastAsia="Source Serif 4" w:hAnsi="Source Serif 4"/>
          <w:b/>
          <w:bCs/>
          <w:color w:val="4F46E5"/>
          <w:sz w:val="24"/>
          <w:szCs w:val="24"/>
        </w:rPr>
        <w:t xml:space="preserve">7.4 Kriteria Rujukan ke Subspesialis Fertilitas dan Endokrinologi Reproduksi</w:t>
      </w:r>
    </w:p>
    <w:p>
      <w:pPr>
        <w:pStyle w:val="ListParagraph"/>
        <w:numPr>
          <w:ilvl w:val="0"/>
          <w:numId w:val="2"/>
        </w:numPr>
        <w:spacing w:after="90"/>
      </w:pPr>
      <w:r>
        <w:rPr>
          <w:rFonts w:ascii="IBM Plex Sans" w:cs="IBM Plex Sans" w:eastAsia="IBM Plex Sans" w:hAnsi="IBM Plex Sans"/>
          <w:color w:val="334155"/>
          <w:sz w:val="22"/>
          <w:szCs w:val="22"/>
        </w:rPr>
        <w:t xml:space="preserve">Infertilitas menetap meski telah dilakukan modifikasi gaya hidup dan/atau induksi ovulasi lini pertama.</w:t>
      </w:r>
    </w:p>
    <w:p>
      <w:pPr>
        <w:pStyle w:val="ListParagraph"/>
        <w:numPr>
          <w:ilvl w:val="0"/>
          <w:numId w:val="2"/>
        </w:numPr>
        <w:spacing w:after="90"/>
      </w:pPr>
      <w:r>
        <w:rPr>
          <w:rFonts w:ascii="IBM Plex Sans" w:cs="IBM Plex Sans" w:eastAsia="IBM Plex Sans" w:hAnsi="IBM Plex Sans"/>
          <w:color w:val="334155"/>
          <w:sz w:val="22"/>
          <w:szCs w:val="22"/>
        </w:rPr>
        <w:t xml:space="preserve">Resistensi insulin berat atau sindrom metabolik bermakna yang memerlukan tata laksana terintegrasi.</w:t>
      </w:r>
    </w:p>
    <w:p>
      <w:pPr>
        <w:pStyle w:val="ListParagraph"/>
        <w:numPr>
          <w:ilvl w:val="0"/>
          <w:numId w:val="2"/>
        </w:numPr>
        <w:spacing w:after="90"/>
      </w:pPr>
      <w:r>
        <w:rPr>
          <w:rFonts w:ascii="IBM Plex Sans" w:cs="IBM Plex Sans" w:eastAsia="IBM Plex Sans" w:hAnsi="IBM Plex Sans"/>
          <w:color w:val="334155"/>
          <w:sz w:val="22"/>
          <w:szCs w:val="22"/>
        </w:rPr>
        <w:t xml:space="preserve">Hiperandrogenisme berat atau onset cepat yang mengarah pada kecurigaan tumor penghasil androgen (dirujuk juga ke onkologi/endokrinologi sesuai temuan, di luar kewenangan tata laksana PPK ini).</w:t>
      </w:r>
    </w:p>
    <w:p>
      <w:pPr>
        <w:pStyle w:val="ListParagraph"/>
        <w:numPr>
          <w:ilvl w:val="0"/>
          <w:numId w:val="2"/>
        </w:numPr>
        <w:spacing w:after="90"/>
      </w:pPr>
      <w:r>
        <w:rPr>
          <w:rFonts w:ascii="IBM Plex Sans" w:cs="IBM Plex Sans" w:eastAsia="IBM Plex Sans" w:hAnsi="IBM Plex Sans"/>
          <w:color w:val="334155"/>
          <w:sz w:val="22"/>
          <w:szCs w:val="22"/>
        </w:rPr>
        <w:t xml:space="preserve">Kegagalan respons terhadap induksi ovulasi lini pertama (letrozol/klomifen sitrat) yang memerlukan protokol gonadotropin terstruktur atau teknologi reproduksi berbantu.</w:t>
      </w:r>
    </w:p>
    <w:p>
      <w:pPr>
        <w:pStyle w:val="ListParagraph"/>
        <w:numPr>
          <w:ilvl w:val="0"/>
          <w:numId w:val="2"/>
        </w:numPr>
        <w:spacing w:after="90"/>
      </w:pPr>
      <w:r>
        <w:rPr>
          <w:rFonts w:ascii="IBM Plex Sans" w:cs="IBM Plex Sans" w:eastAsia="IBM Plex Sans" w:hAnsi="IBM Plex Sans"/>
          <w:color w:val="334155"/>
          <w:sz w:val="22"/>
          <w:szCs w:val="22"/>
        </w:rPr>
        <w:t xml:space="preserve">Kecurigaan hiperplasia endometrium akibat anovulasi kronis yang memerlukan evaluasi dan tata laksana lebih lanjut.</w:t>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2"/>
        </w:numPr>
        <w:spacing w:after="90"/>
      </w:pPr>
      <w:r>
        <w:rPr>
          <w:rFonts w:ascii="IBM Plex Sans" w:cs="IBM Plex Sans" w:eastAsia="IBM Plex Sans" w:hAnsi="IBM Plex Sans"/>
          <w:color w:val="334155"/>
          <w:sz w:val="22"/>
          <w:szCs w:val="22"/>
        </w:rPr>
        <w:t xml:space="preserve">SOPK adalah kondisi kronis yang memerlukan pemantauan jangka panjang, bukan kondisi yang "disembuhkan" dalam satu episode terapi.</w:t>
      </w:r>
    </w:p>
    <w:p>
      <w:pPr>
        <w:pStyle w:val="ListParagraph"/>
        <w:numPr>
          <w:ilvl w:val="0"/>
          <w:numId w:val="2"/>
        </w:numPr>
        <w:spacing w:after="90"/>
      </w:pPr>
      <w:r>
        <w:rPr>
          <w:rFonts w:ascii="IBM Plex Sans" w:cs="IBM Plex Sans" w:eastAsia="IBM Plex Sans" w:hAnsi="IBM Plex Sans"/>
          <w:color w:val="334155"/>
          <w:sz w:val="22"/>
          <w:szCs w:val="22"/>
        </w:rPr>
        <w:t xml:space="preserve">Modifikasi gaya hidup adalah dasar tata laksana dan memberi manfaat pada regularitas haid, profil metabolik, serta kesuburan.</w:t>
      </w:r>
    </w:p>
    <w:p>
      <w:pPr>
        <w:pStyle w:val="ListParagraph"/>
        <w:numPr>
          <w:ilvl w:val="0"/>
          <w:numId w:val="2"/>
        </w:numPr>
        <w:spacing w:after="90"/>
      </w:pPr>
      <w:r>
        <w:rPr>
          <w:rFonts w:ascii="IBM Plex Sans" w:cs="IBM Plex Sans" w:eastAsia="IBM Plex Sans" w:hAnsi="IBM Plex Sans"/>
          <w:color w:val="334155"/>
          <w:sz w:val="22"/>
          <w:szCs w:val="22"/>
        </w:rPr>
        <w:t xml:space="preserve">Pentingnya kontrasepsi bagi pasien yang tidak merencanakan kehamilan, sekaligus proteksi endometrium dari efek anovulasi kronis.</w:t>
      </w:r>
    </w:p>
    <w:p>
      <w:pPr>
        <w:pStyle w:val="ListParagraph"/>
        <w:numPr>
          <w:ilvl w:val="0"/>
          <w:numId w:val="2"/>
        </w:numPr>
        <w:spacing w:after="90"/>
      </w:pPr>
      <w:r>
        <w:rPr>
          <w:rFonts w:ascii="IBM Plex Sans" w:cs="IBM Plex Sans" w:eastAsia="IBM Plex Sans" w:hAnsi="IBM Plex Sans"/>
          <w:color w:val="334155"/>
          <w:sz w:val="22"/>
          <w:szCs w:val="22"/>
        </w:rPr>
        <w:t xml:space="preserve">Risiko jangka panjang bila tidak terpantau: diabetes melitus tipe 2, sindrom metabolik, penyakit kardiovaskular, dan hiperplasia endometrium akibat paparan estrogen tanpa lawan progesteron yang berkepanjangan.</w:t>
      </w:r>
    </w:p>
    <w:p>
      <w:pPr>
        <w:pStyle w:val="ListParagraph"/>
        <w:numPr>
          <w:ilvl w:val="0"/>
          <w:numId w:val="2"/>
        </w:numPr>
        <w:spacing w:after="90"/>
      </w:pPr>
      <w:r>
        <w:rPr>
          <w:rFonts w:ascii="IBM Plex Sans" w:cs="IBM Plex Sans" w:eastAsia="IBM Plex Sans" w:hAnsi="IBM Plex Sans"/>
          <w:color w:val="334155"/>
          <w:sz w:val="22"/>
          <w:szCs w:val="22"/>
        </w:rPr>
        <w:t xml:space="preserve">Rencana kehamilan sebaiknya didiskusikan lebih awal agar tata laksana dapat disesuaikan (penghentian kontrasepsi hormonal, persiapan induksi ovulasi bila diperlukan).</w:t>
      </w:r>
    </w:p>
    <w:p>
      <w:pPr>
        <w:pStyle w:val="ListParagraph"/>
        <w:numPr>
          <w:ilvl w:val="0"/>
          <w:numId w:val="2"/>
        </w:numPr>
        <w:spacing w:after="90"/>
      </w:pPr>
      <w:r>
        <w:rPr>
          <w:rFonts w:ascii="IBM Plex Sans" w:cs="IBM Plex Sans" w:eastAsia="IBM Plex Sans" w:hAnsi="IBM Plex Sans"/>
          <w:color w:val="334155"/>
          <w:sz w:val="22"/>
          <w:szCs w:val="22"/>
        </w:rPr>
        <w:t xml:space="preserve">Pentingnya kontrol berkala untuk evaluasi respons terapi dan skrining metabolik berkala.</w:t>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9. Prognosis</w:t>
      </w:r>
    </w:p>
    <w:p>
      <w:pPr>
        <w:pStyle w:val="ListParagraph"/>
        <w:numPr>
          <w:ilvl w:val="0"/>
          <w:numId w:val="2"/>
        </w:numPr>
        <w:spacing w:after="90"/>
      </w:pPr>
      <w:r>
        <w:rPr>
          <w:rFonts w:ascii="IBM Plex Sans" w:cs="IBM Plex Sans" w:eastAsia="IBM Plex Sans" w:hAnsi="IBM Plex Sans"/>
          <w:color w:val="334155"/>
          <w:sz w:val="22"/>
          <w:szCs w:val="22"/>
        </w:rPr>
        <w:t xml:space="preserve">Quo ad vitam: bonam — SOPK sederhana tidak mengancam nyawa.</w:t>
      </w:r>
    </w:p>
    <w:p>
      <w:pPr>
        <w:pStyle w:val="ListParagraph"/>
        <w:numPr>
          <w:ilvl w:val="0"/>
          <w:numId w:val="2"/>
        </w:numPr>
        <w:spacing w:after="90"/>
      </w:pPr>
      <w:r>
        <w:rPr>
          <w:rFonts w:ascii="IBM Plex Sans" w:cs="IBM Plex Sans" w:eastAsia="IBM Plex Sans" w:hAnsi="IBM Plex Sans"/>
          <w:color w:val="334155"/>
          <w:sz w:val="22"/>
          <w:szCs w:val="22"/>
        </w:rPr>
        <w:t xml:space="preserve">Quo ad functionam: bonam dengan tata laksana dan pemantauan adekuat; fungsi reproduksi umumnya dapat diperbaiki dengan modifikasi gaya hidup dan/atau induksi ovulasi.</w:t>
      </w:r>
    </w:p>
    <w:p>
      <w:pPr>
        <w:pStyle w:val="ListParagraph"/>
        <w:numPr>
          <w:ilvl w:val="0"/>
          <w:numId w:val="2"/>
        </w:numPr>
        <w:spacing w:after="90"/>
      </w:pPr>
      <w:r>
        <w:rPr>
          <w:rFonts w:ascii="IBM Plex Sans" w:cs="IBM Plex Sans" w:eastAsia="IBM Plex Sans" w:hAnsi="IBM Plex Sans"/>
          <w:color w:val="334155"/>
          <w:sz w:val="22"/>
          <w:szCs w:val="22"/>
        </w:rPr>
        <w:t xml:space="preserve">Quo ad sanationam: dubia — SOPK bersifat kronis, sehingga fokus tata laksana adalah pengendalian gejala dan pencegahan komplikasi jangka panjang, bukan penyembuhan total.</w:t>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10. Tingkat Evidens dan Rekomendasi</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tblHeader/>
        </w:trPr>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Aspek Tata Laksana</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Tingkat Evidens</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Kekuatan Rekomendasi</w:t>
            </w:r>
          </w:p>
        </w:tc>
        <w:tc>
          <w:tcPr>
            <w:tcW w:type="dxa" w:w="2337"/>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Sumber</w:t>
            </w:r>
          </w:p>
        </w:tc>
      </w:tr>
      <w:tr>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Modifikasi gaya hidup (penurunan BB 5–10%) sebagai lini pertama</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Evidens level II</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Rekomendasi A</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ACOG Practice Bulletin No. 194 [2]</w:t>
            </w:r>
          </w:p>
        </w:tc>
      </w:tr>
      <w:tr>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Kontrasepsi hormonal kombinasi untuk regularisasi haid &amp; hiperandrogenisme</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Evidens level I</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Rekomendasi A</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ACOG Practice Bulletin No. 194 [2]</w:t>
            </w:r>
          </w:p>
        </w:tc>
      </w:tr>
      <w:tr>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Metformin sebagai adjuvan pada resistensi insulin/induksi ovulasi</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Evidens level I</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Rekomendasi B</w:t>
            </w:r>
          </w:p>
        </w:tc>
        <w:tc>
          <w:tcPr>
            <w:tcW w:type="dxa" w:w="2337"/>
            <w:shd w:fill="FFFFFF"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Cochrane Database Syst Rev, CD003053 [3]</w:t>
            </w:r>
          </w:p>
        </w:tc>
      </w:tr>
      <w:tr>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Letrozol sebagai lini pertama induksi ovulasi pada SOPK dengan infertilitas anovulatorik</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Evidens level I</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Rekomendasi A</w:t>
            </w:r>
          </w:p>
        </w:tc>
        <w:tc>
          <w:tcPr>
            <w:tcW w:type="dxa" w:w="2337"/>
            <w:shd w:fill="F8FAFC"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Legro dkk., N Engl J Med 2014 (PPCOS II) [6]</w:t>
            </w:r>
          </w:p>
        </w:tc>
      </w:tr>
    </w:tbl>
    <w:p>
      <w:pPr>
        <w:spacing w:after="160"/>
      </w:pP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11. Indikator Medis</w:t>
      </w:r>
    </w:p>
    <w:p>
      <w:pPr>
        <w:pStyle w:val="ListParagraph"/>
        <w:numPr>
          <w:ilvl w:val="0"/>
          <w:numId w:val="2"/>
        </w:numPr>
        <w:spacing w:after="90"/>
      </w:pPr>
      <w:r>
        <w:rPr>
          <w:rFonts w:ascii="IBM Plex Sans" w:cs="IBM Plex Sans" w:eastAsia="IBM Plex Sans" w:hAnsi="IBM Plex Sans"/>
          <w:color w:val="334155"/>
          <w:sz w:val="22"/>
          <w:szCs w:val="22"/>
        </w:rPr>
        <w:t xml:space="preserve">Regularitas siklus haid tercapai (interval 21–35 hari) dalam 3–6 bulan tata laksana.</w:t>
      </w:r>
    </w:p>
    <w:p>
      <w:pPr>
        <w:pStyle w:val="ListParagraph"/>
        <w:numPr>
          <w:ilvl w:val="0"/>
          <w:numId w:val="2"/>
        </w:numPr>
        <w:spacing w:after="90"/>
      </w:pPr>
      <w:r>
        <w:rPr>
          <w:rFonts w:ascii="IBM Plex Sans" w:cs="IBM Plex Sans" w:eastAsia="IBM Plex Sans" w:hAnsi="IBM Plex Sans"/>
          <w:color w:val="334155"/>
          <w:sz w:val="22"/>
          <w:szCs w:val="22"/>
        </w:rPr>
        <w:t xml:space="preserve">Perbaikan skor hiperandrogenisme klinis (skor Ferriman-Gallwey, derajat akne) pada evaluasi 6 bulan.</w:t>
      </w:r>
    </w:p>
    <w:p>
      <w:pPr>
        <w:pStyle w:val="ListParagraph"/>
        <w:numPr>
          <w:ilvl w:val="0"/>
          <w:numId w:val="2"/>
        </w:numPr>
        <w:spacing w:after="90"/>
      </w:pPr>
      <w:r>
        <w:rPr>
          <w:rFonts w:ascii="IBM Plex Sans" w:cs="IBM Plex Sans" w:eastAsia="IBM Plex Sans" w:hAnsi="IBM Plex Sans"/>
          <w:color w:val="334155"/>
          <w:sz w:val="22"/>
          <w:szCs w:val="22"/>
        </w:rPr>
        <w:t xml:space="preserve">Penurunan IMT dan/atau lingkar pinggang pada pasien dengan target penurunan berat badan.</w:t>
      </w:r>
    </w:p>
    <w:p>
      <w:pPr>
        <w:pStyle w:val="ListParagraph"/>
        <w:numPr>
          <w:ilvl w:val="0"/>
          <w:numId w:val="2"/>
        </w:numPr>
        <w:spacing w:after="90"/>
      </w:pPr>
      <w:r>
        <w:rPr>
          <w:rFonts w:ascii="IBM Plex Sans" w:cs="IBM Plex Sans" w:eastAsia="IBM Plex Sans" w:hAnsi="IBM Plex Sans"/>
          <w:color w:val="334155"/>
          <w:sz w:val="22"/>
          <w:szCs w:val="22"/>
        </w:rPr>
        <w:t xml:space="preserve">Kepatuhan terhadap modifikasi gaya hidup dan/atau terapi farmakologis yang terdokumentasi pada setiap kunjungan kontrol.</w:t>
      </w:r>
    </w:p>
    <w:p>
      <w:pPr>
        <w:pStyle w:val="ListParagraph"/>
        <w:numPr>
          <w:ilvl w:val="0"/>
          <w:numId w:val="2"/>
        </w:numPr>
        <w:spacing w:after="90"/>
      </w:pPr>
      <w:r>
        <w:rPr>
          <w:rFonts w:ascii="IBM Plex Sans" w:cs="IBM Plex Sans" w:eastAsia="IBM Plex Sans" w:hAnsi="IBM Plex Sans"/>
          <w:color w:val="334155"/>
          <w:sz w:val="22"/>
          <w:szCs w:val="22"/>
        </w:rPr>
        <w:t xml:space="preserve">Skrining glukosa berkala (glukosa puasa/HbA1c/OGTT) terlaksana sesuai interval yang ditetapkan fasilitas, terutama pada pasien obesitas atau dengan riwayat keluarga diabetes melitus tipe 2.</w:t>
      </w:r>
    </w:p>
    <w:p>
      <w:pPr>
        <w:pStyle w:val="ListParagraph"/>
        <w:numPr>
          <w:ilvl w:val="0"/>
          <w:numId w:val="2"/>
        </w:numPr>
        <w:spacing w:after="90"/>
      </w:pPr>
      <w:r>
        <w:rPr>
          <w:rFonts w:ascii="IBM Plex Sans" w:cs="IBM Plex Sans" w:eastAsia="IBM Plex Sans" w:hAnsi="IBM Plex Sans"/>
          <w:color w:val="334155"/>
          <w:sz w:val="22"/>
          <w:szCs w:val="22"/>
        </w:rPr>
        <w:t xml:space="preserve">Tercapainya kehamilan pada pasien dengan rencana kehamilan yang menjalani induksi ovulasi lini pertama, atau rujukan tepat waktu bila terapi gagal.</w:t>
      </w:r>
    </w:p>
    <w:p>
      <w:pPr>
        <w:pStyle w:val="ListParagraph"/>
        <w:numPr>
          <w:ilvl w:val="0"/>
          <w:numId w:val="2"/>
        </w:numPr>
        <w:spacing w:after="90"/>
      </w:pPr>
      <w:r>
        <w:rPr>
          <w:rFonts w:ascii="IBM Plex Sans" w:cs="IBM Plex Sans" w:eastAsia="IBM Plex Sans" w:hAnsi="IBM Plex Sans"/>
          <w:color w:val="334155"/>
          <w:sz w:val="22"/>
          <w:szCs w:val="22"/>
        </w:rPr>
        <w:t xml:space="preserve">Tidak ditemukan komplikasi metabolik baru (diabetes melitus tipe 2, dislipidemia) pada skrining berkala.</w:t>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2"/>
          <w:szCs w:val="22"/>
        </w:rPr>
        <w:t xml:space="preserve">Standar nasional (Kepkonsil) menetapkan SOPK sederhana (Tabel 7 No. 58) sebagai kewenangan SpOG umum dengan tata laksana berbasis modifikasi gaya hidup dan farmakoterapi lini pertama, merujuk kasus kompleks ke Subspesialis Fertilitas dan Endokrinologi Reproduksi [1].</w:t>
      </w:r>
    </w:p>
    <w:p>
      <w:pPr>
        <w:spacing w:after="160" w:line="300"/>
      </w:pPr>
      <w:r>
        <w:rPr>
          <w:rFonts w:ascii="IBM Plex Sans" w:cs="IBM Plex Sans" w:eastAsia="IBM Plex Sans" w:hAnsi="IBM Plex Sans"/>
          <w:color w:val="334155"/>
          <w:sz w:val="22"/>
          <w:szCs w:val="22"/>
        </w:rPr>
        <w:t xml:space="preserve">ACOG Practice Bulletin No. 194 merekomendasikan diagnosis berbasis kriteria Rotterdam setelah menyingkirkan etiologi lain, dengan modifikasi gaya hidup sebagai lini pertama dan kontrasepsi hormonal kombinasi sebagai terapi utama untuk regularisasi haid dan hiperandrogenisme — sejalan dengan standar nasional pada PPK ini [2].</w:t>
      </w:r>
    </w:p>
    <w:p>
      <w:pPr>
        <w:spacing w:after="160" w:line="300"/>
      </w:pPr>
      <w:r>
        <w:rPr>
          <w:rFonts w:ascii="IBM Plex Sans" w:cs="IBM Plex Sans" w:eastAsia="IBM Plex Sans" w:hAnsi="IBM Plex Sans"/>
          <w:color w:val="334155"/>
          <w:sz w:val="22"/>
          <w:szCs w:val="22"/>
        </w:rPr>
        <w:t xml:space="preserve">Tinjauan sistematis Cochrane mengenai obat penyensitif insulin (metformin) pada SOPK melaporkan perbaikan luaran ovulasi dan kehamilan klinis dengan metformin, baik sebagai monoterapi maupun kombinasi dengan klomifen sitrat, mendukung posisi metformin sebagai adjuvan — bukan lini pertama tunggal — pada tata laksana nasional [3].</w:t>
      </w:r>
    </w:p>
    <w:p>
      <w:pPr>
        <w:spacing w:after="160" w:line="300"/>
      </w:pPr>
      <w:r>
        <w:rPr>
          <w:rFonts w:ascii="IBM Plex Sans" w:cs="IBM Plex Sans" w:eastAsia="IBM Plex Sans" w:hAnsi="IBM Plex Sans"/>
          <w:color w:val="334155"/>
          <w:sz w:val="22"/>
          <w:szCs w:val="22"/>
        </w:rPr>
        <w:t xml:space="preserve">Perbedaan penekanan: standar internasional secara eksplisit merekomendasikan letrozol sebagai agen induksi ovulasi lini pertama dibandingkan klomifen sitrat pada SOPK dengan infertilitas anovulatorik, berdasarkan bukti uji klinis acak berskala besar [6]. Standar nasional pada PPK ini mengikuti rekomendasi tersebut, dengan catatan ketersediaan letrozol di fasilitas layanan primer/sekunder di Indonesia perlu dipertimbangkan; bila tidak tersedia, klomifen sitrat tetap menjadi alternatif yang sahih sebelum rujukan ke subspesialis.</w:t>
      </w:r>
    </w:p>
    <w:p>
      <w:pPr>
        <w:spacing w:after="160" w:line="300"/>
      </w:pPr>
      <w:r>
        <w:rPr>
          <w:rFonts w:ascii="IBM Plex Sans" w:cs="IBM Plex Sans" w:eastAsia="IBM Plex Sans" w:hAnsi="IBM Plex Sans"/>
          <w:color w:val="334155"/>
          <w:sz w:val="22"/>
          <w:szCs w:val="22"/>
        </w:rPr>
        <w:t xml:space="preserve">Sebagai pengayaan tambahan di luar dua sumber wajib di atas, pembaruan pedoman berbasis bukti internasional 2023 (International PCOS Network) memperkenalkan penyederhanaan algoritma diagnosis, opsi AMH sebagai alternatif USG pada dewasa, serta kehati-hatian ekstra dalam menegakkan diagnosis pada remaja untuk mencegah overdiagnosis [5]. Elemen ini belum menjadi bagian resmi Tabel 7 Kepkonsil sehingga dicantumkan sebagai wawasan pembanding, bukan sebagai dasar tata laksana wajib pada PPK ini.</w:t>
      </w:r>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13. Kepustakaan</w:t>
      </w:r>
    </w:p>
    <w:p>
      <w:pPr>
        <w:spacing w:after="140"/>
        <w:ind w:left="260" w:hanging="260"/>
      </w:pPr>
      <w:r>
        <w:rPr>
          <w:rFonts w:ascii="IBM Plex Mono" w:cs="IBM Plex Mono" w:eastAsia="IBM Plex Mono" w:hAnsi="IBM Plex Mono"/>
          <w:b/>
          <w:bCs/>
          <w:color w:val="4F46E5"/>
          <w:sz w:val="20"/>
          <w:szCs w:val="20"/>
        </w:rPr>
        <w:t xml:space="preserve">[1]  </w:t>
      </w:r>
      <w:r>
        <w:rPr>
          <w:rFonts w:ascii="IBM Plex Sans" w:cs="IBM Plex Sans" w:eastAsia="IBM Plex Sans" w:hAnsi="IBM Plex Sans"/>
          <w:color w:val="334155"/>
          <w:sz w:val="20"/>
          <w:szCs w:val="20"/>
        </w:rPr>
        <w:t xml:space="preserve">Konsil Kesehatan Indonesia. Keputusan Ketua Konsil Kesehatan Indonesia No. HK.01.02/KKI/1318/2026 tentang Standar Kompetensi Dokter Spesialis dan Subspesialis Bidang Obstetri dan Ginekologi, Tabel 7 No. 58.</w:t>
      </w:r>
    </w:p>
    <w:p>
      <w:pPr>
        <w:spacing w:after="140"/>
        <w:ind w:left="260" w:hanging="260"/>
      </w:pPr>
      <w:r>
        <w:rPr>
          <w:rFonts w:ascii="IBM Plex Mono" w:cs="IBM Plex Mono" w:eastAsia="IBM Plex Mono" w:hAnsi="IBM Plex Mono"/>
          <w:b/>
          <w:bCs/>
          <w:color w:val="4F46E5"/>
          <w:sz w:val="20"/>
          <w:szCs w:val="20"/>
        </w:rPr>
        <w:t xml:space="preserve">[2]  </w:t>
      </w:r>
      <w:r>
        <w:rPr>
          <w:rFonts w:ascii="IBM Plex Sans" w:cs="IBM Plex Sans" w:eastAsia="IBM Plex Sans" w:hAnsi="IBM Plex Sans"/>
          <w:color w:val="334155"/>
          <w:sz w:val="20"/>
          <w:szCs w:val="20"/>
        </w:rPr>
        <w:t xml:space="preserve">American College of Obstetricians and Gynecologists' Committee on Practice Bulletins—Gynecology. ACOG Practice Bulletin No. 194: Polycystic Ovary Syndrome. Obstet Gynecol. 2018;131(6):e157–e171 (dikonfirmasi ulang/reaffirmed 2022).  </w:t>
      </w:r>
      <w:hyperlink w:history="1" r:id="rId1yibmxf7euv3vskwi4zo_">
        <w:r>
          <w:rPr>
            <w:rFonts w:ascii="IBM Plex Mono" w:cs="IBM Plex Mono" w:eastAsia="IBM Plex Mono" w:hAnsi="IBM Plex Mono"/>
            <w:color w:val="4F46E5"/>
            <w:sz w:val="18"/>
            <w:szCs w:val="18"/>
            <w:u w:val="single"/>
          </w:rPr>
          <w:t xml:space="preserve">https://pubmed.ncbi.nlm.nih.gov/29794677/</w:t>
        </w:r>
      </w:hyperlink>
    </w:p>
    <w:p>
      <w:pPr>
        <w:spacing w:after="140"/>
        <w:ind w:left="260" w:hanging="260"/>
      </w:pPr>
      <w:r>
        <w:rPr>
          <w:rFonts w:ascii="IBM Plex Mono" w:cs="IBM Plex Mono" w:eastAsia="IBM Plex Mono" w:hAnsi="IBM Plex Mono"/>
          <w:b/>
          <w:bCs/>
          <w:color w:val="4F46E5"/>
          <w:sz w:val="20"/>
          <w:szCs w:val="20"/>
        </w:rPr>
        <w:t xml:space="preserve">[3]  </w:t>
      </w:r>
      <w:r>
        <w:rPr>
          <w:rFonts w:ascii="IBM Plex Sans" w:cs="IBM Plex Sans" w:eastAsia="IBM Plex Sans" w:hAnsi="IBM Plex Sans"/>
          <w:color w:val="334155"/>
          <w:sz w:val="20"/>
          <w:szCs w:val="20"/>
        </w:rPr>
        <w:t xml:space="preserve">Morley LC, Tang T, Yasmin E, Norman RJ, Balen AH. Insulin-sensitising drugs (metformin, rosiglitazone, pioglitazone, D-chiro-inositol) for women with polycystic ovary syndrome, oligo amenorrhoea and subfertility. Cochrane Database Syst Rev. 2017;11:CD003053.  </w:t>
      </w:r>
      <w:hyperlink w:history="1" r:id="rIddcgmpl43i4gzlljln8poi">
        <w:r>
          <w:rPr>
            <w:rFonts w:ascii="IBM Plex Mono" w:cs="IBM Plex Mono" w:eastAsia="IBM Plex Mono" w:hAnsi="IBM Plex Mono"/>
            <w:color w:val="4F46E5"/>
            <w:sz w:val="18"/>
            <w:szCs w:val="18"/>
            <w:u w:val="single"/>
          </w:rPr>
          <w:t xml:space="preserve">https://pubmed.ncbi.nlm.nih.gov/29183107/</w:t>
        </w:r>
      </w:hyperlink>
    </w:p>
    <w:p>
      <w:pPr>
        <w:spacing w:after="140"/>
        <w:ind w:left="260" w:hanging="260"/>
      </w:pPr>
      <w:r>
        <w:rPr>
          <w:rFonts w:ascii="IBM Plex Mono" w:cs="IBM Plex Mono" w:eastAsia="IBM Plex Mono" w:hAnsi="IBM Plex Mono"/>
          <w:b/>
          <w:bCs/>
          <w:color w:val="4F46E5"/>
          <w:sz w:val="20"/>
          <w:szCs w:val="20"/>
        </w:rPr>
        <w:t xml:space="preserve">[4]  </w:t>
      </w:r>
      <w:r>
        <w:rPr>
          <w:rFonts w:ascii="IBM Plex Sans" w:cs="IBM Plex Sans" w:eastAsia="IBM Plex Sans" w:hAnsi="IBM Plex Sans"/>
          <w:color w:val="334155"/>
          <w:sz w:val="20"/>
          <w:szCs w:val="20"/>
        </w:rPr>
        <w:t xml:space="preserve">Rotterdam ESHRE/ASRM-Sponsored PCOS Consensus Workshop Group. Revised 2003 consensus on diagnostic criteria and long-term health risks related to polycystic ovary syndrome. Fertil Steril. 2004;81(1):19–25.  </w:t>
      </w:r>
      <w:hyperlink w:history="1" r:id="rId_ggfum0thsdb71ilkcxjo">
        <w:r>
          <w:rPr>
            <w:rFonts w:ascii="IBM Plex Mono" w:cs="IBM Plex Mono" w:eastAsia="IBM Plex Mono" w:hAnsi="IBM Plex Mono"/>
            <w:color w:val="4F46E5"/>
            <w:sz w:val="18"/>
            <w:szCs w:val="18"/>
            <w:u w:val="single"/>
          </w:rPr>
          <w:t xml:space="preserve">https://pubmed.ncbi.nlm.nih.gov/14711538/</w:t>
        </w:r>
      </w:hyperlink>
    </w:p>
    <w:p>
      <w:pPr>
        <w:spacing w:after="140"/>
        <w:ind w:left="260" w:hanging="260"/>
      </w:pPr>
      <w:r>
        <w:rPr>
          <w:rFonts w:ascii="IBM Plex Mono" w:cs="IBM Plex Mono" w:eastAsia="IBM Plex Mono" w:hAnsi="IBM Plex Mono"/>
          <w:b/>
          <w:bCs/>
          <w:color w:val="4F46E5"/>
          <w:sz w:val="20"/>
          <w:szCs w:val="20"/>
        </w:rPr>
        <w:t xml:space="preserve">[5]  </w:t>
      </w:r>
      <w:r>
        <w:rPr>
          <w:rFonts w:ascii="IBM Plex Sans" w:cs="IBM Plex Sans" w:eastAsia="IBM Plex Sans" w:hAnsi="IBM Plex Sans"/>
          <w:color w:val="334155"/>
          <w:sz w:val="20"/>
          <w:szCs w:val="20"/>
        </w:rPr>
        <w:t xml:space="preserve">Teede HJ, Tay CT, Laven JJE, dkk., atas nama International PCOS Network. Recommendations From the 2023 International Evidence-based Guideline for the Assessment and Management of Polycystic Ovary Syndrome. J Clin Endocrinol Metab. 2023;108(10):2447–2469.  </w:t>
      </w:r>
      <w:hyperlink w:history="1" r:id="rId0ocx9mpsp9df_zr_l3lvw">
        <w:r>
          <w:rPr>
            <w:rFonts w:ascii="IBM Plex Mono" w:cs="IBM Plex Mono" w:eastAsia="IBM Plex Mono" w:hAnsi="IBM Plex Mono"/>
            <w:color w:val="4F46E5"/>
            <w:sz w:val="18"/>
            <w:szCs w:val="18"/>
            <w:u w:val="single"/>
          </w:rPr>
          <w:t xml:space="preserve">https://pubmed.ncbi.nlm.nih.gov/37580861/</w:t>
        </w:r>
      </w:hyperlink>
    </w:p>
    <w:p>
      <w:pPr>
        <w:spacing w:after="140"/>
        <w:ind w:left="260" w:hanging="260"/>
      </w:pPr>
      <w:r>
        <w:rPr>
          <w:rFonts w:ascii="IBM Plex Mono" w:cs="IBM Plex Mono" w:eastAsia="IBM Plex Mono" w:hAnsi="IBM Plex Mono"/>
          <w:b/>
          <w:bCs/>
          <w:color w:val="4F46E5"/>
          <w:sz w:val="20"/>
          <w:szCs w:val="20"/>
        </w:rPr>
        <w:t xml:space="preserve">[6]  </w:t>
      </w:r>
      <w:r>
        <w:rPr>
          <w:rFonts w:ascii="IBM Plex Sans" w:cs="IBM Plex Sans" w:eastAsia="IBM Plex Sans" w:hAnsi="IBM Plex Sans"/>
          <w:color w:val="334155"/>
          <w:sz w:val="20"/>
          <w:szCs w:val="20"/>
        </w:rPr>
        <w:t xml:space="preserve">Legro RS, Brzyski RG, Diamond MP, dkk.; NICHD Reproductive Medicine Network. Letrozole versus clomiphene for infertility in the polycystic ovary syndrome. N Engl J Med. 2014;371(2):119–129.  </w:t>
      </w:r>
      <w:hyperlink w:history="1" r:id="rIdgkrm-6rpd96t1g39_ompv">
        <w:r>
          <w:rPr>
            <w:rFonts w:ascii="IBM Plex Mono" w:cs="IBM Plex Mono" w:eastAsia="IBM Plex Mono" w:hAnsi="IBM Plex Mono"/>
            <w:color w:val="4F46E5"/>
            <w:sz w:val="18"/>
            <w:szCs w:val="18"/>
            <w:u w:val="single"/>
          </w:rPr>
          <w:t xml:space="preserve">https://pubmed.ncbi.nlm.nih.gov/25006718/</w:t>
        </w:r>
      </w:hyperlink>
    </w:p>
    <w:p>
      <w:pPr>
        <w:pStyle w:val="Heading1"/>
        <w:pBdr>
          <w:bottom w:val="single" w:color="4F46E5" w:sz="8" w:space="4"/>
        </w:pBdr>
        <w:spacing w:after="140" w:before="260"/>
      </w:pPr>
      <w:r>
        <w:rPr>
          <w:rFonts w:ascii="Source Serif 4" w:cs="Source Serif 4" w:eastAsia="Source Serif 4" w:hAnsi="Source Serif 4"/>
          <w:b/>
          <w:bCs/>
          <w:color w:val="4F46E5"/>
          <w:sz w:val="30"/>
          <w:szCs w:val="30"/>
        </w:rPr>
        <w:t xml:space="preserve">14. Glosarium</w:t>
      </w:r>
    </w:p>
    <w:p>
      <w:pPr>
        <w:spacing w:after="40"/>
      </w:pPr>
      <w:r>
        <w:rPr>
          <w:rFonts w:ascii="IBM Plex Sans" w:cs="IBM Plex Sans" w:eastAsia="IBM Plex Sans" w:hAnsi="IBM Plex Sans"/>
          <w:b/>
          <w:bCs/>
          <w:color w:val="4F46E5"/>
          <w:sz w:val="21"/>
          <w:szCs w:val="21"/>
        </w:rPr>
        <w:t xml:space="preserve">Akantosis nigrikans</w:t>
      </w:r>
    </w:p>
    <w:p>
      <w:pPr>
        <w:spacing w:after="130"/>
      </w:pPr>
      <w:r>
        <w:rPr>
          <w:rFonts w:ascii="IBM Plex Sans" w:cs="IBM Plex Sans" w:eastAsia="IBM Plex Sans" w:hAnsi="IBM Plex Sans"/>
          <w:color w:val="334155"/>
          <w:sz w:val="20"/>
          <w:szCs w:val="20"/>
        </w:rPr>
        <w:t xml:space="preserve">Penebalan dan hiperpigmentasi kulit, khas pada leher, aksila, dan lipat paha, yang menjadi penanda klinis resistensi insulin.</w:t>
      </w:r>
    </w:p>
    <w:p>
      <w:pPr>
        <w:spacing w:after="40"/>
      </w:pPr>
      <w:r>
        <w:rPr>
          <w:rFonts w:ascii="IBM Plex Sans" w:cs="IBM Plex Sans" w:eastAsia="IBM Plex Sans" w:hAnsi="IBM Plex Sans"/>
          <w:b/>
          <w:bCs/>
          <w:color w:val="4F46E5"/>
          <w:sz w:val="21"/>
          <w:szCs w:val="21"/>
        </w:rPr>
        <w:t xml:space="preserve">AMH (Anti-Müllerian Hormone)</w:t>
      </w:r>
    </w:p>
    <w:p>
      <w:pPr>
        <w:spacing w:after="130"/>
      </w:pPr>
      <w:r>
        <w:rPr>
          <w:rFonts w:ascii="IBM Plex Sans" w:cs="IBM Plex Sans" w:eastAsia="IBM Plex Sans" w:hAnsi="IBM Plex Sans"/>
          <w:color w:val="334155"/>
          <w:sz w:val="20"/>
          <w:szCs w:val="20"/>
        </w:rPr>
        <w:t xml:space="preserve">Hormon yang diproduksi folikel ovarium kecil; kadarnya dapat digunakan sebagai penanda cadangan ovarium dan, pada pembaruan pedoman terkini, sebagai alternatif penilaian morfologi ovarium polikistik pada populasi dewasa.</w:t>
      </w:r>
    </w:p>
    <w:p>
      <w:pPr>
        <w:spacing w:after="40"/>
      </w:pPr>
      <w:r>
        <w:rPr>
          <w:rFonts w:ascii="IBM Plex Sans" w:cs="IBM Plex Sans" w:eastAsia="IBM Plex Sans" w:hAnsi="IBM Plex Sans"/>
          <w:b/>
          <w:bCs/>
          <w:color w:val="4F46E5"/>
          <w:sz w:val="21"/>
          <w:szCs w:val="21"/>
        </w:rPr>
        <w:t xml:space="preserve">Anovulasi</w:t>
      </w:r>
    </w:p>
    <w:p>
      <w:pPr>
        <w:spacing w:after="130"/>
      </w:pPr>
      <w:r>
        <w:rPr>
          <w:rFonts w:ascii="IBM Plex Sans" w:cs="IBM Plex Sans" w:eastAsia="IBM Plex Sans" w:hAnsi="IBM Plex Sans"/>
          <w:color w:val="334155"/>
          <w:sz w:val="20"/>
          <w:szCs w:val="20"/>
        </w:rPr>
        <w:t xml:space="preserve">Kondisi tidak terjadinya pelepasan sel telur (ovulasi) pada satu siklus haid.</w:t>
      </w:r>
    </w:p>
    <w:p>
      <w:pPr>
        <w:spacing w:after="40"/>
      </w:pPr>
      <w:r>
        <w:rPr>
          <w:rFonts w:ascii="IBM Plex Sans" w:cs="IBM Plex Sans" w:eastAsia="IBM Plex Sans" w:hAnsi="IBM Plex Sans"/>
          <w:b/>
          <w:bCs/>
          <w:color w:val="4F46E5"/>
          <w:sz w:val="21"/>
          <w:szCs w:val="21"/>
        </w:rPr>
        <w:t xml:space="preserve">Fenotipe SOPK</w:t>
      </w:r>
    </w:p>
    <w:p>
      <w:pPr>
        <w:spacing w:after="130"/>
      </w:pPr>
      <w:r>
        <w:rPr>
          <w:rFonts w:ascii="IBM Plex Sans" w:cs="IBM Plex Sans" w:eastAsia="IBM Plex Sans" w:hAnsi="IBM Plex Sans"/>
          <w:color w:val="334155"/>
          <w:sz w:val="20"/>
          <w:szCs w:val="20"/>
        </w:rPr>
        <w:t xml:space="preserve">Empat kombinasi klinis SOPK (A–D) berdasarkan ada/tidaknya tiap komponen kriteria Rotterdam, dengan implikasi risiko metabolik yang berbeda.</w:t>
      </w:r>
    </w:p>
    <w:p>
      <w:pPr>
        <w:spacing w:after="40"/>
      </w:pPr>
      <w:r>
        <w:rPr>
          <w:rFonts w:ascii="IBM Plex Sans" w:cs="IBM Plex Sans" w:eastAsia="IBM Plex Sans" w:hAnsi="IBM Plex Sans"/>
          <w:b/>
          <w:bCs/>
          <w:color w:val="4F46E5"/>
          <w:sz w:val="21"/>
          <w:szCs w:val="21"/>
        </w:rPr>
        <w:t xml:space="preserve">Hiperandrogenisme</w:t>
      </w:r>
    </w:p>
    <w:p>
      <w:pPr>
        <w:spacing w:after="130"/>
      </w:pPr>
      <w:r>
        <w:rPr>
          <w:rFonts w:ascii="IBM Plex Sans" w:cs="IBM Plex Sans" w:eastAsia="IBM Plex Sans" w:hAnsi="IBM Plex Sans"/>
          <w:color w:val="334155"/>
          <w:sz w:val="20"/>
          <w:szCs w:val="20"/>
        </w:rPr>
        <w:t xml:space="preserve">Kelebihan hormon androgen yang bermanifestasi klinis (hirsutisme, akne, alopesia androgenik) dan/atau biokimia (peningkatan kadar testosteron).</w:t>
      </w:r>
    </w:p>
    <w:p>
      <w:pPr>
        <w:spacing w:after="40"/>
      </w:pPr>
      <w:r>
        <w:rPr>
          <w:rFonts w:ascii="IBM Plex Sans" w:cs="IBM Plex Sans" w:eastAsia="IBM Plex Sans" w:hAnsi="IBM Plex Sans"/>
          <w:b/>
          <w:bCs/>
          <w:color w:val="4F46E5"/>
          <w:sz w:val="21"/>
          <w:szCs w:val="21"/>
        </w:rPr>
        <w:t xml:space="preserve">Hirsutisme</w:t>
      </w:r>
    </w:p>
    <w:p>
      <w:pPr>
        <w:spacing w:after="130"/>
      </w:pPr>
      <w:r>
        <w:rPr>
          <w:rFonts w:ascii="IBM Plex Sans" w:cs="IBM Plex Sans" w:eastAsia="IBM Plex Sans" w:hAnsi="IBM Plex Sans"/>
          <w:color w:val="334155"/>
          <w:sz w:val="20"/>
          <w:szCs w:val="20"/>
        </w:rPr>
        <w:t xml:space="preserve">Pertumbuhan rambut terminal berlebih dengan pola menyerupai pria pada perempuan, dinilai antara lain dengan skor Ferriman-Gallwey.</w:t>
      </w:r>
    </w:p>
    <w:p>
      <w:pPr>
        <w:spacing w:after="40"/>
      </w:pPr>
      <w:r>
        <w:rPr>
          <w:rFonts w:ascii="IBM Plex Sans" w:cs="IBM Plex Sans" w:eastAsia="IBM Plex Sans" w:hAnsi="IBM Plex Sans"/>
          <w:b/>
          <w:bCs/>
          <w:color w:val="4F46E5"/>
          <w:sz w:val="21"/>
          <w:szCs w:val="21"/>
        </w:rPr>
        <w:t xml:space="preserve">Kriteria Rotterdam</w:t>
      </w:r>
    </w:p>
    <w:p>
      <w:pPr>
        <w:spacing w:after="130"/>
      </w:pPr>
      <w:r>
        <w:rPr>
          <w:rFonts w:ascii="IBM Plex Sans" w:cs="IBM Plex Sans" w:eastAsia="IBM Plex Sans" w:hAnsi="IBM Plex Sans"/>
          <w:color w:val="334155"/>
          <w:sz w:val="20"/>
          <w:szCs w:val="20"/>
        </w:rPr>
        <w:t xml:space="preserve">Kriteria diagnosis SOPK hasil konsensus ESHRE/ASRM tahun 2003 yang mensyaratkan minimal 2 dari 3 komponen: oligo/anovulasi, hiperandrogenisme, dan morfologi ovarium polikistik.</w:t>
      </w:r>
    </w:p>
    <w:p>
      <w:pPr>
        <w:spacing w:after="40"/>
      </w:pPr>
      <w:r>
        <w:rPr>
          <w:rFonts w:ascii="IBM Plex Sans" w:cs="IBM Plex Sans" w:eastAsia="IBM Plex Sans" w:hAnsi="IBM Plex Sans"/>
          <w:b/>
          <w:bCs/>
          <w:color w:val="4F46E5"/>
          <w:sz w:val="21"/>
          <w:szCs w:val="21"/>
        </w:rPr>
        <w:t xml:space="preserve">Letrozol</w:t>
      </w:r>
    </w:p>
    <w:p>
      <w:pPr>
        <w:spacing w:after="130"/>
      </w:pPr>
      <w:r>
        <w:rPr>
          <w:rFonts w:ascii="IBM Plex Sans" w:cs="IBM Plex Sans" w:eastAsia="IBM Plex Sans" w:hAnsi="IBM Plex Sans"/>
          <w:color w:val="334155"/>
          <w:sz w:val="20"/>
          <w:szCs w:val="20"/>
        </w:rPr>
        <w:t xml:space="preserve">Obat golongan inhibitor aromatase yang digunakan sebagai agen induksi ovulasi lini pertama pada SOPK dengan infertilitas anovulatorik.</w:t>
      </w:r>
    </w:p>
    <w:p>
      <w:pPr>
        <w:spacing w:after="40"/>
      </w:pPr>
      <w:r>
        <w:rPr>
          <w:rFonts w:ascii="IBM Plex Sans" w:cs="IBM Plex Sans" w:eastAsia="IBM Plex Sans" w:hAnsi="IBM Plex Sans"/>
          <w:b/>
          <w:bCs/>
          <w:color w:val="4F46E5"/>
          <w:sz w:val="21"/>
          <w:szCs w:val="21"/>
        </w:rPr>
        <w:t xml:space="preserve">Metformin</w:t>
      </w:r>
    </w:p>
    <w:p>
      <w:pPr>
        <w:spacing w:after="130"/>
      </w:pPr>
      <w:r>
        <w:rPr>
          <w:rFonts w:ascii="IBM Plex Sans" w:cs="IBM Plex Sans" w:eastAsia="IBM Plex Sans" w:hAnsi="IBM Plex Sans"/>
          <w:color w:val="334155"/>
          <w:sz w:val="20"/>
          <w:szCs w:val="20"/>
        </w:rPr>
        <w:t xml:space="preserve">Obat penyensitif insulin (insulin sensitiser) yang digunakan sebagai adjuvan tata laksana SOPK, terutama pada resistensi insulin.</w:t>
      </w:r>
    </w:p>
    <w:p>
      <w:pPr>
        <w:spacing w:after="40"/>
      </w:pPr>
      <w:r>
        <w:rPr>
          <w:rFonts w:ascii="IBM Plex Sans" w:cs="IBM Plex Sans" w:eastAsia="IBM Plex Sans" w:hAnsi="IBM Plex Sans"/>
          <w:b/>
          <w:bCs/>
          <w:color w:val="4F46E5"/>
          <w:sz w:val="21"/>
          <w:szCs w:val="21"/>
        </w:rPr>
        <w:t xml:space="preserve">Oligomenore</w:t>
      </w:r>
    </w:p>
    <w:p>
      <w:pPr>
        <w:spacing w:after="130"/>
      </w:pPr>
      <w:r>
        <w:rPr>
          <w:rFonts w:ascii="IBM Plex Sans" w:cs="IBM Plex Sans" w:eastAsia="IBM Plex Sans" w:hAnsi="IBM Plex Sans"/>
          <w:color w:val="334155"/>
          <w:sz w:val="20"/>
          <w:szCs w:val="20"/>
        </w:rPr>
        <w:t xml:space="preserve">Siklus haid dengan interval lebih panjang dari normal, umumnya didefinisikan lebih dari 35 hari.</w:t>
      </w:r>
    </w:p>
    <w:p>
      <w:pPr>
        <w:spacing w:after="40"/>
      </w:pPr>
      <w:r>
        <w:rPr>
          <w:rFonts w:ascii="IBM Plex Sans" w:cs="IBM Plex Sans" w:eastAsia="IBM Plex Sans" w:hAnsi="IBM Plex Sans"/>
          <w:b/>
          <w:bCs/>
          <w:color w:val="4F46E5"/>
          <w:sz w:val="21"/>
          <w:szCs w:val="21"/>
        </w:rPr>
        <w:t xml:space="preserve">Ovarian drilling</w:t>
      </w:r>
    </w:p>
    <w:p>
      <w:pPr>
        <w:spacing w:after="130"/>
      </w:pPr>
      <w:r>
        <w:rPr>
          <w:rFonts w:ascii="IBM Plex Sans" w:cs="IBM Plex Sans" w:eastAsia="IBM Plex Sans" w:hAnsi="IBM Plex Sans"/>
          <w:color w:val="334155"/>
          <w:sz w:val="20"/>
          <w:szCs w:val="20"/>
        </w:rPr>
        <w:t xml:space="preserve">Prosedur laparoskopik yang membuat lubang kecil pada permukaan ovarium untuk menurunkan produksi androgen lokal, dipertimbangkan pada infertilitas SOPK yang resisten terhadap induksi ovulasi obat.</w:t>
      </w:r>
    </w:p>
    <w:p>
      <w:pPr>
        <w:spacing w:after="40"/>
      </w:pPr>
      <w:r>
        <w:rPr>
          <w:rFonts w:ascii="IBM Plex Sans" w:cs="IBM Plex Sans" w:eastAsia="IBM Plex Sans" w:hAnsi="IBM Plex Sans"/>
          <w:b/>
          <w:bCs/>
          <w:color w:val="4F46E5"/>
          <w:sz w:val="21"/>
          <w:szCs w:val="21"/>
        </w:rPr>
        <w:t xml:space="preserve">Resistensi insulin</w:t>
      </w:r>
    </w:p>
    <w:p>
      <w:pPr>
        <w:spacing w:after="130"/>
      </w:pPr>
      <w:r>
        <w:rPr>
          <w:rFonts w:ascii="IBM Plex Sans" w:cs="IBM Plex Sans" w:eastAsia="IBM Plex Sans" w:hAnsi="IBM Plex Sans"/>
          <w:color w:val="334155"/>
          <w:sz w:val="20"/>
          <w:szCs w:val="20"/>
        </w:rPr>
        <w:t xml:space="preserve">Berkurangnya sensitivitas jaringan tubuh terhadap kerja insulin, menyebabkan hiperinsulinemia kompensatorik yang berkontribusi pada hiperandrogenisme ovarium.</w:t>
      </w:r>
    </w:p>
    <w:p>
      <w:pPr>
        <w:spacing w:after="40"/>
      </w:pPr>
      <w:r>
        <w:rPr>
          <w:rFonts w:ascii="IBM Plex Sans" w:cs="IBM Plex Sans" w:eastAsia="IBM Plex Sans" w:hAnsi="IBM Plex Sans"/>
          <w:b/>
          <w:bCs/>
          <w:color w:val="4F46E5"/>
          <w:sz w:val="21"/>
          <w:szCs w:val="21"/>
        </w:rPr>
        <w:t xml:space="preserve">SHBG (Sex Hormone-Binding Globulin)</w:t>
      </w:r>
    </w:p>
    <w:p>
      <w:pPr>
        <w:spacing w:after="130"/>
      </w:pPr>
      <w:r>
        <w:rPr>
          <w:rFonts w:ascii="IBM Plex Sans" w:cs="IBM Plex Sans" w:eastAsia="IBM Plex Sans" w:hAnsi="IBM Plex Sans"/>
          <w:color w:val="334155"/>
          <w:sz w:val="20"/>
          <w:szCs w:val="20"/>
        </w:rPr>
        <w:t xml:space="preserve">Protein pengikat hormon seks dalam darah; kadarnya sering menurun pada SOPK sehingga meningkatkan fraksi testosteron bebas yang aktif secara biologis.</w:t>
      </w:r>
    </w:p>
    <w:p>
      <w:pPr>
        <w:spacing w:after="40"/>
      </w:pPr>
      <w:r>
        <w:rPr>
          <w:rFonts w:ascii="IBM Plex Sans" w:cs="IBM Plex Sans" w:eastAsia="IBM Plex Sans" w:hAnsi="IBM Plex Sans"/>
          <w:b/>
          <w:bCs/>
          <w:color w:val="4F46E5"/>
          <w:sz w:val="21"/>
          <w:szCs w:val="21"/>
        </w:rPr>
        <w:t xml:space="preserve">Skor Ferriman-Gallwey</w:t>
      </w:r>
    </w:p>
    <w:p>
      <w:pPr>
        <w:spacing w:after="130"/>
      </w:pPr>
      <w:r>
        <w:rPr>
          <w:rFonts w:ascii="IBM Plex Sans" w:cs="IBM Plex Sans" w:eastAsia="IBM Plex Sans" w:hAnsi="IBM Plex Sans"/>
          <w:color w:val="334155"/>
          <w:sz w:val="20"/>
          <w:szCs w:val="20"/>
        </w:rPr>
        <w:t xml:space="preserve">Sistem penilaian visual semikuantitatif terhadap distribusi dan kepadatan rambut tubuh untuk menilai derajat hirsutisme.</w:t>
      </w:r>
    </w:p>
    <w:p>
      <w:pPr>
        <w:spacing w:after="40"/>
      </w:pPr>
      <w:r>
        <w:rPr>
          <w:rFonts w:ascii="IBM Plex Sans" w:cs="IBM Plex Sans" w:eastAsia="IBM Plex Sans" w:hAnsi="IBM Plex Sans"/>
          <w:b/>
          <w:bCs/>
          <w:color w:val="4F46E5"/>
          <w:sz w:val="21"/>
          <w:szCs w:val="21"/>
        </w:rPr>
        <w:t xml:space="preserve">SOPK (Sindrom Ovarium Polikistik)</w:t>
      </w:r>
    </w:p>
    <w:p>
      <w:pPr>
        <w:spacing w:after="130"/>
      </w:pPr>
      <w:r>
        <w:rPr>
          <w:rFonts w:ascii="IBM Plex Sans" w:cs="IBM Plex Sans" w:eastAsia="IBM Plex Sans" w:hAnsi="IBM Plex Sans"/>
          <w:color w:val="334155"/>
          <w:sz w:val="20"/>
          <w:szCs w:val="20"/>
        </w:rPr>
        <w:t xml:space="preserve">Istilah Indonesia untuk Polycystic Ovary Syndrome (PCOS), gangguan endokrin reproduksi yang ditandai oligo/anovulasi, hiperandrogenisme, dan/atau morfologi ovarium polikistik.</w:t>
      </w:r>
    </w:p>
    <w:p>
      <w:pPr>
        <w:spacing w:after="40"/>
      </w:pPr>
      <w:r>
        <w:rPr>
          <w:rFonts w:ascii="IBM Plex Sans" w:cs="IBM Plex Sans" w:eastAsia="IBM Plex Sans" w:hAnsi="IBM Plex Sans"/>
          <w:b/>
          <w:bCs/>
          <w:color w:val="4F46E5"/>
          <w:sz w:val="21"/>
          <w:szCs w:val="21"/>
        </w:rPr>
        <w:t xml:space="preserve">17-hidroksiprogesteron (17-OHP)</w:t>
      </w:r>
    </w:p>
    <w:p>
      <w:pPr>
        <w:spacing w:after="130"/>
      </w:pPr>
      <w:r>
        <w:rPr>
          <w:rFonts w:ascii="IBM Plex Sans" w:cs="IBM Plex Sans" w:eastAsia="IBM Plex Sans" w:hAnsi="IBM Plex Sans"/>
          <w:color w:val="334155"/>
          <w:sz w:val="20"/>
          <w:szCs w:val="20"/>
        </w:rPr>
        <w:t xml:space="preserve">Metabolit steroid yang diperiksa untuk menyingkirkan hiperplasia adrenal kongenital non-klasik sebagai diagnosis banding SOPK.</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64748B"/>
        <w:sz w:val="16"/>
        <w:szCs w:val="16"/>
      </w:rPr>
      <w:t xml:space="preserve">PPK No. 58 dari 73  |  </w:t>
    </w:r>
    <w:r>
      <w:rPr>
        <w:rFonts w:ascii="IBM Plex Sans" w:cs="IBM Plex Sans" w:eastAsia="IBM Plex Sans" w:hAnsi="IBM Plex Sans"/>
        <w:color w:val="64748B"/>
        <w:sz w:val="16"/>
        <w:szCs w:val="16"/>
      </w:rPr>
      <w:t xml:space="preserve">Halaman </w:t>
    </w:r>
    <w:r>
      <w:rPr>
        <w:rFonts w:ascii="IBM Plex Sans" w:cs="IBM Plex Sans" w:eastAsia="IBM Plex Sans" w:hAnsi="IBM Plex Sans"/>
        <w:color w:val="64748B"/>
        <w:sz w:val="16"/>
        <w:szCs w:val="16"/>
      </w:rPr>
      <w:fldChar w:fldCharType="begin"/>
      <w:instrText xml:space="preserve">PAGE</w:instrText>
      <w:fldChar w:fldCharType="separate"/>
      <w:fldChar w:fldCharType="end"/>
    </w:r>
    <w:r>
      <w:rPr>
        <w:rFonts w:ascii="IBM Plex Sans" w:cs="IBM Plex Sans" w:eastAsia="IBM Plex Sans" w:hAnsi="IBM Plex Sans"/>
        <w:color w:val="64748B"/>
        <w:sz w:val="16"/>
        <w:szCs w:val="16"/>
      </w:rPr>
      <w:t xml:space="preserve"> / </w:t>
    </w:r>
    <w:r>
      <w:rPr>
        <w:rFonts w:ascii="IBM Plex Sans" w:cs="IBM Plex Sans" w:eastAsia="IBM Plex Sans" w:hAnsi="IBM Plex Sans"/>
        <w:color w:val="64748B"/>
        <w:sz w:val="16"/>
        <w:szCs w:val="16"/>
      </w:rPr>
      <w:fldChar w:fldCharType="begin"/>
      <w:instrText xml:space="preserve">NUMPAGES</w:instrText>
      <w:fldChar w:fldCharType="separate"/>
      <w:fldChar w:fldCharType="end"/>
    </w:r>
  </w:p>
  <w:p>
    <w:pPr>
      <w:jc w:val="center"/>
    </w:pPr>
    <w:r>
      <w:rPr>
        <w:rFonts w:ascii="IBM Plex Sans" w:cs="IBM Plex Sans" w:eastAsia="IBM Plex Sans" w:hAnsi="IBM Plex Sans"/>
        <w:color w:val="64748B"/>
        <w:sz w:val="14"/>
        <w:szCs w:val="14"/>
      </w:rPr>
      <w:t xml:space="preserve">← PPK No. 57 — Amenore Sekunder (WHO Kelas 2)   |   PPK No. 59 — Infertilitas (Usia &lt;35 Tahun, Durasi &lt;36 Bulan)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Sans" w:cs="IBM Plex Sans" w:eastAsia="IBM Plex Sans" w:hAnsi="IBM Plex Sans"/>
        <w:color w:val="64748B"/>
        <w:sz w:val="16"/>
        <w:szCs w:val="16"/>
      </w:rPr>
      <w:t xml:space="preserve">PPK-058 — Sindrom Ovarium Polikistik Sederhana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1yibmxf7euv3vskwi4zo_" Type="http://schemas.openxmlformats.org/officeDocument/2006/relationships/hyperlink" Target="https://pubmed.ncbi.nlm.nih.gov/29794677/" TargetMode="External"/><Relationship Id="rIddcgmpl43i4gzlljln8poi" Type="http://schemas.openxmlformats.org/officeDocument/2006/relationships/hyperlink" Target="https://pubmed.ncbi.nlm.nih.gov/29183107/" TargetMode="External"/><Relationship Id="rId_ggfum0thsdb71ilkcxjo" Type="http://schemas.openxmlformats.org/officeDocument/2006/relationships/hyperlink" Target="https://pubmed.ncbi.nlm.nih.gov/14711538/" TargetMode="External"/><Relationship Id="rId0ocx9mpsp9df_zr_l3lvw" Type="http://schemas.openxmlformats.org/officeDocument/2006/relationships/hyperlink" Target="https://pubmed.ncbi.nlm.nih.gov/37580861/" TargetMode="External"/><Relationship Id="rIdgkrm-6rpd96t1g39_ompv" Type="http://schemas.openxmlformats.org/officeDocument/2006/relationships/hyperlink" Target="https://pubmed.ncbi.nlm.nih.gov/25006718/" TargetMode="External"/><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2026-08-18T04:04:00.295Z</dcterms:created>
  <dcterms:modified xsi:type="dcterms:W3CDTF">2026-08-18T04:04:00.307Z</dcterms:modified>
</cp:coreProperties>
</file>

<file path=docProps/custom.xml><?xml version="1.0" encoding="utf-8"?>
<Properties xmlns="http://schemas.openxmlformats.org/officeDocument/2006/custom-properties" xmlns:vt="http://schemas.openxmlformats.org/officeDocument/2006/docPropsVTypes"/>
</file>