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600"/>
        <w:jc w:val="center"/>
      </w:pPr>
      <w:r>
        <w:rPr>
          <w:rFonts w:ascii="IBM Plex Mono" w:cs="IBM Plex Mono" w:eastAsia="IBM Plex Mono" w:hAnsi="IBM Plex Mono"/>
          <w:caps/>
          <w:color w:val="64748B"/>
          <w:sz w:val="18"/>
          <w:szCs w:val="18"/>
        </w:rPr>
        <w:t xml:space="preserve">Perpustakaan Digital ABBA</w:t>
      </w:r>
    </w:p>
    <w:p>
      <w:pPr>
        <w:spacing w:after="500"/>
        <w:jc w:val="center"/>
      </w:pPr>
      <w:r>
        <w:rPr>
          <w:rFonts w:ascii="IBM Plex Mono" w:cs="IBM Plex Mono" w:eastAsia="IBM Plex Mono" w:hAnsi="IBM Plex Mono"/>
          <w:color w:val="64748B"/>
          <w:sz w:val="16"/>
          <w:szCs w:val="16"/>
        </w:rPr>
        <w:t xml:space="preserve">Jl. Kerinci Raya No. 9, Malang 65138</w:t>
      </w:r>
    </w:p>
    <w:p>
      <w:pPr>
        <w:spacing w:after="200"/>
        <w:jc w:val="center"/>
      </w:pPr>
      <w:r>
        <w:rPr>
          <w:rFonts w:ascii="IBM Plex Mono" w:cs="IBM Plex Mono" w:eastAsia="IBM Plex Mono" w:hAnsi="IBM Plex Mono"/>
          <w:b/>
          <w:bCs/>
          <w:color w:val="4F46E5"/>
          <w:sz w:val="20"/>
          <w:szCs w:val="20"/>
        </w:rPr>
        <w:t xml:space="preserve">PANDUAN PRAKTIK KLINIS — PPK No. 59 dari 73</w:t>
      </w:r>
    </w:p>
    <w:p>
      <w:pPr>
        <w:spacing w:after="100" w:before="300"/>
        <w:jc w:val="center"/>
      </w:pPr>
      <w:r>
        <w:rPr>
          <w:rFonts w:ascii="Source Serif 4" w:cs="Source Serif 4" w:eastAsia="Source Serif 4" w:hAnsi="Source Serif 4"/>
          <w:b/>
          <w:bCs/>
          <w:color w:val="334155"/>
          <w:sz w:val="44"/>
          <w:szCs w:val="44"/>
        </w:rPr>
        <w:t xml:space="preserve">Infertilitas (Usia &lt;35 Tahun, Durasi &lt;36 Bulan)</w:t>
      </w:r>
    </w:p>
    <w:p>
      <w:pPr>
        <w:spacing w:after="300"/>
        <w:jc w:val="center"/>
      </w:pPr>
      <w:r>
        <w:rPr>
          <w:rFonts w:ascii="Source Serif 4" w:cs="Source Serif 4" w:eastAsia="Source Serif 4" w:hAnsi="Source Serif 4"/>
          <w:i/>
          <w:iCs/>
          <w:color w:val="64748B"/>
          <w:sz w:val="26"/>
          <w:szCs w:val="26"/>
        </w:rPr>
        <w:t xml:space="preserve">Infertility (Age &lt;35 Years and Duration &lt;36 Months)</w:t>
      </w:r>
    </w:p>
    <w:p>
      <w:pPr>
        <w:spacing w:after="500"/>
        <w:jc w:val="center"/>
      </w:pPr>
      <w:r>
        <w:rPr>
          <w:rFonts w:ascii="IBM Plex Mono" w:cs="IBM Plex Mono" w:eastAsia="IBM Plex Mono" w:hAnsi="IBM Plex Mono"/>
          <w:b/>
          <w:bCs/>
          <w:color w:val="B45309"/>
          <w:sz w:val="20"/>
          <w:szCs w:val="20"/>
        </w:rPr>
        <w:t xml:space="preserve">ICD-10: N97.9   |   ICD-11: GA31</w:t>
      </w:r>
    </w:p>
    <w:p>
      <w:pPr>
        <w:spacing w:after="60" w:before="800"/>
        <w:jc w:val="center"/>
      </w:pPr>
      <w:r>
        <w:rPr>
          <w:rFonts w:ascii="IBM Plex Sans" w:cs="IBM Plex Sans" w:eastAsia="IBM Plex Sans" w:hAnsi="IBM Plex Sans"/>
          <w:color w:val="64748B"/>
          <w:sz w:val="20"/>
          <w:szCs w:val="20"/>
        </w:rPr>
        <w:t xml:space="preserve">Disusun oleh</w:t>
      </w:r>
    </w:p>
    <w:p>
      <w:pPr>
        <w:spacing w:after="40"/>
        <w:jc w:val="center"/>
      </w:pPr>
      <w:r>
        <w:rPr>
          <w:rFonts w:ascii="IBM Plex Sans" w:cs="IBM Plex Sans" w:eastAsia="IBM Plex Sans" w:hAnsi="IBM Plex Sans"/>
          <w:b/>
          <w:bCs/>
          <w:color w:val="334155"/>
          <w:sz w:val="22"/>
          <w:szCs w:val="22"/>
        </w:rPr>
        <w:t xml:space="preserve">Dr. dr. Budi Siswanto, Sp.OG., Subsp.Obginsos., SH., S.Kom.</w:t>
      </w:r>
    </w:p>
    <w:p>
      <w:pPr>
        <w:spacing w:after="500"/>
        <w:jc w:val="center"/>
      </w:pPr>
      <w:r>
        <w:rPr>
          <w:rFonts w:ascii="IBM Plex Sans" w:cs="IBM Plex Sans" w:eastAsia="IBM Plex Sans" w:hAnsi="IBM Plex Sans"/>
          <w:color w:val="64748B"/>
          <w:sz w:val="20"/>
          <w:szCs w:val="20"/>
        </w:rPr>
        <w:t xml:space="preserve">Divisi Pengampu: Fertilitas dan Endokrinologi Reproduksi</w:t>
      </w:r>
    </w:p>
    <w:p>
      <w:pPr>
        <w:spacing w:before="700"/>
        <w:jc w:val="center"/>
      </w:pPr>
      <w:r>
        <w:rPr>
          <w:rFonts w:ascii="IBM Plex Mono" w:cs="IBM Plex Mono" w:eastAsia="IBM Plex Mono" w:hAnsi="IBM Plex Mono"/>
          <w:color w:val="64748B"/>
          <w:sz w:val="16"/>
          <w:szCs w:val="16"/>
        </w:rPr>
        <w:t xml:space="preserve">Dasar Regulasi: Kepkonsil No. HK.01.02/KKI/1318/2026</w:t>
      </w:r>
    </w:p>
    <w:p>
      <w:r>
        <w:br w:type="page"/>
      </w:r>
    </w:p>
    <w:p>
      <w:pPr>
        <w:pStyle w:val="Heading2"/>
        <w:spacing w:after="120"/>
      </w:pPr>
      <w:r>
        <w:t xml:space="preserve">Ringkasan Dokumen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Atribut</w:t>
            </w:r>
          </w:p>
        </w:tc>
        <w:tc>
          <w:tcPr>
            <w:tcW w:type="dxa" w:w="4513"/>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Keterangan</w:t>
            </w:r>
          </w:p>
        </w:tc>
      </w:tr>
      <w:tr>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Kode Unit</w:t>
            </w:r>
          </w:p>
        </w:tc>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PPK-059</w:t>
            </w:r>
          </w:p>
        </w:tc>
      </w:tr>
      <w:tr>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Diagnosis</w:t>
            </w:r>
          </w:p>
        </w:tc>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Infertilitas (Usia &lt;35 Tahun, Durasi &lt;36 Bulan) / Infertility (Age &lt;35 Years and Duration &lt;36 Months)</w:t>
            </w:r>
          </w:p>
        </w:tc>
      </w:tr>
      <w:tr>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ICD-10 / ICD-11</w:t>
            </w:r>
          </w:p>
        </w:tc>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N97.9 / GA31</w:t>
            </w:r>
          </w:p>
        </w:tc>
      </w:tr>
      <w:tr>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Populasi Sasaran</w:t>
            </w:r>
          </w:p>
        </w:tc>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Infertilitas usia muda</w:t>
            </w:r>
          </w:p>
        </w:tc>
      </w:tr>
      <w:tr>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Divisi Pengampu</w:t>
            </w:r>
          </w:p>
        </w:tc>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Fertilitas dan Endokrinologi Reproduksi</w:t>
            </w:r>
          </w:p>
        </w:tc>
      </w:tr>
      <w:tr>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Buku Tematik Induk</w:t>
            </w:r>
          </w:p>
        </w:tc>
        <w:tc>
          <w:tcPr>
            <w:tcW w:type="dxa" w:w="4513"/>
            <w:tcMar>
              <w:top w:type="dxa" w:w="90"/>
              <w:left w:type="dxa" w:w="120"/>
              <w:bottom w:type="dxa" w:w="90"/>
              <w:right w:type="dxa" w:w="120"/>
            </w:tcMar>
          </w:tcPr>
          <w:p>
            <w:r>
              <w:rPr>
                <w:rFonts w:ascii="IBM Plex Sans" w:cs="IBM Plex Sans" w:eastAsia="IBM Plex Sans" w:hAnsi="IBM Plex Sans"/>
                <w:color w:val="334155"/>
                <w:sz w:val="19"/>
                <w:szCs w:val="19"/>
              </w:rPr>
              <w:t xml:space="preserve">B8 — Gangguan Haid, Endokrinologi Reproduksi Dasar, dan Infertilitas Dasar</w:t>
            </w:r>
          </w:p>
        </w:tc>
      </w:tr>
    </w:tbl>
    <w:p>
      <w:pPr>
        <w:spacing w:after="200"/>
      </w:pPr>
    </w:p>
    <w:p>
      <w:pPr>
        <w:pStyle w:val="Heading1"/>
        <w:spacing w:after="160" w:before="320"/>
      </w:pPr>
      <w:r>
        <w:t xml:space="preserve">1. Pengertian/Definisi</w:t>
      </w:r>
    </w:p>
    <w:p>
      <w:pPr>
        <w:spacing w:after="160"/>
      </w:pPr>
      <w:r>
        <w:rPr>
          <w:rFonts w:ascii="IBM Plex Sans" w:cs="IBM Plex Sans" w:eastAsia="IBM Plex Sans" w:hAnsi="IBM Plex Sans"/>
          <w:color w:val="334155"/>
          <w:sz w:val="21"/>
          <w:szCs w:val="21"/>
        </w:rPr>
        <w:t xml:space="preserve">PPK ini merupakan turunan operasional dari Bab Infertilitas Dasar, Buku Tematik B8 — Gangguan Haid, Endokrinologi Reproduksi Dasar, dan Infertilitas Dasar. Infertilitas (infertility) adalah penyakit pada sistem reproduksi yang ditandai dengan kegagalan mencapai kehamilan klinis setelah 12 bulan atau lebih hubungan seksual teratur tanpa kontrasepsi, sebagaimana ditetapkan dalam WHO Guideline for the Prevention, Diagnosis and Treatment of Infertility (2025) dan sejalan dengan Kepkonsil Tabel 7 No. 59.</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F5F5FF" w:val="clear"/>
            <w:tcMar>
              <w:top w:type="dxa" w:w="160"/>
              <w:left w:type="dxa" w:w="220"/>
              <w:bottom w:type="dxa" w:w="160"/>
              <w:right w:type="dxa" w:w="220"/>
            </w:tcMar>
          </w:tcPr>
          <w:p>
            <w:pPr>
              <w:spacing w:after="60"/>
            </w:pPr>
            <w:r>
              <w:rPr>
                <w:rFonts w:ascii="IBM Plex Mono" w:cs="IBM Plex Mono" w:eastAsia="IBM Plex Mono" w:hAnsi="IBM Plex Mono"/>
                <w:b/>
                <w:bCs/>
                <w:color w:val="4F46E5"/>
                <w:sz w:val="16"/>
                <w:szCs w:val="16"/>
              </w:rPr>
              <w:t xml:space="preserve">DASAR REGULASI</w:t>
            </w:r>
          </w:p>
          <w:p>
            <w:r>
              <w:rPr>
                <w:rFonts w:ascii="IBM Plex Sans" w:cs="IBM Plex Sans" w:eastAsia="IBM Plex Sans" w:hAnsi="IBM Plex Sans"/>
                <w:color w:val="334155"/>
                <w:sz w:val="21"/>
                <w:szCs w:val="21"/>
              </w:rPr>
              <w:t xml:space="preserve">Dasar Regulasi: Kepkonsil No. HK.01.02/KKI/1318/2026, Lampiran Tabel 7, No. 59 — "Infertilitas (Usia &lt;35 tahun, Durasi &lt;36 bulan) / Infertility (Age &lt;35 yo and duration &lt;36 months)", ICD-10 N97.9, ICD-11 GA31, keterangan populasi prioritas: "Infertilitas usia muda".</w:t>
            </w:r>
          </w:p>
        </w:tc>
      </w:tr>
    </w:tbl>
    <w:p>
      <w:pPr>
        <w:spacing w:after="160"/>
      </w:pPr>
    </w:p>
    <w:p>
      <w:pPr>
        <w:spacing w:after="160"/>
      </w:pPr>
      <w:r>
        <w:rPr>
          <w:rFonts w:ascii="IBM Plex Sans" w:cs="IBM Plex Sans" w:eastAsia="IBM Plex Sans" w:hAnsi="IBM Plex Sans"/>
          <w:color w:val="334155"/>
          <w:sz w:val="21"/>
          <w:szCs w:val="21"/>
        </w:rPr>
        <w:t xml:space="preserve">Cakupan PPK ini adalah wanita usia reproduktif kurang dari 35 tahun dengan durasi infertilitas kurang dari 36 bulan sejak keluhan pertama kali muncul atau sejak evaluasi awal diindikasikan. Populasi ini merepresentasikan kompetensi evaluasi awal dan tata laksana lini pertama infertilitas non-kompleks oleh dokter spesialis obstetri dan ginekologi umum, sebelum tercapainya indikasi rujukan ke subspesialis Fertilitas dan Endokrinologi Reproduksi (reproductive endocrinology and infertility) untuk kasus yang menetap atau kompleks. Infertilitas dapat bersifat primer (belum pernah hamil sebelumnya) atau sekunder (pernah hamil sebelumnya, termasuk kehamilan yang tidak berlanjut).</w:t>
      </w:r>
    </w:p>
    <w:p>
      <w:pPr>
        <w:spacing w:after="160"/>
      </w:pPr>
      <w:r>
        <w:rPr>
          <w:rFonts w:ascii="IBM Plex Sans" w:cs="IBM Plex Sans" w:eastAsia="IBM Plex Sans" w:hAnsi="IBM Plex Sans"/>
          <w:color w:val="334155"/>
          <w:sz w:val="21"/>
          <w:szCs w:val="21"/>
        </w:rPr>
        <w:t xml:space="preserve">Menurut estimasi prevalensi global WHO, sekitar satu dari enam orang dewasa di dunia mengalami infertilitas pada suatu masa dalam hidupnya, dengan proporsi yang relatif setara antara negara berpenghasilan tinggi maupun rendah-menengah. Data ini menegaskan infertilitas sebagai persoalan kesehatan masyarakat yang signifikan, sehingga evaluasi dan tata laksana dini pada populasi usia muda seperti dicakup PPK ini memiliki nilai strategis dalam pelayanan kesehatan reproduksi.</w:t>
      </w:r>
    </w:p>
    <w:p>
      <w:pPr>
        <w:spacing w:after="160"/>
      </w:pPr>
      <w:r>
        <w:rPr>
          <w:rFonts w:ascii="IBM Plex Sans" w:cs="IBM Plex Sans" w:eastAsia="IBM Plex Sans" w:hAnsi="IBM Plex Sans"/>
          <w:color w:val="334155"/>
          <w:sz w:val="21"/>
          <w:szCs w:val="21"/>
        </w:rPr>
        <w:t xml:space="preserve">Practice Committee of the American Society for Reproductive Medicine (ASRM), dalam opini komite Definition of Infertility (2023), memperluas definisi infertilitas mencakup kebutuhan intervensi medis untuk mencapai kehamilan yang berhasil, baik sebagai individu maupun bersama pasangan, terlepas dari status hubungan atau orientasi seksual. Perluasan definisi ini bersifat pengayaan internasional; praktik di Indonesia tetap mengikuti konteks regulasi dan sosial-budaya nasional sebagaimana diatur dalam Kepkonsil dan peraturan perundang-undangan kesehatan reproduksi yang berlaku.</w:t>
      </w:r>
    </w:p>
    <w:p>
      <w:pPr>
        <w:spacing w:after="160"/>
      </w:pPr>
      <w:r>
        <w:rPr>
          <w:rFonts w:ascii="IBM Plex Sans" w:cs="IBM Plex Sans" w:eastAsia="IBM Plex Sans" w:hAnsi="IBM Plex Sans"/>
          <w:color w:val="334155"/>
          <w:sz w:val="21"/>
          <w:szCs w:val="21"/>
        </w:rPr>
        <w:t xml:space="preserve">Catatan nomenklatur: sindrom ovarium polikistik (polycystic ovary syndrome, PCOS), yang relevan sebagai salah satu diagnosis banding pada PPK ini, telah diperbarui melalui konsensus global pada Mei 2026 menjadi sindrom ovarium metabolik-poliendokrin (polyendocrine metabolic ovarian syndrome, PMOS). PPK ini menggunakan istilah PMOS pada narasi klinis; kutipan langsung Tabel 7 Kepkonsil No. 58 tetap mempertahankan nomenklatur "Sindrom Ovarium Polikistik" sesuai teks resmi regulasi sampai dilakukan pembaruan resmi oleh Konsil Kesehatan Indonesia.</w:t>
      </w:r>
    </w:p>
    <w:p>
      <w:pPr>
        <w:pStyle w:val="Heading1"/>
        <w:spacing w:after="160" w:before="320"/>
      </w:pPr>
      <w:r>
        <w:t xml:space="preserve">2. Anamnesis</w:t>
      </w:r>
    </w:p>
    <w:p>
      <w:pPr>
        <w:spacing w:after="160"/>
      </w:pPr>
      <w:r>
        <w:rPr>
          <w:rFonts w:ascii="IBM Plex Sans" w:cs="IBM Plex Sans" w:eastAsia="IBM Plex Sans" w:hAnsi="IBM Plex Sans"/>
          <w:color w:val="334155"/>
          <w:sz w:val="21"/>
          <w:szCs w:val="21"/>
        </w:rPr>
        <w:t xml:space="preserve">Anamnesis terstruktur ditujukan untuk menetapkan durasi dan jenis infertilitas, mengidentifikasi faktor risiko yang dapat memengaruhi ovulasi, patensi tuba, kavum uteri, dan faktor pasangan pria, serta menilai dampak psikososial. Anamnesis awal sebaiknya sekaligus menjadi kesempatan untuk memberikan konsultasi awal mengenai peluang konsepsi alami dan pilihan tata laksana, sejalan dengan prinsip evaluasi berbasis riwayat pada WHO Guideline for the Prevention, Diagnosis and Treatment of Infertility (2025).</w:t>
      </w:r>
    </w:p>
    <w:p>
      <w:pPr>
        <w:pStyle w:val="Heading2"/>
        <w:spacing w:after="120" w:before="200"/>
      </w:pPr>
      <w:r>
        <w:t xml:space="preserve">Riwayat Reproduksi dan Haid</w:t>
      </w:r>
    </w:p>
    <w:p>
      <w:pPr>
        <w:pStyle w:val="ListParagraph"/>
        <w:numPr>
          <w:ilvl w:val="0"/>
          <w:numId w:val="1"/>
        </w:numPr>
        <w:spacing w:after="90"/>
        <w:rPr>
          <w:rFonts w:ascii="IBM Plex Sans" w:cs="IBM Plex Sans" w:eastAsia="IBM Plex Sans" w:hAnsi="IBM Plex Sans"/>
          <w:color w:val="334155"/>
          <w:sz w:val="21"/>
          <w:szCs w:val="21"/>
        </w:rPr>
      </w:pPr>
      <w:r>
        <w:t xml:space="preserve">Durasi infertilitas terhitung sejak berhenti menggunakan kontrasepsi atau sejak upaya kehamilan dimulai, serta frekuensi dan waktu hubungan seksual terhadap masa subur (fertile window).</w:t>
      </w:r>
    </w:p>
    <w:p>
      <w:pPr>
        <w:pStyle w:val="ListParagraph"/>
        <w:numPr>
          <w:ilvl w:val="0"/>
          <w:numId w:val="1"/>
        </w:numPr>
        <w:spacing w:after="90"/>
        <w:rPr>
          <w:rFonts w:ascii="IBM Plex Sans" w:cs="IBM Plex Sans" w:eastAsia="IBM Plex Sans" w:hAnsi="IBM Plex Sans"/>
          <w:color w:val="334155"/>
          <w:sz w:val="21"/>
          <w:szCs w:val="21"/>
        </w:rPr>
      </w:pPr>
      <w:r>
        <w:t xml:space="preserve">Siklus haid: keteraturan, lama siklus, lama perdarahan, dismenore, dan gejala penyerta lain yang mengarah pada endometriosis.</w:t>
      </w:r>
    </w:p>
    <w:p>
      <w:pPr>
        <w:pStyle w:val="ListParagraph"/>
        <w:numPr>
          <w:ilvl w:val="0"/>
          <w:numId w:val="1"/>
        </w:numPr>
        <w:spacing w:after="90"/>
        <w:rPr>
          <w:rFonts w:ascii="IBM Plex Sans" w:cs="IBM Plex Sans" w:eastAsia="IBM Plex Sans" w:hAnsi="IBM Plex Sans"/>
          <w:color w:val="334155"/>
          <w:sz w:val="21"/>
          <w:szCs w:val="21"/>
        </w:rPr>
      </w:pPr>
      <w:r>
        <w:t xml:space="preserve">Riwayat kehamilan sebelumnya (paritas, abortus, kehamilan ektopik) untuk membedakan infertilitas primer/sekunder.</w:t>
      </w:r>
    </w:p>
    <w:p>
      <w:pPr>
        <w:pStyle w:val="ListParagraph"/>
        <w:numPr>
          <w:ilvl w:val="0"/>
          <w:numId w:val="1"/>
        </w:numPr>
        <w:spacing w:after="90"/>
        <w:rPr>
          <w:rFonts w:ascii="IBM Plex Sans" w:cs="IBM Plex Sans" w:eastAsia="IBM Plex Sans" w:hAnsi="IBM Plex Sans"/>
          <w:color w:val="334155"/>
          <w:sz w:val="21"/>
          <w:szCs w:val="21"/>
        </w:rPr>
      </w:pPr>
      <w:r>
        <w:t xml:space="preserve">Riwayat kontrasepsi sebelumnya, jenis, dan waktu penghentian.</w:t>
      </w:r>
    </w:p>
    <w:p>
      <w:pPr>
        <w:pStyle w:val="Heading2"/>
        <w:spacing w:after="120" w:before="200"/>
      </w:pPr>
      <w:r>
        <w:t xml:space="preserve">Riwayat Ginekologi, Medis, dan Gaya Hidup</w:t>
      </w:r>
    </w:p>
    <w:p>
      <w:pPr>
        <w:pStyle w:val="ListParagraph"/>
        <w:numPr>
          <w:ilvl w:val="0"/>
          <w:numId w:val="1"/>
        </w:numPr>
        <w:spacing w:after="90"/>
        <w:rPr>
          <w:rFonts w:ascii="IBM Plex Sans" w:cs="IBM Plex Sans" w:eastAsia="IBM Plex Sans" w:hAnsi="IBM Plex Sans"/>
          <w:color w:val="334155"/>
          <w:sz w:val="21"/>
          <w:szCs w:val="21"/>
        </w:rPr>
      </w:pPr>
      <w:r>
        <w:t xml:space="preserve">Riwayat penyakit radang panggul (pelvic inflammatory disease), infeksi menular seksual, pembedahan abdomen/pelvis sebelumnya, dan kecurigaan endometriosis.</w:t>
      </w:r>
    </w:p>
    <w:p>
      <w:pPr>
        <w:pStyle w:val="ListParagraph"/>
        <w:numPr>
          <w:ilvl w:val="0"/>
          <w:numId w:val="1"/>
        </w:numPr>
        <w:spacing w:after="90"/>
        <w:rPr>
          <w:rFonts w:ascii="IBM Plex Sans" w:cs="IBM Plex Sans" w:eastAsia="IBM Plex Sans" w:hAnsi="IBM Plex Sans"/>
          <w:color w:val="334155"/>
          <w:sz w:val="21"/>
          <w:szCs w:val="21"/>
        </w:rPr>
      </w:pPr>
      <w:r>
        <w:t xml:space="preserve">Gejala endokrinopati: galaktorea (kecurigaan hiperprolaktinemia), gejala disfungsi tiroid, hirsutisme dan jerawat (kecurigaan PMOS/sindrom ovarium metabolik-poliendokrin).</w:t>
      </w:r>
    </w:p>
    <w:p>
      <w:pPr>
        <w:pStyle w:val="ListParagraph"/>
        <w:numPr>
          <w:ilvl w:val="0"/>
          <w:numId w:val="1"/>
        </w:numPr>
        <w:spacing w:after="90"/>
        <w:rPr>
          <w:rFonts w:ascii="IBM Plex Sans" w:cs="IBM Plex Sans" w:eastAsia="IBM Plex Sans" w:hAnsi="IBM Plex Sans"/>
          <w:color w:val="334155"/>
          <w:sz w:val="21"/>
          <w:szCs w:val="21"/>
        </w:rPr>
      </w:pPr>
      <w:r>
        <w:t xml:space="preserve">Indeks massa tubuh, kebiasaan merokok, konsumsi alkohol, pola olahraga berlebihan, dan tingkat stres psikososial.</w:t>
      </w:r>
    </w:p>
    <w:p>
      <w:pPr>
        <w:pStyle w:val="ListParagraph"/>
        <w:numPr>
          <w:ilvl w:val="0"/>
          <w:numId w:val="1"/>
        </w:numPr>
        <w:spacing w:after="90"/>
        <w:rPr>
          <w:rFonts w:ascii="IBM Plex Sans" w:cs="IBM Plex Sans" w:eastAsia="IBM Plex Sans" w:hAnsi="IBM Plex Sans"/>
          <w:color w:val="334155"/>
          <w:sz w:val="21"/>
          <w:szCs w:val="21"/>
        </w:rPr>
      </w:pPr>
      <w:r>
        <w:t xml:space="preserve">Riwayat penyakit kronik (diabetes melitus, penyakit tiroid, penyakit autoimun) dan riwayat keluarga (menopause dini, PMOS, kelainan genetik reproduksi).</w:t>
      </w:r>
    </w:p>
    <w:p>
      <w:pPr>
        <w:pStyle w:val="ListParagraph"/>
        <w:numPr>
          <w:ilvl w:val="0"/>
          <w:numId w:val="1"/>
        </w:numPr>
        <w:spacing w:after="90"/>
        <w:rPr>
          <w:rFonts w:ascii="IBM Plex Sans" w:cs="IBM Plex Sans" w:eastAsia="IBM Plex Sans" w:hAnsi="IBM Plex Sans"/>
          <w:color w:val="334155"/>
          <w:sz w:val="21"/>
          <w:szCs w:val="21"/>
        </w:rPr>
      </w:pPr>
      <w:r>
        <w:t xml:space="preserve">Riwayat konsumsi obat serta paparan okupasional dan lingkungan (panas berlebih, pelarut kimia, pestisida) yang berpotensi memengaruhi fertilitas pada kedua pasangan.</w:t>
      </w:r>
    </w:p>
    <w:p>
      <w:pPr>
        <w:pStyle w:val="Heading2"/>
        <w:spacing w:after="120" w:before="200"/>
      </w:pPr>
      <w:r>
        <w:t xml:space="preserve">Riwayat Pasangan</w:t>
      </w:r>
    </w:p>
    <w:p>
      <w:pPr>
        <w:spacing w:after="160"/>
      </w:pPr>
      <w:r>
        <w:rPr>
          <w:rFonts w:ascii="IBM Plex Sans" w:cs="IBM Plex Sans" w:eastAsia="IBM Plex Sans" w:hAnsi="IBM Plex Sans"/>
          <w:color w:val="334155"/>
          <w:sz w:val="21"/>
          <w:szCs w:val="21"/>
        </w:rPr>
        <w:t xml:space="preserve">Evaluasi awal riwayat pasangan pria dilakukan paralel dan tidak ditunda menunggu hasil evaluasi wanita: riwayat fertilitas sebelumnya, riwayat pembedahan urogenital, infeksi, paparan panas/toksin okupasional, kebiasaan merokok dan alkohol, serta komorbiditas medis relevan.</w:t>
      </w:r>
    </w:p>
    <w:p>
      <w:pPr>
        <w:pStyle w:val="Heading2"/>
        <w:spacing w:after="120" w:before="200"/>
      </w:pPr>
      <w:r>
        <w:t xml:space="preserve">Dampak Psikososial</w:t>
      </w:r>
    </w:p>
    <w:p>
      <w:pPr>
        <w:spacing w:after="160"/>
      </w:pPr>
      <w:r>
        <w:rPr>
          <w:rFonts w:ascii="IBM Plex Sans" w:cs="IBM Plex Sans" w:eastAsia="IBM Plex Sans" w:hAnsi="IBM Plex Sans"/>
          <w:color w:val="334155"/>
          <w:sz w:val="21"/>
          <w:szCs w:val="21"/>
        </w:rPr>
        <w:t xml:space="preserve">Beban psikologis, relasional, dan sosial akibat infertilitas dinilai sebagai bagian anamnesis, bukan sekadar catatan tambahan. Instrumen terstandardisasi dan tervalidasi lintas budaya seperti Fertility Quality of Life (FertiQoL) dapat digunakan sebagai alat bantu penilaian dampak infertilitas terhadap kualitas hidup apabila tersedia dan sumber daya memungkinkan, tanpa menggantikan penilaian klinis langsung terhadap tanda distres emosional yang memerlukan rujukan konseling.</w:t>
      </w:r>
    </w:p>
    <w:p>
      <w:pPr>
        <w:pStyle w:val="Heading1"/>
        <w:spacing w:after="160" w:before="320"/>
      </w:pPr>
      <w:r>
        <w:t xml:space="preserve">3. Pemeriksaan Fisik</w:t>
      </w:r>
    </w:p>
    <w:p>
      <w:pPr>
        <w:pStyle w:val="ListParagraph"/>
        <w:numPr>
          <w:ilvl w:val="0"/>
          <w:numId w:val="1"/>
        </w:numPr>
        <w:spacing w:after="90"/>
        <w:rPr>
          <w:rFonts w:ascii="IBM Plex Sans" w:cs="IBM Plex Sans" w:eastAsia="IBM Plex Sans" w:hAnsi="IBM Plex Sans"/>
          <w:color w:val="334155"/>
          <w:sz w:val="21"/>
          <w:szCs w:val="21"/>
        </w:rPr>
      </w:pPr>
      <w:r>
        <w:t xml:space="preserve">Pemeriksaan umum: indeks massa tubuh (dikategorikan menurut kriteria berat badan World Health Organization), tekanan darah, tanda vital.</w:t>
      </w:r>
    </w:p>
    <w:p>
      <w:pPr>
        <w:pStyle w:val="ListParagraph"/>
        <w:numPr>
          <w:ilvl w:val="0"/>
          <w:numId w:val="1"/>
        </w:numPr>
        <w:spacing w:after="90"/>
        <w:rPr>
          <w:rFonts w:ascii="IBM Plex Sans" w:cs="IBM Plex Sans" w:eastAsia="IBM Plex Sans" w:hAnsi="IBM Plex Sans"/>
          <w:color w:val="334155"/>
          <w:sz w:val="21"/>
          <w:szCs w:val="21"/>
        </w:rPr>
      </w:pPr>
      <w:r>
        <w:t xml:space="preserve">Tanda endokrinopati: hirsutisme, akne, akantosis nigrikans (kecurigaan PMOS/resistensi insulin), galaktorea, pembesaran kelenjar tiroid.</w:t>
      </w:r>
    </w:p>
    <w:p>
      <w:pPr>
        <w:pStyle w:val="ListParagraph"/>
        <w:numPr>
          <w:ilvl w:val="0"/>
          <w:numId w:val="1"/>
        </w:numPr>
        <w:spacing w:after="90"/>
        <w:rPr>
          <w:rFonts w:ascii="IBM Plex Sans" w:cs="IBM Plex Sans" w:eastAsia="IBM Plex Sans" w:hAnsi="IBM Plex Sans"/>
          <w:color w:val="334155"/>
          <w:sz w:val="21"/>
          <w:szCs w:val="21"/>
        </w:rPr>
      </w:pPr>
      <w:r>
        <w:t xml:space="preserve">Pemeriksaan abdomen: bekas luka operasi, massa, nyeri tekan.</w:t>
      </w:r>
    </w:p>
    <w:p>
      <w:pPr>
        <w:pStyle w:val="ListParagraph"/>
        <w:numPr>
          <w:ilvl w:val="0"/>
          <w:numId w:val="1"/>
        </w:numPr>
        <w:spacing w:after="90"/>
        <w:rPr>
          <w:rFonts w:ascii="IBM Plex Sans" w:cs="IBM Plex Sans" w:eastAsia="IBM Plex Sans" w:hAnsi="IBM Plex Sans"/>
          <w:color w:val="334155"/>
          <w:sz w:val="21"/>
          <w:szCs w:val="21"/>
        </w:rPr>
      </w:pPr>
      <w:r>
        <w:t xml:space="preserve">Pemeriksaan pelvis: inspeksi genitalia eksterna, pemeriksaan spekulum serviks, pemeriksaan bimanual untuk menilai ukuran dan mobilitas uterus, massa atau nyeri tekan adneksa, serta nodularitas forniks posterior yang mengarah pada endometriosis.</w:t>
      </w:r>
    </w:p>
    <w:p>
      <w:pPr>
        <w:pStyle w:val="ListParagraph"/>
        <w:numPr>
          <w:ilvl w:val="0"/>
          <w:numId w:val="1"/>
        </w:numPr>
        <w:spacing w:after="90"/>
        <w:rPr>
          <w:rFonts w:ascii="IBM Plex Sans" w:cs="IBM Plex Sans" w:eastAsia="IBM Plex Sans" w:hAnsi="IBM Plex Sans"/>
          <w:color w:val="334155"/>
          <w:sz w:val="21"/>
          <w:szCs w:val="21"/>
        </w:rPr>
      </w:pPr>
      <w:r>
        <w:t xml:space="preserve">Penilaian karakteristik seksual sekunder bila terdapat kecurigaan gangguan perkembangan pubertas atau endokrin yang mendasari.</w:t>
      </w:r>
    </w:p>
    <w:p>
      <w:pPr>
        <w:pStyle w:val="Heading1"/>
        <w:spacing w:after="160" w:before="320"/>
      </w:pPr>
      <w:r>
        <w:t xml:space="preserve">4. Kriteria Diagnosis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Diagnosis (Indonesia)</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Diagnosis (English)</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ICD-10</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ICD-11</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Infertilitas (Usia &lt;35 tahun, Durasi &lt;36 bulan)</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Infertility (Age &lt;35 yo and duration &lt;36 months)</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N97.9</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GA31</w:t>
            </w:r>
          </w:p>
        </w:tc>
      </w:tr>
    </w:tbl>
    <w:p>
      <w:pPr>
        <w:spacing w:after="160"/>
      </w:pPr>
    </w:p>
    <w:p>
      <w:pPr>
        <w:spacing w:after="160"/>
      </w:pPr>
      <w:r>
        <w:rPr>
          <w:rFonts w:ascii="IBM Plex Sans" w:cs="IBM Plex Sans" w:eastAsia="IBM Plex Sans" w:hAnsi="IBM Plex Sans"/>
          <w:color w:val="334155"/>
          <w:sz w:val="21"/>
          <w:szCs w:val="21"/>
        </w:rPr>
        <w:t xml:space="preserve">Kriteria diagnosis ditegakkan bila wanita berusia kurang dari 35 tahun gagal mencapai kehamilan klinis setelah 12 bulan hubungan seksual teratur tanpa kontrasepsi, dengan total durasi keluhan pada saat evaluasi kurang dari 36 bulan. Evaluasi dapat dipercepat sebelum 12 bulan apabila terdapat faktor risiko yang mengindikasikan gangguan reproduksi (siklus haid tidak teratur, riwayat penyakit radang panggul, endometriosis diketahui, riwayat pembedahan pelvis, atau kecurigaan faktor pria), sejalan dengan prinsip evaluasi berbasis riwayat pada WHO Guideline for the Prevention, Diagnosis and Treatment of Infertility (2025).</w:t>
      </w:r>
    </w:p>
    <w:p>
      <w:pPr>
        <w:spacing w:after="160"/>
      </w:pPr>
      <w:r>
        <w:rPr>
          <w:rFonts w:ascii="IBM Plex Sans" w:cs="IBM Plex Sans" w:eastAsia="IBM Plex Sans" w:hAnsi="IBM Plex Sans"/>
          <w:color w:val="334155"/>
          <w:sz w:val="21"/>
          <w:szCs w:val="21"/>
        </w:rPr>
        <w:t xml:space="preserve">Klasifikasi kerja dibedakan menjadi infertilitas primer dan sekunder. Kode ICD-11 GA31 dapat diperinci lebih lanjut menurut ada tidaknya riwayat kehamilan sebelumnya (GA31.0 infertilitas primer; GA31.1 infertilitas sekunder) serta dugaan asal kelainan (mis. tuba, uterus), sedangkan GA31.Z digunakan bila belum dapat ditentukan primer atau sekunder pada saat diagnosis awal ditegakkan. Penelusuran etiologi lebih lanjut (faktor ovulasi, tuba, uterus, pria, atau tidak dapat dijelaskan/unexplained) dilakukan berdasarkan hasil pemeriksaan penunjang pada bagian berikutnya.</w:t>
      </w:r>
    </w:p>
    <w:p>
      <w:pPr>
        <w:pStyle w:val="Heading1"/>
        <w:spacing w:after="160" w:before="320"/>
      </w:pPr>
      <w:r>
        <w:t xml:space="preserve">5. Diagnosis Kerja dan Diagnosis Banding</w:t>
      </w:r>
    </w:p>
    <w:p>
      <w:pPr>
        <w:spacing w:after="160"/>
      </w:pPr>
      <w:r>
        <w:rPr>
          <w:rFonts w:ascii="IBM Plex Sans" w:cs="IBM Plex Sans" w:eastAsia="IBM Plex Sans" w:hAnsi="IBM Plex Sans"/>
          <w:color w:val="334155"/>
          <w:sz w:val="21"/>
          <w:szCs w:val="21"/>
        </w:rPr>
        <w:t xml:space="preserve">Diagnosis kerja: Infertilitas usia muda (usia &lt;35 tahun, durasi &lt;36 bulan), etiologi awal belum ditentukan, menunggu hasil evaluasi faktor ovulasi, tuba, uterus, dan pria.</w:t>
      </w:r>
    </w:p>
    <w:p>
      <w:pPr>
        <w:pStyle w:val="Heading2"/>
        <w:spacing w:after="120" w:before="200"/>
      </w:pPr>
      <w:r>
        <w:t xml:space="preserve">Diagnosis Banding menurut Kemungkinan Faktor</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faktor ovulasi, termasuk yang berkaitan dengan PMOS/sindrom ovarium metabolik-poliendokrin (entri Tabel 7 No. 58 — dibedakan bila kriteria diagnosis PMOS, mis. kriteria Rotterdam, terpenuhi secara mandiri).</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faktor tuba (riwayat penyakit radang panggul, kehamilan ektopik, atau pembedahan tuba sebelumnya).</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terkait endometriosis.</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faktor uterus (kelainan kongenital, polip, mioma submukosa, sindrom Asherman).</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faktor pria (kelainan parameter semen).</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terkait disfungsi tiroid atau hiperprolaktinemia.</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tidak dapat dijelaskan (unexplained infertility): ditegakkan bila pasangan telah gagal mencapai kehamilan setelah 12 bulan, riwayat dan pemeriksaan fisik kedua pasangan normal, ovulasi dan patensi tuba wanita terkonfirmasi, dan parameter analisis semen pasangan pria berada dalam rentang rujukan WHO.</w:t>
      </w:r>
    </w:p>
    <w:p>
      <w:pPr>
        <w:pStyle w:val="Heading1"/>
        <w:spacing w:after="160" w:before="320"/>
      </w:pPr>
      <w:r>
        <w:t xml:space="preserve">6. Pemeriksaan Penunjang</w:t>
      </w:r>
    </w:p>
    <w:p>
      <w:pPr>
        <w:pStyle w:val="Heading2"/>
        <w:spacing w:after="120" w:before="200"/>
      </w:pPr>
      <w:r>
        <w:t xml:space="preserve">Evaluasi Wanita</w:t>
      </w:r>
    </w:p>
    <w:p>
      <w:pPr>
        <w:pStyle w:val="ListParagraph"/>
        <w:numPr>
          <w:ilvl w:val="0"/>
          <w:numId w:val="1"/>
        </w:numPr>
        <w:spacing w:after="90"/>
        <w:rPr>
          <w:rFonts w:ascii="IBM Plex Sans" w:cs="IBM Plex Sans" w:eastAsia="IBM Plex Sans" w:hAnsi="IBM Plex Sans"/>
          <w:color w:val="334155"/>
          <w:sz w:val="21"/>
          <w:szCs w:val="21"/>
        </w:rPr>
      </w:pPr>
      <w:r>
        <w:t xml:space="preserve">Konfirmasi ovulasi: progesteron fase luteal madya, dilengkapi pemantauan siklus bila diperlukan.</w:t>
      </w:r>
    </w:p>
    <w:p>
      <w:pPr>
        <w:pStyle w:val="ListParagraph"/>
        <w:numPr>
          <w:ilvl w:val="0"/>
          <w:numId w:val="1"/>
        </w:numPr>
        <w:spacing w:after="90"/>
        <w:rPr>
          <w:rFonts w:ascii="IBM Plex Sans" w:cs="IBM Plex Sans" w:eastAsia="IBM Plex Sans" w:hAnsi="IBM Plex Sans"/>
          <w:color w:val="334155"/>
          <w:sz w:val="21"/>
          <w:szCs w:val="21"/>
        </w:rPr>
      </w:pPr>
      <w:r>
        <w:t xml:space="preserve">Penilaian cadangan ovarium: usia merupakan prediktor utama cadangan ovarium. Hitung folikel antral (antral follicle count) melalui ultrasonografi transvaginal, hormon anti-Müllerian (AMH), atau FSH hari ke-2/3 siklus dapat digunakan sebagai pemeriksaan tambahan sesuai ketersediaan fasilitas, dengan pemahaman bahwa nilai tambah prediktifnya di luar usia bersifat marginal.</w:t>
      </w:r>
    </w:p>
    <w:p>
      <w:pPr>
        <w:pStyle w:val="ListParagraph"/>
        <w:numPr>
          <w:ilvl w:val="0"/>
          <w:numId w:val="1"/>
        </w:numPr>
        <w:spacing w:after="90"/>
        <w:rPr>
          <w:rFonts w:ascii="IBM Plex Sans" w:cs="IBM Plex Sans" w:eastAsia="IBM Plex Sans" w:hAnsi="IBM Plex Sans"/>
          <w:color w:val="334155"/>
          <w:sz w:val="21"/>
          <w:szCs w:val="21"/>
        </w:rPr>
      </w:pPr>
      <w:r>
        <w:t xml:space="preserve">Panel hormon terarah gejala: TSH bila ada kecurigaan disfungsi tiroid; prolaktin bila terdapat galaktorea atau gangguan haid.</w:t>
      </w:r>
    </w:p>
    <w:p>
      <w:pPr>
        <w:pStyle w:val="ListParagraph"/>
        <w:numPr>
          <w:ilvl w:val="0"/>
          <w:numId w:val="1"/>
        </w:numPr>
        <w:spacing w:after="90"/>
        <w:rPr>
          <w:rFonts w:ascii="IBM Plex Sans" w:cs="IBM Plex Sans" w:eastAsia="IBM Plex Sans" w:hAnsi="IBM Plex Sans"/>
          <w:color w:val="334155"/>
          <w:sz w:val="21"/>
          <w:szCs w:val="21"/>
        </w:rPr>
      </w:pPr>
      <w:r>
        <w:t xml:space="preserve">Penilaian patensi tuba pada kecurigaan faktor tuba: histerosalpingografi (HSG) atau sonohisterografi kontras (hysterosalpingo contrast sonography/HyCoSy), dipilih berdasarkan ketersediaan, keterlatihan operator, dan risiko alergi media kontras. Laparoskopi diagnostik dengan kromopertubasi dicadangkan untuk kecurigaan patologi pelvis tambahan (mis. endometriosis sedang-berat) atau hasil pencitraan yang tidak meyakinkan.</w:t>
      </w:r>
    </w:p>
    <w:p>
      <w:pPr>
        <w:pStyle w:val="ListParagraph"/>
        <w:numPr>
          <w:ilvl w:val="0"/>
          <w:numId w:val="1"/>
        </w:numPr>
        <w:spacing w:after="90"/>
        <w:rPr>
          <w:rFonts w:ascii="IBM Plex Sans" w:cs="IBM Plex Sans" w:eastAsia="IBM Plex Sans" w:hAnsi="IBM Plex Sans"/>
          <w:color w:val="334155"/>
          <w:sz w:val="21"/>
          <w:szCs w:val="21"/>
        </w:rPr>
      </w:pPr>
      <w:r>
        <w:t xml:space="preserve">Penilaian kavum uteri pada kecurigaan kelainan intrakavum: sonohisterografi infus salin (saline infusion sonohysterography/SIS) sebagai modalitas pilihan; ultrasonografi transvaginal 3 dimensi sebagai alternatif bila SIS tidak tersedia; ultrasonografi 2 dimensi atau HSG dapat digunakan pada fasilitas dengan sumber daya terbatas. Histeroskopi dipertimbangkan bila temuan pencitraan mengarah pada kelainan intrakavum yang memerlukan konfirmasi atau tata laksana operatif.</w:t>
      </w:r>
    </w:p>
    <w:p>
      <w:pPr>
        <w:pStyle w:val="ListParagraph"/>
        <w:numPr>
          <w:ilvl w:val="0"/>
          <w:numId w:val="1"/>
        </w:numPr>
        <w:spacing w:after="90"/>
        <w:rPr>
          <w:rFonts w:ascii="IBM Plex Sans" w:cs="IBM Plex Sans" w:eastAsia="IBM Plex Sans" w:hAnsi="IBM Plex Sans"/>
          <w:color w:val="334155"/>
          <w:sz w:val="21"/>
          <w:szCs w:val="21"/>
        </w:rPr>
      </w:pPr>
      <w:r>
        <w:t xml:space="preserve">Skrining infeksi menular seksual (Chlamydia trachomatis) mengingat kaitannya dengan faktor tuba.</w:t>
      </w:r>
    </w:p>
    <w:p>
      <w:pPr>
        <w:pStyle w:val="Heading2"/>
        <w:spacing w:after="120" w:before="200"/>
      </w:pPr>
      <w:r>
        <w:t xml:space="preserve">Evaluasi Pasangan Pria</w:t>
      </w:r>
    </w:p>
    <w:p>
      <w:pPr>
        <w:spacing w:after="160"/>
      </w:pPr>
      <w:r>
        <w:rPr>
          <w:rFonts w:ascii="IBM Plex Sans" w:cs="IBM Plex Sans" w:eastAsia="IBM Plex Sans" w:hAnsi="IBM Plex Sans"/>
          <w:color w:val="334155"/>
          <w:sz w:val="21"/>
          <w:szCs w:val="21"/>
        </w:rPr>
        <w:t xml:space="preserve">Analisis semen dilakukan sejak evaluasi awal secara paralel dengan evaluasi wanita, mengikuti standar prosedur pada WHO Laboratory Manual for the Examination and Processing of Human Semen, edisi ke-6 (2021). Apabila satu atau lebih parameter semen berada di luar rentang rujukan pada pemeriksaan pertama, analisis diulang setelah jarak waktu minimal 11 minggu; bila seluruh parameter normal, pengulangan tidak diperlukan. Evaluasi lanjutan (mis. uji fragmentasi DNA sperma, antibodi antisperma) tidak dilakukan secara rutin tanpa indikasi klinis spesifik.</w:t>
      </w:r>
    </w:p>
    <w:p>
      <w:pPr>
        <w:pStyle w:val="Heading1"/>
        <w:spacing w:after="160" w:before="320"/>
      </w:pPr>
      <w:r>
        <w:t xml:space="preserve">7. Tata Laksana</w:t>
      </w:r>
    </w:p>
    <w:p>
      <w:pPr>
        <w:pStyle w:val="Heading2"/>
        <w:spacing w:after="120" w:before="200"/>
      </w:pPr>
      <w:r>
        <w:t xml:space="preserve">7.1 Tata Laksana Non-Farmakologis</w:t>
      </w:r>
    </w:p>
    <w:p>
      <w:pPr>
        <w:pStyle w:val="ListParagraph"/>
        <w:numPr>
          <w:ilvl w:val="0"/>
          <w:numId w:val="1"/>
        </w:numPr>
        <w:spacing w:after="90"/>
        <w:rPr>
          <w:rFonts w:ascii="IBM Plex Sans" w:cs="IBM Plex Sans" w:eastAsia="IBM Plex Sans" w:hAnsi="IBM Plex Sans"/>
          <w:color w:val="334155"/>
          <w:sz w:val="21"/>
          <w:szCs w:val="21"/>
        </w:rPr>
      </w:pPr>
      <w:r>
        <w:t xml:space="preserve">Optimalisasi indeks massa tubuh menuju rentang berat badan sehat sebelum atau bersamaan dengan tata laksana lanjutan.</w:t>
      </w:r>
    </w:p>
    <w:p>
      <w:pPr>
        <w:pStyle w:val="ListParagraph"/>
        <w:numPr>
          <w:ilvl w:val="0"/>
          <w:numId w:val="1"/>
        </w:numPr>
        <w:spacing w:after="90"/>
        <w:rPr>
          <w:rFonts w:ascii="IBM Plex Sans" w:cs="IBM Plex Sans" w:eastAsia="IBM Plex Sans" w:hAnsi="IBM Plex Sans"/>
          <w:color w:val="334155"/>
          <w:sz w:val="21"/>
          <w:szCs w:val="21"/>
        </w:rPr>
      </w:pPr>
      <w:r>
        <w:t xml:space="preserve">Edukasi berhenti merokok dan pembatasan konsumsi alkohol pada kedua pasangan.</w:t>
      </w:r>
    </w:p>
    <w:p>
      <w:pPr>
        <w:pStyle w:val="ListParagraph"/>
        <w:numPr>
          <w:ilvl w:val="0"/>
          <w:numId w:val="1"/>
        </w:numPr>
        <w:spacing w:after="90"/>
        <w:rPr>
          <w:rFonts w:ascii="IBM Plex Sans" w:cs="IBM Plex Sans" w:eastAsia="IBM Plex Sans" w:hAnsi="IBM Plex Sans"/>
          <w:color w:val="334155"/>
          <w:sz w:val="21"/>
          <w:szCs w:val="21"/>
        </w:rPr>
      </w:pPr>
      <w:r>
        <w:t xml:space="preserve">Suplementasi asam folat sesuai standar perikonsepsi.</w:t>
      </w:r>
    </w:p>
    <w:p>
      <w:pPr>
        <w:pStyle w:val="ListParagraph"/>
        <w:numPr>
          <w:ilvl w:val="0"/>
          <w:numId w:val="1"/>
        </w:numPr>
        <w:spacing w:after="90"/>
        <w:rPr>
          <w:rFonts w:ascii="IBM Plex Sans" w:cs="IBM Plex Sans" w:eastAsia="IBM Plex Sans" w:hAnsi="IBM Plex Sans"/>
          <w:color w:val="334155"/>
          <w:sz w:val="21"/>
          <w:szCs w:val="21"/>
        </w:rPr>
      </w:pPr>
      <w:r>
        <w:t xml:space="preserve">Edukasi waktu hubungan seksual terhadap masa subur.</w:t>
      </w:r>
    </w:p>
    <w:p>
      <w:pPr>
        <w:pStyle w:val="ListParagraph"/>
        <w:numPr>
          <w:ilvl w:val="0"/>
          <w:numId w:val="1"/>
        </w:numPr>
        <w:spacing w:after="90"/>
        <w:rPr>
          <w:rFonts w:ascii="IBM Plex Sans" w:cs="IBM Plex Sans" w:eastAsia="IBM Plex Sans" w:hAnsi="IBM Plex Sans"/>
          <w:color w:val="334155"/>
          <w:sz w:val="21"/>
          <w:szCs w:val="21"/>
        </w:rPr>
      </w:pPr>
      <w:r>
        <w:t xml:space="preserve">Dukungan psikososial dan pengelolaan stres; rujukan konseling bila terdapat tanda distres emosional bermakna.</w:t>
      </w:r>
    </w:p>
    <w:p>
      <w:pPr>
        <w:pStyle w:val="ListParagraph"/>
        <w:numPr>
          <w:ilvl w:val="0"/>
          <w:numId w:val="1"/>
        </w:numPr>
        <w:spacing w:after="90"/>
        <w:rPr>
          <w:rFonts w:ascii="IBM Plex Sans" w:cs="IBM Plex Sans" w:eastAsia="IBM Plex Sans" w:hAnsi="IBM Plex Sans"/>
          <w:color w:val="334155"/>
          <w:sz w:val="21"/>
          <w:szCs w:val="21"/>
        </w:rPr>
      </w:pPr>
      <w:r>
        <w:t xml:space="preserve">Tata laksana kondisi medis penyerta yang dapat memengaruhi fertilitas (mis. optimalisasi kontrol glikemik).</w:t>
      </w:r>
    </w:p>
    <w:p>
      <w:pPr>
        <w:pStyle w:val="Heading2"/>
        <w:spacing w:after="120" w:before="200"/>
      </w:pPr>
      <w:r>
        <w:t xml:space="preserve">7.2 Tata Laksana Farmakologis</w:t>
      </w:r>
    </w:p>
    <w:p>
      <w:pPr>
        <w:pStyle w:val="ListParagraph"/>
        <w:numPr>
          <w:ilvl w:val="0"/>
          <w:numId w:val="1"/>
        </w:numPr>
        <w:spacing w:after="90"/>
        <w:rPr>
          <w:rFonts w:ascii="IBM Plex Sans" w:cs="IBM Plex Sans" w:eastAsia="IBM Plex Sans" w:hAnsi="IBM Plex Sans"/>
          <w:color w:val="334155"/>
          <w:sz w:val="21"/>
          <w:szCs w:val="21"/>
        </w:rPr>
      </w:pPr>
      <w:r>
        <w:t xml:space="preserve">Induksi ovulasi dengan letrozol sebagai lini pertama pada infertilitas anovulasi yang berkaitan dengan PMOS/sindrom ovarium metabolik-poliendokrin; sitrat klomifen atau metformin merupakan alternatif bila letrozol tidak tersedia, terdapat kontraindikasi, atau sesuai preferensi klinis setelah diskusi bersama pasien.</w:t>
      </w:r>
    </w:p>
    <w:p>
      <w:pPr>
        <w:pStyle w:val="ListParagraph"/>
        <w:numPr>
          <w:ilvl w:val="0"/>
          <w:numId w:val="1"/>
        </w:numPr>
        <w:spacing w:after="90"/>
        <w:rPr>
          <w:rFonts w:ascii="IBM Plex Sans" w:cs="IBM Plex Sans" w:eastAsia="IBM Plex Sans" w:hAnsi="IBM Plex Sans"/>
          <w:color w:val="334155"/>
          <w:sz w:val="21"/>
          <w:szCs w:val="21"/>
        </w:rPr>
      </w:pPr>
      <w:r>
        <w:t xml:space="preserve">Pada penyebab anovulasi di luar PMOS (mis. disfungsi hipotalamus-hipofisis, hiperprolaktinemia), tata laksana diarahkan pada koreksi penyebab dasar sebagaimana diuraikan di bawah, bukan pemberian induksi ovulasi empiris.</w:t>
      </w:r>
    </w:p>
    <w:p>
      <w:pPr>
        <w:pStyle w:val="ListParagraph"/>
        <w:numPr>
          <w:ilvl w:val="0"/>
          <w:numId w:val="1"/>
        </w:numPr>
        <w:spacing w:after="90"/>
        <w:rPr>
          <w:rFonts w:ascii="IBM Plex Sans" w:cs="IBM Plex Sans" w:eastAsia="IBM Plex Sans" w:hAnsi="IBM Plex Sans"/>
          <w:color w:val="334155"/>
          <w:sz w:val="21"/>
          <w:szCs w:val="21"/>
        </w:rPr>
      </w:pPr>
      <w:r>
        <w:t xml:space="preserve">Kombinasi induksi ovulasi dengan hubungan seksual terjadwal (timed intercourse) atau inseminasi intrauterin (IUI) dipertimbangkan setelah evaluasi dasar faktor tuba dan pria menyingkirkan kontraindikasi, dengan jumlah siklus ditentukan bersama pasien mempertimbangkan usia dan sumber daya yang tersedia.</w:t>
      </w:r>
    </w:p>
    <w:p>
      <w:pPr>
        <w:pStyle w:val="ListParagraph"/>
        <w:numPr>
          <w:ilvl w:val="0"/>
          <w:numId w:val="1"/>
        </w:numPr>
        <w:spacing w:after="90"/>
        <w:rPr>
          <w:rFonts w:ascii="IBM Plex Sans" w:cs="IBM Plex Sans" w:eastAsia="IBM Plex Sans" w:hAnsi="IBM Plex Sans"/>
          <w:color w:val="334155"/>
          <w:sz w:val="21"/>
          <w:szCs w:val="21"/>
        </w:rPr>
      </w:pPr>
      <w:r>
        <w:t xml:space="preserve">Koreksi hipotiroidisme dengan levotiroksin bila TSH di atas rentang target perikonsepsi.</w:t>
      </w:r>
    </w:p>
    <w:p>
      <w:pPr>
        <w:pStyle w:val="ListParagraph"/>
        <w:numPr>
          <w:ilvl w:val="0"/>
          <w:numId w:val="1"/>
        </w:numPr>
        <w:spacing w:after="90"/>
        <w:rPr>
          <w:rFonts w:ascii="IBM Plex Sans" w:cs="IBM Plex Sans" w:eastAsia="IBM Plex Sans" w:hAnsi="IBM Plex Sans"/>
          <w:color w:val="334155"/>
          <w:sz w:val="21"/>
          <w:szCs w:val="21"/>
        </w:rPr>
      </w:pPr>
      <w:r>
        <w:t xml:space="preserve">Agonis dopamin (mis. kabergolin) pada hiperprolaktinemia simtomatik yang memengaruhi ovulasi.</w:t>
      </w:r>
    </w:p>
    <w:p>
      <w:pPr>
        <w:pStyle w:val="Heading2"/>
        <w:spacing w:after="120" w:before="200"/>
      </w:pPr>
      <w:r>
        <w:t xml:space="preserve">7.3 Tata Laksana Bedah/Prosedural (bila relevan)</w:t>
      </w:r>
    </w:p>
    <w:p>
      <w:pPr>
        <w:pStyle w:val="ListParagraph"/>
        <w:numPr>
          <w:ilvl w:val="0"/>
          <w:numId w:val="1"/>
        </w:numPr>
        <w:spacing w:after="90"/>
        <w:rPr>
          <w:rFonts w:ascii="IBM Plex Sans" w:cs="IBM Plex Sans" w:eastAsia="IBM Plex Sans" w:hAnsi="IBM Plex Sans"/>
          <w:color w:val="334155"/>
          <w:sz w:val="21"/>
          <w:szCs w:val="21"/>
        </w:rPr>
      </w:pPr>
      <w:r>
        <w:t xml:space="preserve">Laparoskopi operatif untuk reseksi/ablasi lesi endometriosis atau adhesiolisis pada kasus dengan temuan patologi pelvis yang memengaruhi fertilitas; pada penyakit tuba ringan-sedang, pembedahan konservatif dapat dipertimbangkan pada wanita berusia kurang dari 35 tahun, sementara teknologi reproduksi berbantu dipertimbangkan lebih awal pada penyakit berat.</w:t>
      </w:r>
    </w:p>
    <w:p>
      <w:pPr>
        <w:pStyle w:val="ListParagraph"/>
        <w:numPr>
          <w:ilvl w:val="0"/>
          <w:numId w:val="1"/>
        </w:numPr>
        <w:spacing w:after="90"/>
        <w:rPr>
          <w:rFonts w:ascii="IBM Plex Sans" w:cs="IBM Plex Sans" w:eastAsia="IBM Plex Sans" w:hAnsi="IBM Plex Sans"/>
          <w:color w:val="334155"/>
          <w:sz w:val="21"/>
          <w:szCs w:val="21"/>
        </w:rPr>
      </w:pPr>
      <w:r>
        <w:t xml:space="preserve">Histeroskopi operatif untuk koreksi polip endometrium, mioma submukosa, atau septum uterus yang ditemukan pada evaluasi kavum uteri.</w:t>
      </w:r>
    </w:p>
    <w:p>
      <w:pPr>
        <w:pStyle w:val="Heading2"/>
        <w:spacing w:after="120" w:before="200"/>
      </w:pPr>
      <w:r>
        <w:t xml:space="preserve">7.4 Kriteria Rujukan ke Subspesialis Fertilitas dan Endokrinologi Reproduksi</w:t>
      </w:r>
    </w:p>
    <w:p>
      <w:pPr>
        <w:pStyle w:val="ListParagraph"/>
        <w:numPr>
          <w:ilvl w:val="0"/>
          <w:numId w:val="1"/>
        </w:numPr>
        <w:spacing w:after="90"/>
        <w:rPr>
          <w:rFonts w:ascii="IBM Plex Sans" w:cs="IBM Plex Sans" w:eastAsia="IBM Plex Sans" w:hAnsi="IBM Plex Sans"/>
          <w:color w:val="334155"/>
          <w:sz w:val="21"/>
          <w:szCs w:val="21"/>
        </w:rPr>
      </w:pPr>
      <w:r>
        <w:t xml:space="preserve">Infertilitas yang menetap melampaui durasi 36 bulan meskipun telah mendapat tata laksana lini pertama sesuai PPK ini (transisi ke jenjang PPK subspesialis).</w:t>
      </w:r>
    </w:p>
    <w:p>
      <w:pPr>
        <w:pStyle w:val="ListParagraph"/>
        <w:numPr>
          <w:ilvl w:val="0"/>
          <w:numId w:val="1"/>
        </w:numPr>
        <w:spacing w:after="90"/>
        <w:rPr>
          <w:rFonts w:ascii="IBM Plex Sans" w:cs="IBM Plex Sans" w:eastAsia="IBM Plex Sans" w:hAnsi="IBM Plex Sans"/>
          <w:color w:val="334155"/>
          <w:sz w:val="21"/>
          <w:szCs w:val="21"/>
        </w:rPr>
      </w:pPr>
      <w:r>
        <w:t xml:space="preserve">Usia wanita mendekati atau mencapai 35 tahun tanpa keberhasilan konsepsi.</w:t>
      </w:r>
    </w:p>
    <w:p>
      <w:pPr>
        <w:pStyle w:val="ListParagraph"/>
        <w:numPr>
          <w:ilvl w:val="0"/>
          <w:numId w:val="1"/>
        </w:numPr>
        <w:spacing w:after="90"/>
        <w:rPr>
          <w:rFonts w:ascii="IBM Plex Sans" w:cs="IBM Plex Sans" w:eastAsia="IBM Plex Sans" w:hAnsi="IBM Plex Sans"/>
          <w:color w:val="334155"/>
          <w:sz w:val="21"/>
          <w:szCs w:val="21"/>
        </w:rPr>
      </w:pPr>
      <w:r>
        <w:t xml:space="preserve">Faktor pria sedang-berat yang memerlukan teknologi reproduksi berbantu.</w:t>
      </w:r>
    </w:p>
    <w:p>
      <w:pPr>
        <w:pStyle w:val="ListParagraph"/>
        <w:numPr>
          <w:ilvl w:val="0"/>
          <w:numId w:val="1"/>
        </w:numPr>
        <w:spacing w:after="90"/>
        <w:rPr>
          <w:rFonts w:ascii="IBM Plex Sans" w:cs="IBM Plex Sans" w:eastAsia="IBM Plex Sans" w:hAnsi="IBM Plex Sans"/>
          <w:color w:val="334155"/>
          <w:sz w:val="21"/>
          <w:szCs w:val="21"/>
        </w:rPr>
      </w:pPr>
      <w:r>
        <w:t xml:space="preserve">Oklusi tuba bilateral atau patologi pelvis berat (endometriosis sedang-berat).</w:t>
      </w:r>
    </w:p>
    <w:p>
      <w:pPr>
        <w:pStyle w:val="ListParagraph"/>
        <w:numPr>
          <w:ilvl w:val="0"/>
          <w:numId w:val="1"/>
        </w:numPr>
        <w:spacing w:after="90"/>
        <w:rPr>
          <w:rFonts w:ascii="IBM Plex Sans" w:cs="IBM Plex Sans" w:eastAsia="IBM Plex Sans" w:hAnsi="IBM Plex Sans"/>
          <w:color w:val="334155"/>
          <w:sz w:val="21"/>
          <w:szCs w:val="21"/>
        </w:rPr>
      </w:pPr>
      <w:r>
        <w:t xml:space="preserve">Kegagalan induksi ovulasi lini pertama setelah 3–6 siklus terapi.</w:t>
      </w:r>
    </w:p>
    <w:p>
      <w:pPr>
        <w:pStyle w:val="ListParagraph"/>
        <w:numPr>
          <w:ilvl w:val="0"/>
          <w:numId w:val="1"/>
        </w:numPr>
        <w:spacing w:after="90"/>
        <w:rPr>
          <w:rFonts w:ascii="IBM Plex Sans" w:cs="IBM Plex Sans" w:eastAsia="IBM Plex Sans" w:hAnsi="IBM Plex Sans"/>
          <w:color w:val="334155"/>
          <w:sz w:val="21"/>
          <w:szCs w:val="21"/>
        </w:rPr>
      </w:pPr>
      <w:r>
        <w:t xml:space="preserve">Indikasi teknologi reproduksi berbantu (fertilisasi in vitro/injeksi sperma intrasitoplasma).</w:t>
      </w:r>
    </w:p>
    <w:p>
      <w:pPr>
        <w:pStyle w:val="Heading1"/>
        <w:spacing w:after="160" w:before="320"/>
      </w:pPr>
      <w:r>
        <w:t xml:space="preserve">8. Edukasi Pasien dan Keluarga</w:t>
      </w:r>
    </w:p>
    <w:p>
      <w:pPr>
        <w:pStyle w:val="ListParagraph"/>
        <w:numPr>
          <w:ilvl w:val="0"/>
          <w:numId w:val="1"/>
        </w:numPr>
        <w:spacing w:after="90"/>
        <w:rPr>
          <w:rFonts w:ascii="IBM Plex Sans" w:cs="IBM Plex Sans" w:eastAsia="IBM Plex Sans" w:hAnsi="IBM Plex Sans"/>
          <w:color w:val="334155"/>
          <w:sz w:val="21"/>
          <w:szCs w:val="21"/>
        </w:rPr>
      </w:pPr>
      <w:r>
        <w:t xml:space="preserve">Penjelasan mengenai masa subur, waktu optimal hubungan seksual, dan ekspektasi realistis lini waktu konsepsi alami sesuai usia dan durasi infertilitas.</w:t>
      </w:r>
    </w:p>
    <w:p>
      <w:pPr>
        <w:pStyle w:val="ListParagraph"/>
        <w:numPr>
          <w:ilvl w:val="0"/>
          <w:numId w:val="1"/>
        </w:numPr>
        <w:spacing w:after="90"/>
        <w:rPr>
          <w:rFonts w:ascii="IBM Plex Sans" w:cs="IBM Plex Sans" w:eastAsia="IBM Plex Sans" w:hAnsi="IBM Plex Sans"/>
          <w:color w:val="334155"/>
          <w:sz w:val="21"/>
          <w:szCs w:val="21"/>
        </w:rPr>
      </w:pPr>
      <w:r>
        <w:t xml:space="preserve">Edukasi modifikasi gaya hidup (berat badan, rokok, alkohol) sebagai bagian integral tata laksana, bukan sekadar anjuran umum.</w:t>
      </w:r>
    </w:p>
    <w:p>
      <w:pPr>
        <w:pStyle w:val="ListParagraph"/>
        <w:numPr>
          <w:ilvl w:val="0"/>
          <w:numId w:val="1"/>
        </w:numPr>
        <w:spacing w:after="90"/>
        <w:rPr>
          <w:rFonts w:ascii="IBM Plex Sans" w:cs="IBM Plex Sans" w:eastAsia="IBM Plex Sans" w:hAnsi="IBM Plex Sans"/>
          <w:color w:val="334155"/>
          <w:sz w:val="21"/>
          <w:szCs w:val="21"/>
        </w:rPr>
      </w:pPr>
      <w:r>
        <w:t xml:space="preserve">Penjelasan tahapan evaluasi diagnostik dan tujuan tiap pemeriksaan, termasuk keterlibatan pasangan pria sejak awal.</w:t>
      </w:r>
    </w:p>
    <w:p>
      <w:pPr>
        <w:pStyle w:val="ListParagraph"/>
        <w:numPr>
          <w:ilvl w:val="0"/>
          <w:numId w:val="1"/>
        </w:numPr>
        <w:spacing w:after="90"/>
        <w:rPr>
          <w:rFonts w:ascii="IBM Plex Sans" w:cs="IBM Plex Sans" w:eastAsia="IBM Plex Sans" w:hAnsi="IBM Plex Sans"/>
          <w:color w:val="334155"/>
          <w:sz w:val="21"/>
          <w:szCs w:val="21"/>
        </w:rPr>
      </w:pPr>
      <w:r>
        <w:t xml:space="preserve">Informed consent untuk setiap prosedur diagnostik invasif (HSG/HyCoSy, histeroskopi, laparoskopi) dan farmakologis (induksi ovulasi) beserta risiko dan manfaatnya.</w:t>
      </w:r>
    </w:p>
    <w:p>
      <w:pPr>
        <w:pStyle w:val="ListParagraph"/>
        <w:numPr>
          <w:ilvl w:val="0"/>
          <w:numId w:val="1"/>
        </w:numPr>
        <w:spacing w:after="90"/>
        <w:rPr>
          <w:rFonts w:ascii="IBM Plex Sans" w:cs="IBM Plex Sans" w:eastAsia="IBM Plex Sans" w:hAnsi="IBM Plex Sans"/>
          <w:color w:val="334155"/>
          <w:sz w:val="21"/>
          <w:szCs w:val="21"/>
        </w:rPr>
      </w:pPr>
      <w:r>
        <w:t xml:space="preserve">Dukungan psikologis; pengakuan terhadap beban emosional dan sosial infertilitas, dengan rujukan konseling bila diperlukan.</w:t>
      </w:r>
    </w:p>
    <w:p>
      <w:pPr>
        <w:pStyle w:val="ListParagraph"/>
        <w:numPr>
          <w:ilvl w:val="0"/>
          <w:numId w:val="1"/>
        </w:numPr>
        <w:spacing w:after="90"/>
        <w:rPr>
          <w:rFonts w:ascii="IBM Plex Sans" w:cs="IBM Plex Sans" w:eastAsia="IBM Plex Sans" w:hAnsi="IBM Plex Sans"/>
          <w:color w:val="334155"/>
          <w:sz w:val="21"/>
          <w:szCs w:val="21"/>
        </w:rPr>
      </w:pPr>
      <w:r>
        <w:t xml:space="preserve">Informasi mengenai jalur rujukan ke subspesialis dan pilihan teknologi reproduksi berbantu apabila tata laksana lini pertama tidak berhasil, termasuk gambaran umum implikasi biaya dan akses layanan.</w:t>
      </w:r>
    </w:p>
    <w:p>
      <w:pPr>
        <w:pStyle w:val="Heading1"/>
        <w:spacing w:after="160" w:before="320"/>
      </w:pPr>
      <w:r>
        <w:t xml:space="preserve">9. Prognosis</w:t>
      </w:r>
    </w:p>
    <w:p>
      <w:pPr>
        <w:spacing w:after="160"/>
      </w:pPr>
      <w:r>
        <w:rPr>
          <w:rFonts w:ascii="IBM Plex Sans" w:cs="IBM Plex Sans" w:eastAsia="IBM Plex Sans" w:hAnsi="IBM Plex Sans"/>
          <w:color w:val="334155"/>
          <w:sz w:val="21"/>
          <w:szCs w:val="21"/>
        </w:rPr>
        <w:t xml:space="preserve">Prognosis pada populasi target PPK ini (usia &lt;35 tahun, durasi &lt;36 bulan) secara umum baik dibandingkan kelompok usia lebih tua atau durasi infertilitas lebih panjang, mengingat cadangan ovarium yang secara umum masih optimal dan waktu evaluasi yang relatif dini. Faktor yang memengaruhi prognosis meliputi usia, cadangan ovarium, patensi tuba, kualitas semen pasangan, dan durasi infertilitas saat evaluasi dimulai.</w:t>
      </w:r>
    </w:p>
    <w:p>
      <w:pPr>
        <w:spacing w:after="160"/>
      </w:pPr>
      <w:r>
        <w:rPr>
          <w:rFonts w:ascii="IBM Plex Sans" w:cs="IBM Plex Sans" w:eastAsia="IBM Plex Sans" w:hAnsi="IBM Plex Sans"/>
          <w:color w:val="334155"/>
          <w:sz w:val="21"/>
          <w:szCs w:val="21"/>
        </w:rPr>
        <w:t xml:space="preserve">Angka keberhasilan konsepsi kumulatif spesifik populasi Indonesia pada jenjang tata laksana lini pertama belum tersedia dalam Kepkonsil maupun sumber resmi yang dapat diverifikasi pada saat penyusunan PPK ini [DATA: rujuk laporan/registri resmi terbaru — mis. Kemenkes, BKKBN, POGI, WHO].</w:t>
      </w:r>
    </w:p>
    <w:p>
      <w:pPr>
        <w:pStyle w:val="Heading1"/>
        <w:spacing w:after="160" w:before="320"/>
      </w:pPr>
      <w:r>
        <w:t xml:space="preserve">10. Tingkat Evidens dan Rekomendasi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Rekomendasi</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Derajat Rekomendasi</w:t>
            </w:r>
          </w:p>
        </w:tc>
        <w:tc>
          <w:tcPr>
            <w:tcW w:type="dxa" w:w="225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HSG atau HyCoSy sebagai pilihan setara untuk penilaian patensi tuba pada kecurigaan faktor tuba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IIa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WHO Guideline for Infertility (2025)</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SIS sebagai modalitas pilihan penilaian kavum uteri, di atas USG 3D/2D dan HSG</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IIa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WHO Guideline for Infertility (2025)</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Letrozol sebagai lini pertama induksi ovulasi pada infertilitas anovulasi terkait PMOS</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WHO Guideline for Infertility (2025)</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Usia sebagai prediktor utama cadangan ovarium; AFC/AMH/FSH sebagai pemeriksaan tambahan opsional</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IIb</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WHO Guideline for Infertility (2025)</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Pengulangan analisis semen minimal 11 minggu setelah hasil awal abnormal</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IIa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WHO Guideline for Infertility (2025)</w:t>
            </w:r>
          </w:p>
        </w:tc>
      </w:tr>
      <w:tr>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Modifikasi gaya hidup (berat badan, rokok, alkohol) sebagai bagian tata laksana awal</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IIa</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B</w:t>
            </w:r>
          </w:p>
        </w:tc>
        <w:tc>
          <w:tcPr>
            <w:tcW w:type="dxa" w:w="2256"/>
            <w:tcMar>
              <w:top w:type="dxa" w:w="90"/>
              <w:left w:type="dxa" w:w="120"/>
              <w:bottom w:type="dxa" w:w="90"/>
              <w:right w:type="dxa" w:w="120"/>
            </w:tcMar>
          </w:tcPr>
          <w:p>
            <w:r>
              <w:rPr>
                <w:rFonts w:ascii="IBM Plex Sans" w:cs="IBM Plex Sans" w:eastAsia="IBM Plex Sans" w:hAnsi="IBM Plex Sans"/>
                <w:color w:val="334155"/>
                <w:sz w:val="19"/>
                <w:szCs w:val="19"/>
              </w:rPr>
              <w:t xml:space="preserve">NICE NG257 (2026)</w:t>
            </w:r>
          </w:p>
        </w:tc>
      </w:tr>
    </w:tbl>
    <w:p>
      <w:pPr>
        <w:spacing w:after="160"/>
      </w:pPr>
    </w:p>
    <w:p>
      <w:pPr>
        <w:spacing w:after="160"/>
      </w:pPr>
      <w:r>
        <w:rPr>
          <w:rFonts w:ascii="IBM Plex Sans" w:cs="IBM Plex Sans" w:eastAsia="IBM Plex Sans" w:hAnsi="IBM Plex Sans"/>
          <w:color w:val="334155"/>
          <w:sz w:val="21"/>
          <w:szCs w:val="21"/>
        </w:rPr>
        <w:t xml:space="preserve">Skala tingkat evidens dan derajat rekomendasi mengikuti format standar PNPK Kementerian Kesehatan, diselaraskan dengan penilaian GRADE yang digunakan pada sumber internasional yang dikutip.</w:t>
      </w:r>
    </w:p>
    <w:p>
      <w:pPr>
        <w:pStyle w:val="Heading1"/>
        <w:spacing w:after="160" w:before="320"/>
      </w:pPr>
      <w:r>
        <w:t xml:space="preserve">11. Indikator Medis</w:t>
      </w:r>
    </w:p>
    <w:p>
      <w:pPr>
        <w:pStyle w:val="ListParagraph"/>
        <w:numPr>
          <w:ilvl w:val="0"/>
          <w:numId w:val="1"/>
        </w:numPr>
        <w:spacing w:after="90"/>
        <w:rPr>
          <w:rFonts w:ascii="IBM Plex Sans" w:cs="IBM Plex Sans" w:eastAsia="IBM Plex Sans" w:hAnsi="IBM Plex Sans"/>
          <w:color w:val="334155"/>
          <w:sz w:val="21"/>
          <w:szCs w:val="21"/>
        </w:rPr>
      </w:pPr>
      <w:r>
        <w:t xml:space="preserve">Proporsi pasien dengan evaluasi dasar lengkap (anamnesis, pemeriksaan fisik, penunjang laboratorium dan ultrasonografi) tercapai pada kunjungan awal.</w:t>
      </w:r>
    </w:p>
    <w:p>
      <w:pPr>
        <w:pStyle w:val="ListParagraph"/>
        <w:numPr>
          <w:ilvl w:val="0"/>
          <w:numId w:val="1"/>
        </w:numPr>
        <w:spacing w:after="90"/>
        <w:rPr>
          <w:rFonts w:ascii="IBM Plex Sans" w:cs="IBM Plex Sans" w:eastAsia="IBM Plex Sans" w:hAnsi="IBM Plex Sans"/>
          <w:color w:val="334155"/>
          <w:sz w:val="21"/>
          <w:szCs w:val="21"/>
        </w:rPr>
      </w:pPr>
      <w:r>
        <w:t xml:space="preserve">Proporsi pasien dengan diagnosis etiologi kerja ditegakkan dalam 3 bulan sejak evaluasi awal.</w:t>
      </w:r>
    </w:p>
    <w:p>
      <w:pPr>
        <w:pStyle w:val="ListParagraph"/>
        <w:numPr>
          <w:ilvl w:val="0"/>
          <w:numId w:val="1"/>
        </w:numPr>
        <w:spacing w:after="90"/>
        <w:rPr>
          <w:rFonts w:ascii="IBM Plex Sans" w:cs="IBM Plex Sans" w:eastAsia="IBM Plex Sans" w:hAnsi="IBM Plex Sans"/>
          <w:color w:val="334155"/>
          <w:sz w:val="21"/>
          <w:szCs w:val="21"/>
        </w:rPr>
      </w:pPr>
      <w:r>
        <w:t xml:space="preserve">Tingkat kehamilan klinis dalam 6–12 bulan tata laksana lini pertama [DATA: rujuk laporan/registri resmi terbaru].</w:t>
      </w:r>
    </w:p>
    <w:p>
      <w:pPr>
        <w:pStyle w:val="ListParagraph"/>
        <w:numPr>
          <w:ilvl w:val="0"/>
          <w:numId w:val="1"/>
        </w:numPr>
        <w:spacing w:after="90"/>
        <w:rPr>
          <w:rFonts w:ascii="IBM Plex Sans" w:cs="IBM Plex Sans" w:eastAsia="IBM Plex Sans" w:hAnsi="IBM Plex Sans"/>
          <w:color w:val="334155"/>
          <w:sz w:val="21"/>
          <w:szCs w:val="21"/>
        </w:rPr>
      </w:pPr>
      <w:r>
        <w:t xml:space="preserve">Proporsi rujukan ke subspesialis Fertilitas dan Endokrinologi Reproduksi yang memenuhi kriteria rujukan pada bagian 7.4 dan dilakukan tepat waktu.</w:t>
      </w:r>
    </w:p>
    <w:p>
      <w:pPr>
        <w:pStyle w:val="Heading1"/>
        <w:spacing w:after="160" w:before="320"/>
      </w:pPr>
      <w:r>
        <w:t xml:space="preserve">12. Perbandingan dan Pengayaan Standar Internasional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5F5FF" w:val="clear"/>
            <w:tcMar>
              <w:top w:type="dxa" w:w="160"/>
              <w:left w:type="dxa" w:w="220"/>
              <w:bottom w:type="dxa" w:w="160"/>
              <w:right w:type="dxa" w:w="220"/>
            </w:tcMar>
          </w:tcPr>
          <w:p>
            <w:pPr>
              <w:spacing w:after="60"/>
            </w:pPr>
            <w:r>
              <w:rPr>
                <w:rFonts w:ascii="IBM Plex Mono" w:cs="IBM Plex Mono" w:eastAsia="IBM Plex Mono" w:hAnsi="IBM Plex Mono"/>
                <w:b/>
                <w:bCs/>
                <w:color w:val="B45309"/>
                <w:sz w:val="16"/>
                <w:szCs w:val="16"/>
              </w:rPr>
              <w:t xml:space="preserve">PENGAYAAN INTERNASIONAL</w:t>
            </w:r>
          </w:p>
          <w:p>
            <w:r>
              <w:rPr>
                <w:rFonts w:ascii="IBM Plex Sans" w:cs="IBM Plex Sans" w:eastAsia="IBM Plex Sans" w:hAnsi="IBM Plex Sans"/>
                <w:color w:val="334155"/>
                <w:sz w:val="21"/>
                <w:szCs w:val="21"/>
              </w:rPr>
              <w:t xml:space="preserve">Standar nasional (Kepkonsil) menetapkan cakupan kompetensi evaluasi awal infertilitas usia muda pada jenjang spesialis umum tanpa merinci algoritma laboratorium spesifik. WHO Guideline for the Prevention, Diagnosis and Treatment of Infertility (2025) menempatkan usia sebagai prediktor utama cadangan ovarium, dengan hitung folikel antral, AMH, atau FSH hari ke-2/3 sebagai pemeriksaan tambahan yang nilai prediktifnya di luar usia bersifat marginal; praktik di Indonesia mengikuti standar nasional dengan penyesuaian pemilihan modalitas terhadap ketersediaan fasilitas setempat.</w:t>
            </w:r>
          </w:p>
        </w:tc>
      </w:tr>
    </w:tbl>
    <w:p>
      <w:pPr>
        <w:spacing w:after="16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5F5FF" w:val="clear"/>
            <w:tcMar>
              <w:top w:type="dxa" w:w="160"/>
              <w:left w:type="dxa" w:w="220"/>
              <w:bottom w:type="dxa" w:w="160"/>
              <w:right w:type="dxa" w:w="220"/>
            </w:tcMar>
          </w:tcPr>
          <w:p>
            <w:pPr>
              <w:spacing w:after="60"/>
            </w:pPr>
            <w:r>
              <w:rPr>
                <w:rFonts w:ascii="IBM Plex Mono" w:cs="IBM Plex Mono" w:eastAsia="IBM Plex Mono" w:hAnsi="IBM Plex Mono"/>
                <w:b/>
                <w:bCs/>
                <w:color w:val="B45309"/>
                <w:sz w:val="16"/>
                <w:szCs w:val="16"/>
              </w:rPr>
              <w:t xml:space="preserve">PENGAYAAN INTERNASIONAL</w:t>
            </w:r>
          </w:p>
          <w:p>
            <w:r>
              <w:rPr>
                <w:rFonts w:ascii="IBM Plex Sans" w:cs="IBM Plex Sans" w:eastAsia="IBM Plex Sans" w:hAnsi="IBM Plex Sans"/>
                <w:color w:val="334155"/>
                <w:sz w:val="21"/>
                <w:szCs w:val="21"/>
              </w:rPr>
              <w:t xml:space="preserve">ASRM, dalam Definition of Infertility: A Committee Opinion (2023), memperluas definisi infertilitas mencakup kebutuhan intervensi medis untuk mencapai kehamilan yang berhasil terlepas dari status hubungan atau orientasi seksual; standar nasional (Kepkonsil) menetapkan definisi dan cakupan layanan sesuai konteks regulasi dan sosial-budaya kesehatan reproduksi Indonesia yang berlaku; praktik di Indonesia mengikuti standar nasional.</w:t>
            </w:r>
          </w:p>
        </w:tc>
      </w:tr>
    </w:tbl>
    <w:p>
      <w:pPr>
        <w:spacing w:after="160"/>
      </w:pPr>
    </w:p>
    <w:p>
      <w:pPr>
        <w:spacing w:after="160"/>
      </w:pPr>
      <w:r>
        <w:rPr>
          <w:rFonts w:ascii="IBM Plex Sans" w:cs="IBM Plex Sans" w:eastAsia="IBM Plex Sans" w:hAnsi="IBM Plex Sans"/>
          <w:color w:val="334155"/>
          <w:sz w:val="21"/>
          <w:szCs w:val="21"/>
        </w:rPr>
        <w:t xml:space="preserve">NICE NG257 (2026) — Fertility Problems: Assessment and Treatment, diterbitkan 31 Maret 2026 dan memperbarui sebagian besar isi CG156 — menegaskan agar pemeriksaan tanpa manfaat klinis terbukti, seperti uji antibodi antisperma dan uji fragmentasi DNA sperma rutin, tidak dilakukan secara rutin di luar indikasi spesifik, sejalan dengan prinsip evaluasi berbasis bukti yang diadopsi pada bagian Pemeriksaan Penunjang PPK ini. Pembaruan NG257 2026 mengeluarkan rekomendasi spesifik disfungsi hipotalamus-pituitari-ovarium (termasuk PMOS) dari cakupannya karena NICE tengah menyusun pedoman tersendiri untuk kondisi tersebut; PPK ini karenanya merujuk rekomendasi PMOS pada WHO Guideline for the Prevention, Diagnosis and Treatment of Infertility (2025).</w:t>
      </w:r>
    </w:p>
    <w:p>
      <w:pPr>
        <w:pStyle w:val="Heading1"/>
        <w:spacing w:after="160" w:before="320"/>
      </w:pPr>
      <w:r>
        <w:t xml:space="preserve">13. Kepustakaan</w:t>
      </w:r>
    </w:p>
    <w:p>
      <w:pPr>
        <w:spacing w:after="120"/>
        <w:ind w:left="360"/>
      </w:pPr>
      <w:r>
        <w:rPr>
          <w:rFonts w:ascii="IBM Plex Sans" w:cs="IBM Plex Sans" w:eastAsia="IBM Plex Sans" w:hAnsi="IBM Plex Sans"/>
          <w:b/>
          <w:bCs/>
          <w:color w:val="334155"/>
          <w:sz w:val="21"/>
          <w:szCs w:val="21"/>
        </w:rPr>
        <w:t xml:space="preserve">1. </w:t>
      </w: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 Lampiran Tabel 7, No. 59.</w:t>
      </w:r>
    </w:p>
    <w:p>
      <w:pPr>
        <w:spacing w:after="120"/>
        <w:ind w:left="360"/>
      </w:pPr>
      <w:r>
        <w:rPr>
          <w:rFonts w:ascii="IBM Plex Sans" w:cs="IBM Plex Sans" w:eastAsia="IBM Plex Sans" w:hAnsi="IBM Plex Sans"/>
          <w:b/>
          <w:bCs/>
          <w:color w:val="334155"/>
          <w:sz w:val="21"/>
          <w:szCs w:val="21"/>
        </w:rPr>
        <w:t xml:space="preserve">2. </w:t>
      </w:r>
      <w:r>
        <w:rPr>
          <w:rFonts w:ascii="IBM Plex Sans" w:cs="IBM Plex Sans" w:eastAsia="IBM Plex Sans" w:hAnsi="IBM Plex Sans"/>
          <w:color w:val="334155"/>
          <w:sz w:val="21"/>
          <w:szCs w:val="21"/>
        </w:rPr>
        <w:t xml:space="preserve">World Health Organization Guideline Development Group for Infertility. Guideline for the Prevention, Diagnosis and Treatment of Infertility. Geneva: World Health Organization; 2025. Tersedia dari: https://www.who.int/publications/i/item/9789240115774</w:t>
      </w:r>
    </w:p>
    <w:p>
      <w:pPr>
        <w:spacing w:after="120"/>
        <w:ind w:left="360"/>
      </w:pPr>
      <w:r>
        <w:rPr>
          <w:rFonts w:ascii="IBM Plex Sans" w:cs="IBM Plex Sans" w:eastAsia="IBM Plex Sans" w:hAnsi="IBM Plex Sans"/>
          <w:b/>
          <w:bCs/>
          <w:color w:val="334155"/>
          <w:sz w:val="21"/>
          <w:szCs w:val="21"/>
        </w:rPr>
        <w:t xml:space="preserve">3. </w:t>
      </w:r>
      <w:r>
        <w:rPr>
          <w:rFonts w:ascii="IBM Plex Sans" w:cs="IBM Plex Sans" w:eastAsia="IBM Plex Sans" w:hAnsi="IBM Plex Sans"/>
          <w:color w:val="334155"/>
          <w:sz w:val="21"/>
          <w:szCs w:val="21"/>
        </w:rPr>
        <w:t xml:space="preserve">Mburu G, Santesso N, Brignardello-Petersen R, et al.; World Health Organisation Guideline Development Group for Infertility. Recommendations from the WHO Guideline for the Prevention, Diagnosis, and Treatment of Infertility. Fertil Steril. 2026;125(5):880-894. doi:10.1016/j.fertnstert.2025.11.014</w:t>
      </w:r>
    </w:p>
    <w:p>
      <w:pPr>
        <w:spacing w:after="120"/>
        <w:ind w:left="360"/>
      </w:pPr>
      <w:r>
        <w:rPr>
          <w:rFonts w:ascii="IBM Plex Sans" w:cs="IBM Plex Sans" w:eastAsia="IBM Plex Sans" w:hAnsi="IBM Plex Sans"/>
          <w:b/>
          <w:bCs/>
          <w:color w:val="334155"/>
          <w:sz w:val="21"/>
          <w:szCs w:val="21"/>
        </w:rPr>
        <w:t xml:space="preserve">4. </w:t>
      </w:r>
      <w:r>
        <w:rPr>
          <w:rFonts w:ascii="IBM Plex Sans" w:cs="IBM Plex Sans" w:eastAsia="IBM Plex Sans" w:hAnsi="IBM Plex Sans"/>
          <w:color w:val="334155"/>
          <w:sz w:val="21"/>
          <w:szCs w:val="21"/>
        </w:rPr>
        <w:t xml:space="preserve">World Health Organization. Infertility [Internet]. Fact sheet. Geneva: World Health Organization; 2025 [diperbarui 28 November 2025]. Tersedia dari: https://www.who.int/news-room/fact-sheets/detail/infertility</w:t>
      </w:r>
    </w:p>
    <w:p>
      <w:pPr>
        <w:spacing w:after="120"/>
        <w:ind w:left="360"/>
      </w:pPr>
      <w:r>
        <w:rPr>
          <w:rFonts w:ascii="IBM Plex Sans" w:cs="IBM Plex Sans" w:eastAsia="IBM Plex Sans" w:hAnsi="IBM Plex Sans"/>
          <w:b/>
          <w:bCs/>
          <w:color w:val="334155"/>
          <w:sz w:val="21"/>
          <w:szCs w:val="21"/>
        </w:rPr>
        <w:t xml:space="preserve">5. </w:t>
      </w:r>
      <w:r>
        <w:rPr>
          <w:rFonts w:ascii="IBM Plex Sans" w:cs="IBM Plex Sans" w:eastAsia="IBM Plex Sans" w:hAnsi="IBM Plex Sans"/>
          <w:color w:val="334155"/>
          <w:sz w:val="21"/>
          <w:szCs w:val="21"/>
        </w:rPr>
        <w:t xml:space="preserve">World Health Organization. WHO Laboratory Manual for the Examination and Processing of Human Semen. Edisi ke-6. Geneva: World Health Organization; 2021. Tersedia dari: https://www.who.int/publications/i/item/9789240030787</w:t>
      </w:r>
    </w:p>
    <w:p>
      <w:pPr>
        <w:spacing w:after="120"/>
        <w:ind w:left="360"/>
      </w:pPr>
      <w:r>
        <w:rPr>
          <w:rFonts w:ascii="IBM Plex Sans" w:cs="IBM Plex Sans" w:eastAsia="IBM Plex Sans" w:hAnsi="IBM Plex Sans"/>
          <w:b/>
          <w:bCs/>
          <w:color w:val="334155"/>
          <w:sz w:val="21"/>
          <w:szCs w:val="21"/>
        </w:rPr>
        <w:t xml:space="preserve">6. </w:t>
      </w:r>
      <w:r>
        <w:rPr>
          <w:rFonts w:ascii="IBM Plex Sans" w:cs="IBM Plex Sans" w:eastAsia="IBM Plex Sans" w:hAnsi="IBM Plex Sans"/>
          <w:color w:val="334155"/>
          <w:sz w:val="21"/>
          <w:szCs w:val="21"/>
        </w:rPr>
        <w:t xml:space="preserve">Practice Committee of the American Society for Reproductive Medicine. Definition of Infertility: A Committee Opinion. Fertil Steril. 2023;120(6):1170. Tersedia dari: https://www.asrm.org/practice-guidance/practice-committee-documents/definition-of-infertility/</w:t>
      </w:r>
    </w:p>
    <w:p>
      <w:pPr>
        <w:spacing w:after="120"/>
        <w:ind w:left="360"/>
      </w:pPr>
      <w:r>
        <w:rPr>
          <w:rFonts w:ascii="IBM Plex Sans" w:cs="IBM Plex Sans" w:eastAsia="IBM Plex Sans" w:hAnsi="IBM Plex Sans"/>
          <w:b/>
          <w:bCs/>
          <w:color w:val="334155"/>
          <w:sz w:val="21"/>
          <w:szCs w:val="21"/>
        </w:rPr>
        <w:t xml:space="preserve">7. </w:t>
      </w:r>
      <w:r>
        <w:rPr>
          <w:rFonts w:ascii="IBM Plex Sans" w:cs="IBM Plex Sans" w:eastAsia="IBM Plex Sans" w:hAnsi="IBM Plex Sans"/>
          <w:color w:val="334155"/>
          <w:sz w:val="21"/>
          <w:szCs w:val="21"/>
        </w:rPr>
        <w:t xml:space="preserve">National Institute for Health and Care Excellence. Fertility Problems: Assessment and Treatment (NG257). London: National Institute for Health and Care Excellence; 2026 [diterbitkan 31 Maret 2026]. Tersedia dari: https://www.nice.org.uk/guidance/ng257</w:t>
      </w:r>
    </w:p>
    <w:p>
      <w:pPr>
        <w:spacing w:after="120"/>
        <w:ind w:left="360"/>
      </w:pPr>
      <w:r>
        <w:rPr>
          <w:rFonts w:ascii="IBM Plex Sans" w:cs="IBM Plex Sans" w:eastAsia="IBM Plex Sans" w:hAnsi="IBM Plex Sans"/>
          <w:b/>
          <w:bCs/>
          <w:color w:val="334155"/>
          <w:sz w:val="21"/>
          <w:szCs w:val="21"/>
        </w:rPr>
        <w:t xml:space="preserve">8. </w:t>
      </w:r>
      <w:r>
        <w:rPr>
          <w:rFonts w:ascii="IBM Plex Sans" w:cs="IBM Plex Sans" w:eastAsia="IBM Plex Sans" w:hAnsi="IBM Plex Sans"/>
          <w:color w:val="334155"/>
          <w:sz w:val="21"/>
          <w:szCs w:val="21"/>
        </w:rPr>
        <w:t xml:space="preserve">Teede HJ, et al. Polyendocrine Metabolic Ovarian Syndrome, the New Name for Polycystic Ovary Syndrome: A Multistep Global Consensus Process. Lancet. 2026. doi:10.1016/S0140-6736(26)00717-8</w:t>
      </w:r>
    </w:p>
    <w:p>
      <w:pPr>
        <w:spacing w:after="120"/>
        <w:ind w:left="360"/>
      </w:pPr>
      <w:r>
        <w:rPr>
          <w:rFonts w:ascii="IBM Plex Sans" w:cs="IBM Plex Sans" w:eastAsia="IBM Plex Sans" w:hAnsi="IBM Plex Sans"/>
          <w:b/>
          <w:bCs/>
          <w:color w:val="334155"/>
          <w:sz w:val="21"/>
          <w:szCs w:val="21"/>
        </w:rPr>
        <w:t xml:space="preserve">9. </w:t>
      </w:r>
      <w:r>
        <w:rPr>
          <w:rFonts w:ascii="IBM Plex Sans" w:cs="IBM Plex Sans" w:eastAsia="IBM Plex Sans" w:hAnsi="IBM Plex Sans"/>
          <w:color w:val="334155"/>
          <w:sz w:val="21"/>
          <w:szCs w:val="21"/>
        </w:rPr>
        <w:t xml:space="preserve">Boivin J, Takefman J, Braverman A. The Fertility Quality of Life (FertiQoL) Tool: Development and General Psychometric Properties. Hum Reprod. 2011;26(8):2084-2091. doi:10.1093/humrep/der171</w:t>
      </w:r>
    </w:p>
    <w:p>
      <w:pPr>
        <w:spacing w:after="160"/>
      </w:pPr>
      <w:r>
        <w:rPr>
          <w:rFonts w:ascii="IBM Plex Sans" w:cs="IBM Plex Sans" w:eastAsia="IBM Plex Sans" w:hAnsi="IBM Plex Sans"/>
          <w:color w:val="334155"/>
          <w:sz w:val="21"/>
          <w:szCs w:val="21"/>
        </w:rPr>
        <w:t xml:space="preserve">Rujukan silang: PPK ini adalah pendalaman operasional dari Buku Tematik B8 — Gangguan Haid, Endokrinologi Reproduksi Dasar, dan Infertilitas Dasar. Kasus yang memenuhi kriteria pada bagian 7.4 dirujuk ke jenjang PPK subspesialis Fertilitas dan Endokrinologi Reproduksi untuk infertilitas dengan durasi 36 bulan atau lebih, atau usia 35 tahun atau lebih.</w:t>
      </w:r>
    </w:p>
    <w:p>
      <w:pPr>
        <w:pStyle w:val="Heading1"/>
        <w:spacing w:after="160" w:before="320"/>
      </w:pPr>
      <w:r>
        <w:t xml:space="preserve">Glosarium</w:t>
      </w:r>
    </w:p>
    <w:p>
      <w:pPr>
        <w:spacing w:after="160"/>
      </w:pPr>
      <w:r>
        <w:rPr>
          <w:rFonts w:ascii="IBM Plex Sans" w:cs="IBM Plex Sans" w:eastAsia="IBM Plex Sans" w:hAnsi="IBM Plex Sans"/>
          <w:color w:val="334155"/>
          <w:sz w:val="21"/>
          <w:szCs w:val="21"/>
        </w:rPr>
        <w:t xml:space="preserve">Daftar istilah berikut disusun dwibahasa (Indonesia — Inggris) untuk memudahkan penelusuran silang dengan literatur internasional yang dikutip pada PPK ini.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4626"/>
      </w:tblGrid>
      <w:tr>
        <w:trPr>
          <w:tblHeader/>
        </w:trPr>
        <w:tc>
          <w:tcPr>
            <w:tcW w:type="dxa" w:w="22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 (Indonesia)</w:t>
            </w:r>
          </w:p>
        </w:tc>
        <w:tc>
          <w:tcPr>
            <w:tcW w:type="dxa" w:w="22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 (English)</w:t>
            </w:r>
          </w:p>
        </w:tc>
        <w:tc>
          <w:tcPr>
            <w:tcW w:type="dxa" w:w="4626"/>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Definisi Operasional</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Infertility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Penyakit sistem reproduksi berupa kegagalan mencapai kehamilan klinis setelah 12 bulan atau lebih hubungan seksual teratur tanpa kontrasepsi.</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 primer</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Primary infertility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 pada wanita yang belum pernah mengalami kehamilan klinis sebelumnya.</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 sekunder</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Secondary infertility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 pada wanita yang pernah mengalami kehamilan klinis sebelumnya, termasuk kehamilan yang tidak berlanjut.</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Masa subur</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Fertile window</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Rentang hari dalam siklus haid dengan peluang tertinggi terjadinya konsepsi bila terjadi hubungan seksual.</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Ovulasi</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Ovulation</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Pelepasan sel telur matang dari folikel ovarium.</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Cadangan ovarium</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Ovarian reserve</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Perkiraan jumlah dan kualitas sel telur yang tersisa pada ovarium seorang wanita.</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Hormon anti-Müllerian (AMH)</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Anti-Müllerian hormone</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Penanda hormon yang dapat digunakan sebagai salah satu pemeriksaan tambahan cadangan ovarium.</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Hitung folikel antral</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Antral follicle count (AFC)</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Penghitungan jumlah folikel antral pada kedua ovarium melalui ultrasonografi transvaginal sebagai salah satu pemeriksaan tambahan cadangan ovarium.</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Histerosalpingografi (HSG)</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Hysterosalpingography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Pemeriksaan radiologi dengan media kontras untuk menilai patensi tuba falopi dan bentuk kavum uteri.</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Sonohisterografi kontras (HyCoSy)</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Hysterosalpingo contrast sonography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Pemeriksaan ultrasonografi dengan media kontras untuk menilai patensi tuba falopi, sebagai alternatif HSG.</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Sonohisterografi infus salin (SIS)</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Saline infusion sonohysterography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Pemeriksaan ultrasonografi dengan infus cairan salin ke kavum uteri untuk menilai kelainan intrakavum.</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Induksi ovulasi</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Ovulation induction</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Tata laksana farmakologis untuk merangsang pematangan dan pelepasan sel telur pada wanita dengan gangguan ovulasi.</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Inseminasi intrauterin (IUI)</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Intrauterine insemination</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Prosedur memasukkan sperma yang telah diproses langsung ke dalam kavum uteri untuk meningkatkan peluang konsepsi.</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Teknologi reproduksi berbantu</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Assisted reproductive technology (ART)</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Kelompok prosedur medis untuk membantu konsepsi, termasuk fertilisasi in vitro dan injeksi sperma intrasitoplasma.</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Fertilisasi in vitro (IVF)</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In vitro fertilization</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Prosedur pembuahan sel telur oleh sperma di luar tubuh, dengan embrio yang dihasilkan dipindahkan ke kavum uteri.</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Injeksi sperma intrasitoplasma (ICSI)</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Intracytoplasmic sperm injection</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Prosedur fertilisasi in vitro dengan penyuntikan satu sel sperma langsung ke dalam sel telur.</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PMOS (dahulu PCOS)</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Polyendocrine metabolic ovarian syndrome (formerly PCOS)</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Gangguan hormonal-metabolik yang dapat menyebabkan gangguan ovulasi dan infertilitas; nomenklatur diperbarui secara konsensus internasional pada Mei 2026 dari sindrom ovarium polikistik.</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Endometriosis</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Endometriosis</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Kondisi tumbuhnya jaringan menyerupai endometrium di luar kavum uteri, yang dapat memengaruhi fertilitas.</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Analisis semen</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Semen analysis</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Pemeriksaan laboratorium untuk menilai jumlah, motilitas, morfologi, dan parameter lain sel sperma pada pasangan pria.</w:t>
            </w:r>
          </w:p>
        </w:tc>
      </w:tr>
      <w:tr>
        <w:tc>
          <w:tcPr>
            <w:tcW w:type="dxa" w:w="2200"/>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 tidak dapat dijelaskan</w:t>
            </w:r>
          </w:p>
        </w:tc>
        <w:tc>
          <w:tcPr>
            <w:tcW w:type="dxa" w:w="2200"/>
            <w:tcMar>
              <w:top w:type="dxa" w:w="90"/>
              <w:left w:type="dxa" w:w="120"/>
              <w:bottom w:type="dxa" w:w="90"/>
              <w:right w:type="dxa" w:w="120"/>
            </w:tcMar>
          </w:tcPr>
          <w:p>
            <w:r>
              <w:rPr>
                <w:rFonts w:ascii="IBM Plex Sans" w:cs="IBM Plex Sans" w:eastAsia="IBM Plex Sans" w:hAnsi="IBM Plex Sans"/>
                <w:i/>
                <w:iCs/>
                <w:color w:val="334155"/>
                <w:sz w:val="19"/>
                <w:szCs w:val="19"/>
              </w:rPr>
              <w:t xml:space="preserve">Unexplained infertility</w:t>
            </w:r>
          </w:p>
        </w:tc>
        <w:tc>
          <w:tcPr>
            <w:tcW w:type="dxa" w:w="4626"/>
            <w:tcMar>
              <w:top w:type="dxa" w:w="90"/>
              <w:left w:type="dxa" w:w="120"/>
              <w:bottom w:type="dxa" w:w="90"/>
              <w:right w:type="dxa" w:w="120"/>
            </w:tcMar>
          </w:tcPr>
          <w:p>
            <w:r>
              <w:rPr>
                <w:rFonts w:ascii="IBM Plex Sans" w:cs="IBM Plex Sans" w:eastAsia="IBM Plex Sans" w:hAnsi="IBM Plex Sans"/>
                <w:i w:val="false"/>
                <w:iCs w:val="false"/>
                <w:color w:val="334155"/>
                <w:sz w:val="19"/>
                <w:szCs w:val="19"/>
              </w:rPr>
              <w:t xml:space="preserve">Infertilitas pada pasangan yang seluruh evaluasi dasarnya (ovulasi, patensi tuba, kavum uteri, analisis semen) berada dalam batas normal.</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4"/>
        <w:szCs w:val="14"/>
      </w:rPr>
      <w:t xml:space="preserve">PPK No. 59 dari 73  •  Halaman </w:t>
    </w:r>
    <w:r>
      <w:rPr>
        <w:rFonts w:ascii="IBM Plex Mono" w:cs="IBM Plex Mono" w:eastAsia="IBM Plex Mono" w:hAnsi="IBM Plex Mono"/>
        <w:color w:val="64748B"/>
        <w:sz w:val="14"/>
        <w:szCs w:val="14"/>
      </w:rPr>
      <w:fldChar w:fldCharType="begin"/>
      <w:instrText xml:space="preserve">PAGE</w:instrText>
      <w:fldChar w:fldCharType="separate"/>
      <w:fldChar w:fldCharType="end"/>
    </w:r>
    <w:r>
      <w:rPr>
        <w:rFonts w:ascii="IBM Plex Mono" w:cs="IBM Plex Mono" w:eastAsia="IBM Plex Mono" w:hAnsi="IBM Plex Mono"/>
        <w:color w:val="64748B"/>
        <w:sz w:val="14"/>
        <w:szCs w:val="14"/>
      </w:rPr>
      <w:t xml:space="preserve"> / </w:t>
    </w:r>
    <w:r>
      <w:rPr>
        <w:rFonts w:ascii="IBM Plex Mono" w:cs="IBM Plex Mono" w:eastAsia="IBM Plex Mono" w:hAnsi="IBM Plex Mono"/>
        <w:color w:val="64748B"/>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space="4"/>
      </w:pBdr>
      <w:tabs>
        <w:tab w:val="right" w:pos="9026"/>
      </w:tabs>
    </w:pPr>
    <w:r>
      <w:rPr>
        <w:rFonts w:ascii="IBM Plex Mono" w:cs="IBM Plex Mono" w:eastAsia="IBM Plex Mono" w:hAnsi="IBM Plex Mono"/>
        <w:color w:val="64748B"/>
        <w:sz w:val="14"/>
        <w:szCs w:val="14"/>
      </w:rPr>
      <w:t xml:space="preserve">Infertilitas (Usia &lt;35 Tahun, Durasi &lt;36 Bulan)</w:t>
    </w:r>
    <w:r>
      <w:rPr>
        <w:rFonts w:ascii="IBM Plex Mono" w:cs="IBM Plex Mono" w:eastAsia="IBM Plex Mono" w:hAnsi="IBM Plex Mono"/>
        <w:color w:val="64748B"/>
        <w:sz w:val="14"/>
        <w:szCs w:val="14"/>
      </w:rPr>
      <w:t xml:space="preserve">	PPK-059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45309" w:sz="6" w:space="4"/>
      </w:pBdr>
      <w:spacing w:after="16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00"/>
    </w:pPr>
    <w:rPr>
      <w:rFonts w:ascii="Source Serif 4" w:cs="Source Serif 4" w:eastAsia="Source Serif 4" w:hAnsi="Source Serif 4"/>
      <w:b/>
      <w:bCs/>
      <w:color w:val="33415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2026-08-18T04:16:10.815Z</dcterms:created>
  <dcterms:modified xsi:type="dcterms:W3CDTF">2026-08-18T04:16:10.828Z</dcterms:modified>
</cp:coreProperties>
</file>

<file path=docProps/custom.xml><?xml version="1.0" encoding="utf-8"?>
<Properties xmlns="http://schemas.openxmlformats.org/officeDocument/2006/custom-properties" xmlns:vt="http://schemas.openxmlformats.org/officeDocument/2006/docPropsVTypes"/>
</file>