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0"/>
      </w:pPr>
      <w:r>
        <w:t xml:space="preserve"/>
      </w:r>
    </w:p>
    <w:p>
      <w:pPr>
        <w:spacing w:after="60"/>
        <w:jc w:val="center"/>
      </w:pPr>
      <w:r>
        <w:rPr>
          <w:rFonts w:ascii="IBM Plex Mono" w:cs="IBM Plex Mono" w:eastAsia="IBM Plex Mono" w:hAnsi="IBM Plex Mono"/>
          <w:b/>
          <w:bCs/>
          <w:color w:val="B45309"/>
          <w:sz w:val="22"/>
          <w:szCs w:val="22"/>
        </w:rPr>
        <w:t xml:space="preserve">PANDUAN PRAKTIK KLINIS (PPK)</w:t>
      </w:r>
    </w:p>
    <w:p>
      <w:pPr>
        <w:spacing w:after="60"/>
        <w:jc w:val="center"/>
      </w:pPr>
      <w:r>
        <w:rPr>
          <w:rFonts w:ascii="IBM Plex Mono" w:cs="IBM Plex Mono" w:eastAsia="IBM Plex Mono" w:hAnsi="IBM Plex Mono"/>
          <w:color w:val="334155"/>
          <w:sz w:val="20"/>
          <w:szCs w:val="20"/>
        </w:rPr>
        <w:t xml:space="preserve">PPK-060 — Dokumen 60 dari 73</w:t>
      </w:r>
    </w:p>
    <w:p>
      <w:pPr>
        <w:spacing w:after="480"/>
      </w:pPr>
      <w:r>
        <w:t xml:space="preserve"/>
      </w:r>
    </w:p>
    <w:p>
      <w:pPr>
        <w:spacing w:after="120"/>
        <w:jc w:val="center"/>
      </w:pPr>
      <w:r>
        <w:rPr>
          <w:rFonts w:ascii="Source Serif 4" w:cs="Source Serif 4" w:eastAsia="Source Serif 4" w:hAnsi="Source Serif 4"/>
          <w:b/>
          <w:bCs/>
          <w:color w:val="4F46E5"/>
          <w:sz w:val="48"/>
          <w:szCs w:val="48"/>
        </w:rPr>
        <w:t xml:space="preserve">Menopause (Peri/Post) Sederhana</w:t>
      </w:r>
    </w:p>
    <w:p>
      <w:pPr>
        <w:spacing w:after="400"/>
        <w:jc w:val="center"/>
      </w:pPr>
      <w:r>
        <w:rPr>
          <w:rFonts w:ascii="Source Serif 4" w:cs="Source Serif 4" w:eastAsia="Source Serif 4" w:hAnsi="Source Serif 4"/>
          <w:i/>
          <w:iCs/>
          <w:color w:val="3730A3"/>
          <w:sz w:val="28"/>
          <w:szCs w:val="28"/>
        </w:rPr>
        <w:t xml:space="preserve">Simple Menopause (Peri/Post)</w:t>
      </w:r>
    </w:p>
    <w:p>
      <w:pPr>
        <w:spacing w:after="60"/>
        <w:jc w:val="center"/>
      </w:pPr>
      <w:r>
        <w:rPr>
          <w:rFonts w:ascii="IBM Plex Mono" w:cs="IBM Plex Mono" w:eastAsia="IBM Plex Mono" w:hAnsi="IBM Plex Mono"/>
          <w:color w:val="334155"/>
          <w:sz w:val="20"/>
          <w:szCs w:val="20"/>
        </w:rPr>
        <w:t xml:space="preserve">ICD-10 N95.1   |   ICD-11 GA30.0</w:t>
      </w:r>
    </w:p>
    <w:p>
      <w:pPr>
        <w:spacing w:after="700"/>
        <w:jc w:val="center"/>
      </w:pPr>
      <w:r>
        <w:rPr>
          <w:rFonts w:ascii="IBM Plex Sans" w:cs="IBM Plex Sans" w:eastAsia="IBM Plex Sans" w:hAnsi="IBM Plex Sans"/>
          <w:i/>
          <w:iCs/>
          <w:color w:val="334155"/>
          <w:sz w:val="20"/>
          <w:szCs w:val="20"/>
        </w:rPr>
        <w:t xml:space="preserve">Gejala menopause ringan</w:t>
      </w:r>
    </w:p>
    <w:p>
      <w:pPr>
        <w:spacing w:after="40"/>
        <w:jc w:val="center"/>
      </w:pPr>
      <w:r>
        <w:rPr>
          <w:rFonts w:ascii="IBM Plex Sans" w:cs="IBM Plex Sans" w:eastAsia="IBM Plex Sans" w:hAnsi="IBM Plex Sans"/>
          <w:b/>
          <w:bCs/>
          <w:color w:val="1E293B"/>
          <w:sz w:val="20"/>
          <w:szCs w:val="20"/>
        </w:rPr>
        <w:t xml:space="preserve">Divisi Fertilitas dan Endokrinologi Reproduksi — Departemen Obstetri dan Ginekologi</w:t>
      </w:r>
    </w:p>
    <w:p>
      <w:pPr>
        <w:spacing w:after="40"/>
        <w:jc w:val="center"/>
      </w:pPr>
      <w:r>
        <w:rPr>
          <w:rFonts w:ascii="IBM Plex Sans" w:cs="IBM Plex Sans" w:eastAsia="IBM Plex Sans" w:hAnsi="IBM Plex Sans"/>
          <w:color w:val="334155"/>
          <w:sz w:val="18"/>
          <w:szCs w:val="18"/>
        </w:rPr>
        <w:t xml:space="preserve">Rujukan silang: Buku Tematik B8 — Gangguan Haid, Endokrinologi Reproduksi Dasar, dan Infertilitas Dasar</w:t>
      </w:r>
    </w:p>
    <w:p>
      <w:pPr>
        <w:spacing w:after="40"/>
        <w:jc w:val="center"/>
      </w:pPr>
      <w:r>
        <w:rPr>
          <w:rFonts w:ascii="IBM Plex Sans" w:cs="IBM Plex Sans" w:eastAsia="IBM Plex Sans" w:hAnsi="IBM Plex Sans"/>
          <w:color w:val="334155"/>
          <w:sz w:val="18"/>
          <w:szCs w:val="18"/>
        </w:rPr>
        <w:t xml:space="preserve">Divisi Pengampu: Fertilitas dan Endokrinologi Reproduksi</w:t>
      </w:r>
    </w:p>
    <w:p>
      <w:pPr>
        <w:spacing w:after="40"/>
        <w:jc w:val="center"/>
      </w:pPr>
      <w:r>
        <w:rPr>
          <w:rFonts w:ascii="IBM Plex Sans" w:cs="IBM Plex Sans" w:eastAsia="IBM Plex Sans" w:hAnsi="IBM Plex Sans"/>
          <w:color w:val="64748B"/>
          <w:sz w:val="16"/>
          <w:szCs w:val="16"/>
        </w:rPr>
        <w:t xml:space="preserve">Keputusan Ketua Konsil Kesehatan Indonesia No. HK.01.02/KKI/1318/2026 tentang Standar Kompetensi Dokter Spesialis dan Subspesialis Bidang Obstetri dan Ginekologi, Tabel 7 No. 60</w:t>
      </w:r>
    </w:p>
    <w:p>
      <w:pPr>
        <w:pBdr>
          <w:top w:val="single" w:color="CBD5E1" w:sz="4" w:space="8"/>
        </w:pBdr>
        <w:spacing w:after="40" w:before="560"/>
        <w:jc w:val="center"/>
      </w:pPr>
      <w:r>
        <w:t xml:space="preserve"/>
      </w:r>
    </w:p>
    <w:p>
      <w:pPr>
        <w:spacing w:after="20" w:before="200"/>
        <w:jc w:val="center"/>
      </w:pPr>
      <w:r>
        <w:rPr>
          <w:rFonts w:ascii="IBM Plex Sans" w:cs="IBM Plex Sans" w:eastAsia="IBM Plex Sans" w:hAnsi="IBM Plex Sans"/>
          <w:b/>
          <w:bCs/>
          <w:color w:val="1E293B"/>
          <w:sz w:val="20"/>
          <w:szCs w:val="20"/>
        </w:rPr>
        <w:t xml:space="preserve">Dr.dr. Budi Siswanto, Sp.OG., Subsp.Obginsos., SH., S.Kom.</w:t>
      </w:r>
    </w:p>
    <w:p>
      <w:pPr>
        <w:spacing w:after="20"/>
        <w:jc w:val="center"/>
      </w:pPr>
      <w:r>
        <w:rPr>
          <w:rFonts w:ascii="IBM Plex Sans" w:cs="IBM Plex Sans" w:eastAsia="IBM Plex Sans" w:hAnsi="IBM Plex Sans"/>
          <w:color w:val="334155"/>
          <w:sz w:val="18"/>
          <w:szCs w:val="18"/>
        </w:rPr>
        <w:t xml:space="preserve">Perpustakaan Digital ABBA</w:t>
      </w:r>
    </w:p>
    <w:p>
      <w:pPr>
        <w:spacing w:after="20"/>
        <w:jc w:val="center"/>
      </w:pPr>
      <w:r>
        <w:rPr>
          <w:rFonts w:ascii="IBM Plex Sans" w:cs="IBM Plex Sans" w:eastAsia="IBM Plex Sans" w:hAnsi="IBM Plex Sans"/>
          <w:color w:val="334155"/>
          <w:sz w:val="18"/>
          <w:szCs w:val="18"/>
        </w:rPr>
        <w:t xml:space="preserve">Jl. Kerinci Raya No. 9, Malang 65138</w:t>
      </w:r>
    </w:p>
    <w:p>
      <w:pPr>
        <w:spacing w:after="0"/>
        <w:jc w:val="center"/>
      </w:pPr>
      <w:r>
        <w:rPr>
          <w:rFonts w:ascii="IBM Plex Mono" w:cs="IBM Plex Mono" w:eastAsia="IBM Plex Mono" w:hAnsi="IBM Plex Mono"/>
          <w:color w:val="64748B"/>
          <w:sz w:val="16"/>
          <w:szCs w:val="16"/>
        </w:rPr>
        <w:t xml:space="preserve">Edisi Agustus 2026</w:t>
      </w:r>
    </w:p>
    <w:p>
      <w:r>
        <w:br w:type="page"/>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1E293B"/>
          <w:sz w:val="21"/>
          <w:szCs w:val="21"/>
        </w:rPr>
        <w:t xml:space="preserve">PPK ini merupakan turunan operasional dari Bab Menopause dan Transisi Perimenopause, Buku Tematik B8 — Gangguan Haid, Endokrinologi Reproduksi Dasar, dan Infertilitas Dasar, disusun berdasarkan entri No. 60 Tabel 7 Kepkonsil No. HK.01.02/KKI/1318/2026.</w:t>
      </w:r>
    </w:p>
    <w:p>
      <w:pPr>
        <w:spacing w:after="160" w:line="300"/>
      </w:pPr>
      <w:r>
        <w:rPr>
          <w:rFonts w:ascii="IBM Plex Sans" w:cs="IBM Plex Sans" w:eastAsia="IBM Plex Sans" w:hAnsi="IBM Plex Sans"/>
          <w:color w:val="1E293B"/>
          <w:sz w:val="21"/>
          <w:szCs w:val="21"/>
        </w:rPr>
        <w:t xml:space="preserve">Menopause (peri/post) sederhana atau simple menopause (peri/post) adalah fase transisi hingga berhentinya menstruasi secara permanen akibat hilangnya aktivitas folikulogenesis ovarium, yang dikonfirmasi secara retrospektif setelah 12 bulan berturut-turut amenore tanpa penyebab patologis atau fisiologis lain (mis. kehamilan, laktasi). Istilah "sederhana" pada tata nama Tabel 7 Kepkonsil menunjukkan populasi sasaran dengan gejala menopause ringan hingga sedang, tanpa komorbiditas ginekologis kompleks, tanpa perdarahan uterus abnormal yang mencurigakan keganasan, dan tanpa indikasi kegagalan ovarium prematur (usia &lt;40 tahun).</w:t>
      </w:r>
    </w:p>
    <w:p>
      <w:pPr>
        <w:spacing w:after="160" w:line="300"/>
      </w:pPr>
      <w:r>
        <w:rPr>
          <w:rFonts w:ascii="IBM Plex Sans" w:cs="IBM Plex Sans" w:eastAsia="IBM Plex Sans" w:hAnsi="IBM Plex Sans"/>
          <w:color w:val="1E293B"/>
          <w:sz w:val="21"/>
          <w:szCs w:val="21"/>
        </w:rPr>
        <w:t xml:space="preserve">Secara patofisiologis, transisi menopause terjadi akibat penipisan progresif cadangan folikel ovarium seiring bertambahnya usia, yang menurunkan produksi estradiol dan inhibin B sehingga terjadi peningkatan kompensatorik hormon perangsang folikel (FSH) melalui mekanisme umpan balik negatif pada aksis hipotalamus-hipofisis-ovarium. Ketidakstabilan pusat termoregulasi hipotalamus akibat penurunan estrogen mendasari timbulnya gejala vasomotor, sementara hipoestrogenisme pada jaringan target genitourinari mendasari sindrom genitourinari menopause (genitourinary syndrome of menopause/GSM).</w:t>
      </w:r>
    </w:p>
    <w:p>
      <w:pPr>
        <w:spacing w:after="160" w:line="300"/>
      </w:pPr>
      <w:r>
        <w:rPr>
          <w:rFonts w:ascii="IBM Plex Sans" w:cs="IBM Plex Sans" w:eastAsia="IBM Plex Sans" w:hAnsi="IBM Plex Sans"/>
          <w:color w:val="1E293B"/>
          <w:sz w:val="21"/>
          <w:szCs w:val="21"/>
        </w:rPr>
        <w:t xml:space="preserve">Perimenopause (masa transisi menopause) mencakup periode sejak muncul variabilitas siklus haid akibat penurunan cadangan folikel ovarium hingga 12 bulan pertama pascamenopause, sedangkan pascamenopause (postmenopause) adalah periode setelah titik menopause tersebut terlampaui. Rerata usia menopause alami secara global berada pada rentang 45-55 tahun; menopause pada usia &lt;40 tahun dikategorikan sebagai insufisiensi ovarium prematur dan bukan cakupan PPK ini (dirujuk ke subspesialis Fertilitas dan Endokrinologi Reproduksi, lihat bagian 7.4). [DATA: rujuk laporan/registri resmi terbaru — mis. Kemenkes, BKKBN, POGI — untuk rerata usia menopause spesifik populasi Indonesia].</w:t>
      </w:r>
    </w:p>
    <w:p>
      <w:pPr>
        <w:spacing w:after="160" w:line="300"/>
      </w:pPr>
      <w:r>
        <w:rPr>
          <w:rFonts w:ascii="IBM Plex Sans" w:cs="IBM Plex Sans" w:eastAsia="IBM Plex Sans" w:hAnsi="IBM Plex Sans"/>
          <w:color w:val="1E293B"/>
          <w:sz w:val="21"/>
          <w:szCs w:val="21"/>
        </w:rPr>
        <w:t xml:space="preserve">Tahapan reproduksi wanita dari masa reproduktif hingga pascamenopause secara internasional diacu menggunakan sistem Stages of Reproductive Aging Workshop +10 (STRAW+10), yang membagi masa transisi menjadi stadium transisi awal (Stadium -2), transisi akhir (Stadium -1), dan pascamenopause dini (Stadium +1) hingga lanjut (Stadium +2), berdasarkan pola perubahan siklus haid dan penanda endokrin.</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3000"/>
        <w:gridCol w:w="3000"/>
      </w:tblGrid>
      <w:tr>
        <w:trPr>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Stadium STRAW+10</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Penanda Utama</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Karakteristik Klinis</w:t>
            </w:r>
          </w:p>
        </w:tc>
      </w:tr>
      <w:tr>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Transisi awal (Stadium -2)</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Variabilitas siklus haid</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Perbedaan panjang siklus ≥7 hari dibandingkan siklus sebelumnya, berulang dalam rentang siklus berturut-turut</w:t>
            </w:r>
          </w:p>
        </w:tc>
      </w:tr>
      <w:tr>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Transisi akhir (Stadium -1)</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Amenore memanjang</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Interval amenore ≥60 hari; gejala vasomotor umumnya paling menonjol pada stadium ini</w:t>
            </w:r>
          </w:p>
        </w:tc>
      </w:tr>
      <w:tr>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Pascamenopause dini (Stadium +1)</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12 bulan pasca haid terakhir hingga sekitar 6-8 tahun</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Gejala vasomotor dan genitourinari masih dapat menonjol; stabilisasi hormonal bertahap</w:t>
            </w:r>
          </w:p>
        </w:tc>
      </w:tr>
      <w:tr>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Pascamenopause lanjut (Stadium +2)</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Tahun-tahun setelah Stadium +1</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Gejala vasomotor umumnya mereda; gejala genitourinari (GSM) cenderung menetap atau memburuk tanpa tata laksana</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78350F"/>
                <w:sz w:val="20"/>
                <w:szCs w:val="20"/>
              </w:rPr>
              <w:t xml:space="preserve">Kepkonsil No. HK.01.02/KKI/1318/2026, Tabel 7 No. 60: Menopause (peri/post) sederhana / Simple menopause (peri/post) — ICD-10 N95.1, ICD-11 GA30.0, Keterangan/Populasi: gejala menopause ringan. PPK ini adalah pendalaman operasional Buku Tematik B8.</w:t>
            </w:r>
          </w:p>
        </w:tc>
      </w:tr>
    </w:tbl>
    <w:p>
      <w:pPr>
        <w:spacing w:after="160"/>
      </w:pP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1E293B"/>
          <w:sz w:val="21"/>
          <w:szCs w:val="21"/>
        </w:rPr>
        <w:t xml:space="preserve">Anamnesis terarah bertujuan menegakkan diagnosis klinis transisi menopause/pascamenopause, menyingkirkan diagnosis banding, dan menilai berat-ringan gejala serta faktor risiko jangka panjang (kardiovaskular dan tulang) sebagai dasar perencanaan tata laksana.</w:t>
      </w:r>
    </w:p>
    <w:p>
      <w:pPr>
        <w:pStyle w:val="Heading2"/>
        <w:spacing w:after="120" w:before="240"/>
      </w:pPr>
      <w:r>
        <w:rPr>
          <w:rFonts w:ascii="Source Serif 4" w:cs="Source Serif 4" w:eastAsia="Source Serif 4" w:hAnsi="Source Serif 4"/>
          <w:b/>
          <w:bCs/>
          <w:color w:val="3730A3"/>
          <w:sz w:val="24"/>
          <w:szCs w:val="24"/>
        </w:rPr>
        <w:t xml:space="preserve">2.1 Keluhan Utama dan Riwayat Haid</w:t>
      </w:r>
    </w:p>
    <w:p>
      <w:pPr>
        <w:pStyle w:val="ListParagraph"/>
        <w:numPr>
          <w:ilvl w:val="0"/>
          <w:numId w:val="1"/>
        </w:numPr>
        <w:spacing w:after="100" w:line="290"/>
      </w:pPr>
      <w:r>
        <w:rPr>
          <w:rFonts w:ascii="IBM Plex Sans" w:cs="IBM Plex Sans" w:eastAsia="IBM Plex Sans" w:hAnsi="IBM Plex Sans"/>
          <w:color w:val="1E293B"/>
          <w:sz w:val="21"/>
          <w:szCs w:val="21"/>
        </w:rPr>
        <w:t xml:space="preserve">Pola siklus haid dalam 12 bulan terakhir: interval memanjang/memendek, oligomenore, atau amenore total, sebagai dasar penentuan stadium STRAW+10.</w:t>
      </w:r>
    </w:p>
    <w:p>
      <w:pPr>
        <w:pStyle w:val="ListParagraph"/>
        <w:numPr>
          <w:ilvl w:val="0"/>
          <w:numId w:val="1"/>
        </w:numPr>
        <w:spacing w:after="100" w:line="290"/>
      </w:pPr>
      <w:r>
        <w:rPr>
          <w:rFonts w:ascii="IBM Plex Sans" w:cs="IBM Plex Sans" w:eastAsia="IBM Plex Sans" w:hAnsi="IBM Plex Sans"/>
          <w:color w:val="1E293B"/>
          <w:sz w:val="21"/>
          <w:szCs w:val="21"/>
        </w:rPr>
        <w:t xml:space="preserve">Gejala vasomotor: rasa panas mendadak (hot flashes), berkeringat malam (night sweats), frekuensi dan derajat gangguan terhadap aktivitas serta tidur.</w:t>
      </w:r>
    </w:p>
    <w:p>
      <w:pPr>
        <w:pStyle w:val="ListParagraph"/>
        <w:numPr>
          <w:ilvl w:val="0"/>
          <w:numId w:val="1"/>
        </w:numPr>
        <w:spacing w:after="100" w:line="290"/>
      </w:pPr>
      <w:r>
        <w:rPr>
          <w:rFonts w:ascii="IBM Plex Sans" w:cs="IBM Plex Sans" w:eastAsia="IBM Plex Sans" w:hAnsi="IBM Plex Sans"/>
          <w:color w:val="1E293B"/>
          <w:sz w:val="21"/>
          <w:szCs w:val="21"/>
        </w:rPr>
        <w:t xml:space="preserve">Gangguan tidur, perubahan suasana hati (iritabilitas, ansietas, gejala depresif ringan), kesulitan konsentrasi.</w:t>
      </w:r>
    </w:p>
    <w:p>
      <w:pPr>
        <w:pStyle w:val="ListParagraph"/>
        <w:numPr>
          <w:ilvl w:val="0"/>
          <w:numId w:val="1"/>
        </w:numPr>
        <w:spacing w:after="100" w:line="290"/>
      </w:pPr>
      <w:r>
        <w:rPr>
          <w:rFonts w:ascii="IBM Plex Sans" w:cs="IBM Plex Sans" w:eastAsia="IBM Plex Sans" w:hAnsi="IBM Plex Sans"/>
          <w:color w:val="1E293B"/>
          <w:sz w:val="21"/>
          <w:szCs w:val="21"/>
        </w:rPr>
        <w:t xml:space="preserve">Gejala genitourinari sindrom menopause (GSM): kekeringan vagina, dispareunia, iritasi vulvovaginal, urgensi/frekuensi berkemih, infeksi saluran kemih berulang.</w:t>
      </w:r>
    </w:p>
    <w:p>
      <w:pPr>
        <w:pStyle w:val="ListParagraph"/>
        <w:numPr>
          <w:ilvl w:val="0"/>
          <w:numId w:val="1"/>
        </w:numPr>
        <w:spacing w:after="100" w:line="290"/>
      </w:pPr>
      <w:r>
        <w:rPr>
          <w:rFonts w:ascii="IBM Plex Sans" w:cs="IBM Plex Sans" w:eastAsia="IBM Plex Sans" w:hAnsi="IBM Plex Sans"/>
          <w:color w:val="1E293B"/>
          <w:sz w:val="21"/>
          <w:szCs w:val="21"/>
        </w:rPr>
        <w:t xml:space="preserve">Perubahan libido dan fungsi seksual.</w:t>
      </w:r>
    </w:p>
    <w:p>
      <w:pPr>
        <w:pStyle w:val="ListParagraph"/>
        <w:numPr>
          <w:ilvl w:val="0"/>
          <w:numId w:val="1"/>
        </w:numPr>
        <w:spacing w:after="100" w:line="290"/>
      </w:pPr>
      <w:r>
        <w:rPr>
          <w:rFonts w:ascii="IBM Plex Sans" w:cs="IBM Plex Sans" w:eastAsia="IBM Plex Sans" w:hAnsi="IBM Plex Sans"/>
          <w:color w:val="1E293B"/>
          <w:sz w:val="21"/>
          <w:szCs w:val="21"/>
        </w:rPr>
        <w:t xml:space="preserve">Nyeri sendi/otot, penurunan massa otot, keluhan muskuloskeletal nonspesifik.</w:t>
      </w:r>
    </w:p>
    <w:p>
      <w:pPr>
        <w:pStyle w:val="Heading2"/>
        <w:spacing w:after="120" w:before="240"/>
      </w:pPr>
      <w:r>
        <w:rPr>
          <w:rFonts w:ascii="Source Serif 4" w:cs="Source Serif 4" w:eastAsia="Source Serif 4" w:hAnsi="Source Serif 4"/>
          <w:b/>
          <w:bCs/>
          <w:color w:val="3730A3"/>
          <w:sz w:val="24"/>
          <w:szCs w:val="24"/>
        </w:rPr>
        <w:t xml:space="preserve">2.2 Riwayat Penyakit dan Faktor Risiko</w:t>
      </w:r>
    </w:p>
    <w:p>
      <w:pPr>
        <w:pStyle w:val="ListParagraph"/>
        <w:numPr>
          <w:ilvl w:val="0"/>
          <w:numId w:val="1"/>
        </w:numPr>
        <w:spacing w:after="100" w:line="290"/>
      </w:pPr>
      <w:r>
        <w:rPr>
          <w:rFonts w:ascii="IBM Plex Sans" w:cs="IBM Plex Sans" w:eastAsia="IBM Plex Sans" w:hAnsi="IBM Plex Sans"/>
          <w:color w:val="1E293B"/>
          <w:sz w:val="21"/>
          <w:szCs w:val="21"/>
        </w:rPr>
        <w:t xml:space="preserve">Riwayat penyakit kardiovaskular, hipertensi, dislipidemia, diabetes melitus, tromboemboli vena.</w:t>
      </w:r>
    </w:p>
    <w:p>
      <w:pPr>
        <w:pStyle w:val="ListParagraph"/>
        <w:numPr>
          <w:ilvl w:val="0"/>
          <w:numId w:val="1"/>
        </w:numPr>
        <w:spacing w:after="100" w:line="290"/>
      </w:pPr>
      <w:r>
        <w:rPr>
          <w:rFonts w:ascii="IBM Plex Sans" w:cs="IBM Plex Sans" w:eastAsia="IBM Plex Sans" w:hAnsi="IBM Plex Sans"/>
          <w:color w:val="1E293B"/>
          <w:sz w:val="21"/>
          <w:szCs w:val="21"/>
        </w:rPr>
        <w:t xml:space="preserve">Riwayat kanker payudara, kanker endometrium, atau keganasan ginekologi lain pada pasien dan keluarga (kontraindikasi/kehati-hatian terapi hormon).</w:t>
      </w:r>
    </w:p>
    <w:p>
      <w:pPr>
        <w:pStyle w:val="ListParagraph"/>
        <w:numPr>
          <w:ilvl w:val="0"/>
          <w:numId w:val="1"/>
        </w:numPr>
        <w:spacing w:after="100" w:line="290"/>
      </w:pPr>
      <w:r>
        <w:rPr>
          <w:rFonts w:ascii="IBM Plex Sans" w:cs="IBM Plex Sans" w:eastAsia="IBM Plex Sans" w:hAnsi="IBM Plex Sans"/>
          <w:color w:val="1E293B"/>
          <w:sz w:val="21"/>
          <w:szCs w:val="21"/>
        </w:rPr>
        <w:t xml:space="preserve">Riwayat osteoporosis, fraktur fragilitas, faktor risiko densitas tulang rendah (merokok, konsumsi alkohol, aktivitas fisik rendah, riwayat keluarga).</w:t>
      </w:r>
    </w:p>
    <w:p>
      <w:pPr>
        <w:pStyle w:val="ListParagraph"/>
        <w:numPr>
          <w:ilvl w:val="0"/>
          <w:numId w:val="1"/>
        </w:numPr>
        <w:spacing w:after="100" w:line="290"/>
      </w:pPr>
      <w:r>
        <w:rPr>
          <w:rFonts w:ascii="IBM Plex Sans" w:cs="IBM Plex Sans" w:eastAsia="IBM Plex Sans" w:hAnsi="IBM Plex Sans"/>
          <w:color w:val="1E293B"/>
          <w:sz w:val="21"/>
          <w:szCs w:val="21"/>
        </w:rPr>
        <w:t xml:space="preserve">Riwayat operasi ginekologi (histerektomi, ooforektomi bilateral) yang memengaruhi onset dan tata laksana menopause.</w:t>
      </w:r>
    </w:p>
    <w:p>
      <w:pPr>
        <w:pStyle w:val="ListParagraph"/>
        <w:numPr>
          <w:ilvl w:val="0"/>
          <w:numId w:val="1"/>
        </w:numPr>
        <w:spacing w:after="100" w:line="290"/>
      </w:pPr>
      <w:r>
        <w:rPr>
          <w:rFonts w:ascii="IBM Plex Sans" w:cs="IBM Plex Sans" w:eastAsia="IBM Plex Sans" w:hAnsi="IBM Plex Sans"/>
          <w:color w:val="1E293B"/>
          <w:sz w:val="21"/>
          <w:szCs w:val="21"/>
        </w:rPr>
        <w:t xml:space="preserve">Riwayat penggunaan kontrasepsi hormonal, terapi hormon sebelumnya, dan obat-obatan yang sedang dikonsumsi.</w:t>
      </w:r>
    </w:p>
    <w:p>
      <w:pPr>
        <w:pStyle w:val="ListParagraph"/>
        <w:numPr>
          <w:ilvl w:val="0"/>
          <w:numId w:val="1"/>
        </w:numPr>
        <w:spacing w:after="100" w:line="290"/>
      </w:pPr>
      <w:r>
        <w:rPr>
          <w:rFonts w:ascii="IBM Plex Sans" w:cs="IBM Plex Sans" w:eastAsia="IBM Plex Sans" w:hAnsi="IBM Plex Sans"/>
          <w:color w:val="1E293B"/>
          <w:sz w:val="21"/>
          <w:szCs w:val="21"/>
        </w:rPr>
        <w:t xml:space="preserve">Gaya hidup: merokok, konsumsi alkohol, pola makan, aktivitas fisik.</w:t>
      </w:r>
    </w:p>
    <w:p>
      <w:pPr>
        <w:spacing w:after="160" w:line="300"/>
      </w:pPr>
      <w:r>
        <w:rPr>
          <w:rFonts w:ascii="IBM Plex Sans" w:cs="IBM Plex Sans" w:eastAsia="IBM Plex Sans" w:hAnsi="IBM Plex Sans"/>
          <w:color w:val="1E293B"/>
          <w:sz w:val="21"/>
          <w:szCs w:val="21"/>
        </w:rPr>
        <w:t xml:space="preserve">Tanda bahaya (red flags) yang mengarah ke luar cakupan "menopause sederhana" dan memerlukan evaluasi lanjut: perdarahan pascamenopause (perdarahan setelah 12 bulan amenore), perdarahan uterus abnormal yang berat/ireguler pada masa perimenopause, gejala menopause berat yang refrakter terhadap tata laksana lini pertama, atau onset gejala pada usia &lt;40 tahun.</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3. Pemeriksaan Fisik</w:t>
      </w:r>
    </w:p>
    <w:p>
      <w:pPr>
        <w:pStyle w:val="ListParagraph"/>
        <w:numPr>
          <w:ilvl w:val="0"/>
          <w:numId w:val="1"/>
        </w:numPr>
        <w:spacing w:after="100" w:line="290"/>
      </w:pPr>
      <w:r>
        <w:rPr>
          <w:rFonts w:ascii="IBM Plex Sans" w:cs="IBM Plex Sans" w:eastAsia="IBM Plex Sans" w:hAnsi="IBM Plex Sans"/>
          <w:color w:val="1E293B"/>
          <w:sz w:val="21"/>
          <w:szCs w:val="21"/>
        </w:rPr>
        <w:t xml:space="preserve">Pemeriksaan umum: berat badan, tinggi badan, indeks massa tubuh (IMT), tekanan darah, denyut nadi.</w:t>
      </w:r>
    </w:p>
    <w:p>
      <w:pPr>
        <w:pStyle w:val="ListParagraph"/>
        <w:numPr>
          <w:ilvl w:val="0"/>
          <w:numId w:val="1"/>
        </w:numPr>
        <w:spacing w:after="100" w:line="290"/>
      </w:pPr>
      <w:r>
        <w:rPr>
          <w:rFonts w:ascii="IBM Plex Sans" w:cs="IBM Plex Sans" w:eastAsia="IBM Plex Sans" w:hAnsi="IBM Plex Sans"/>
          <w:color w:val="1E293B"/>
          <w:sz w:val="21"/>
          <w:szCs w:val="21"/>
        </w:rPr>
        <w:t xml:space="preserve">Pemeriksaan payudara: inspeksi dan palpasi untuk skrining awal, mendahului rujukan mamografi sesuai indikasi usia.</w:t>
      </w:r>
    </w:p>
    <w:p>
      <w:pPr>
        <w:pStyle w:val="ListParagraph"/>
        <w:numPr>
          <w:ilvl w:val="0"/>
          <w:numId w:val="1"/>
        </w:numPr>
        <w:spacing w:after="100" w:line="290"/>
      </w:pPr>
      <w:r>
        <w:rPr>
          <w:rFonts w:ascii="IBM Plex Sans" w:cs="IBM Plex Sans" w:eastAsia="IBM Plex Sans" w:hAnsi="IBM Plex Sans"/>
          <w:color w:val="1E293B"/>
          <w:sz w:val="21"/>
          <w:szCs w:val="21"/>
        </w:rPr>
        <w:t xml:space="preserve">Pemeriksaan abdomen: menyingkirkan massa pelvis/abdomen.</w:t>
      </w:r>
    </w:p>
    <w:p>
      <w:pPr>
        <w:pStyle w:val="ListParagraph"/>
        <w:numPr>
          <w:ilvl w:val="0"/>
          <w:numId w:val="1"/>
        </w:numPr>
        <w:spacing w:after="100" w:line="290"/>
      </w:pPr>
      <w:r>
        <w:rPr>
          <w:rFonts w:ascii="IBM Plex Sans" w:cs="IBM Plex Sans" w:eastAsia="IBM Plex Sans" w:hAnsi="IBM Plex Sans"/>
          <w:color w:val="1E293B"/>
          <w:sz w:val="21"/>
          <w:szCs w:val="21"/>
        </w:rPr>
        <w:t xml:space="preserve">Pemeriksaan ginekologi (inspekulo dan bimanual): menilai tanda atrofi vulvovaginal (mukosa pucat, tipis, kering, hilangnya rugae vagina), ukuran dan konsistensi uterus, adneksa, serta menyingkirkan lesi serviks atau massa pelvis.</w:t>
      </w:r>
    </w:p>
    <w:p>
      <w:pPr>
        <w:pStyle w:val="ListParagraph"/>
        <w:numPr>
          <w:ilvl w:val="0"/>
          <w:numId w:val="1"/>
        </w:numPr>
        <w:spacing w:after="100" w:line="290"/>
      </w:pPr>
      <w:r>
        <w:rPr>
          <w:rFonts w:ascii="IBM Plex Sans" w:cs="IBM Plex Sans" w:eastAsia="IBM Plex Sans" w:hAnsi="IBM Plex Sans"/>
          <w:color w:val="1E293B"/>
          <w:sz w:val="21"/>
          <w:szCs w:val="21"/>
        </w:rPr>
        <w:t xml:space="preserve">Penilaian tanda klinis hipoestrogenisme lain: kulit kering, penurunan elastisitas jaringan.</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1E293B"/>
          <w:sz w:val="21"/>
          <w:szCs w:val="21"/>
        </w:rPr>
        <w:t xml:space="preserve">Diagnosis menopause (peri/post) sederhana bersifat klinis, ditegakkan berdasarkan usia (umumnya ≥40 tahun), pola perubahan siklus haid, dan gejala khas (vasomotor, genitourinari, psikologis) sesuai kerangka stadium reproduksi STRAW+10 (Stages of Reproductive Aging Workshop), tanpa memerlukan pemeriksaan hormonal rutin pada kasus tipikal.</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3000"/>
        <w:gridCol w:w="3000"/>
        <w:gridCol w:w="3000"/>
      </w:tblGrid>
      <w:tr>
        <w:trPr>
          <w:tblHeader/>
        </w:trPr>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Kode</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Sistem Klasifikasi</w:t>
            </w:r>
          </w:p>
        </w:tc>
        <w:tc>
          <w:tcPr>
            <w:tcW w:type="dxa" w:w="300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Istilah/Keterangan</w:t>
            </w:r>
          </w:p>
        </w:tc>
      </w:tr>
      <w:tr>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N95.1</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ICD-10</w:t>
            </w:r>
          </w:p>
        </w:tc>
        <w:tc>
          <w:tcPr>
            <w:tcW w:type="dxa" w:w="300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Menopausal and female climacteric states (kondisi menopause dan klimakterium wanita)</w:t>
            </w:r>
          </w:p>
        </w:tc>
      </w:tr>
      <w:tr>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GA30.0</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ICD-11</w:t>
            </w:r>
          </w:p>
        </w:tc>
        <w:tc>
          <w:tcPr>
            <w:tcW w:type="dxa" w:w="300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Symptomatic menopause (menopause simtomatik / gejala menopause ringan)</w:t>
            </w:r>
          </w:p>
        </w:tc>
      </w:tr>
    </w:tbl>
    <w:p>
      <w:pPr>
        <w:spacing w:after="160"/>
      </w:pP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FFBEB" w:val="clear"/>
            <w:tcMar>
              <w:top w:type="dxa" w:w="160"/>
              <w:left w:type="dxa" w:w="220"/>
              <w:bottom w:type="dxa" w:w="160"/>
              <w:right w:type="dxa" w:w="22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78350F"/>
                <w:sz w:val="20"/>
                <w:szCs w:val="20"/>
              </w:rPr>
              <w:t xml:space="preserve">Kode ICD-10 N95.1 dan ICD-11 GA30.0 mengikuti verifikasi langsung terhadap Tabel 7 No. 60 Kepkonsil No. HK.01.02/KKI/1318/2026, kolom Keterangan/Populasi: gejala menopause ringan.</w:t>
            </w:r>
          </w:p>
        </w:tc>
      </w:tr>
    </w:tbl>
    <w:p>
      <w:pPr>
        <w:spacing w:after="160"/>
      </w:pPr>
    </w:p>
    <w:p>
      <w:pPr>
        <w:pStyle w:val="Heading2"/>
        <w:spacing w:after="120" w:before="240"/>
      </w:pPr>
      <w:r>
        <w:rPr>
          <w:rFonts w:ascii="Source Serif 4" w:cs="Source Serif 4" w:eastAsia="Source Serif 4" w:hAnsi="Source Serif 4"/>
          <w:b/>
          <w:bCs/>
          <w:color w:val="3730A3"/>
          <w:sz w:val="24"/>
          <w:szCs w:val="24"/>
        </w:rPr>
        <w:t xml:space="preserve">4.1 Kriteria Klinis</w:t>
      </w:r>
    </w:p>
    <w:p>
      <w:pPr>
        <w:pStyle w:val="ListParagraph"/>
        <w:numPr>
          <w:ilvl w:val="0"/>
          <w:numId w:val="2"/>
        </w:numPr>
        <w:spacing w:after="100" w:line="290"/>
      </w:pPr>
      <w:r>
        <w:rPr>
          <w:rFonts w:ascii="IBM Plex Sans" w:cs="IBM Plex Sans" w:eastAsia="IBM Plex Sans" w:hAnsi="IBM Plex Sans"/>
          <w:color w:val="1E293B"/>
          <w:sz w:val="21"/>
          <w:szCs w:val="21"/>
        </w:rPr>
        <w:t xml:space="preserve">Perimenopause (transisi menopause): perbedaan panjang siklus haid ≥7 hari dibandingkan siklus sebelumnya secara berulang (STRAW+10 stadium transisi awal/-2), atau amenore ≥60 hari (stadium transisi akhir/-1), disertai gejala vasomotor/psikologis, pada wanita usia umumnya ≥40 tahun.</w:t>
      </w:r>
    </w:p>
    <w:p>
      <w:pPr>
        <w:pStyle w:val="ListParagraph"/>
        <w:numPr>
          <w:ilvl w:val="0"/>
          <w:numId w:val="2"/>
        </w:numPr>
        <w:spacing w:after="100" w:line="290"/>
      </w:pPr>
      <w:r>
        <w:rPr>
          <w:rFonts w:ascii="IBM Plex Sans" w:cs="IBM Plex Sans" w:eastAsia="IBM Plex Sans" w:hAnsi="IBM Plex Sans"/>
          <w:color w:val="1E293B"/>
          <w:sz w:val="21"/>
          <w:szCs w:val="21"/>
        </w:rPr>
        <w:t xml:space="preserve">Menopause: amenore spontan berlangsung 12 bulan berturut-turut tanpa penyebab patologis atau fisiologis lain.</w:t>
      </w:r>
    </w:p>
    <w:p>
      <w:pPr>
        <w:pStyle w:val="ListParagraph"/>
        <w:numPr>
          <w:ilvl w:val="0"/>
          <w:numId w:val="2"/>
        </w:numPr>
        <w:spacing w:after="100" w:line="290"/>
      </w:pPr>
      <w:r>
        <w:rPr>
          <w:rFonts w:ascii="IBM Plex Sans" w:cs="IBM Plex Sans" w:eastAsia="IBM Plex Sans" w:hAnsi="IBM Plex Sans"/>
          <w:color w:val="1E293B"/>
          <w:sz w:val="21"/>
          <w:szCs w:val="21"/>
        </w:rPr>
        <w:t xml:space="preserve">Pascamenopause dini (STRAW+10 stadium +1): 12 bulan hingga sekitar 6-8 tahun setelah titik menopause; gejala vasomotor dan genitourinari masih dapat menonjol.</w:t>
      </w:r>
    </w:p>
    <w:p>
      <w:pPr>
        <w:pStyle w:val="ListParagraph"/>
        <w:numPr>
          <w:ilvl w:val="0"/>
          <w:numId w:val="2"/>
        </w:numPr>
        <w:spacing w:after="100" w:line="290"/>
      </w:pPr>
      <w:r>
        <w:rPr>
          <w:rFonts w:ascii="IBM Plex Sans" w:cs="IBM Plex Sans" w:eastAsia="IBM Plex Sans" w:hAnsi="IBM Plex Sans"/>
          <w:color w:val="1E293B"/>
          <w:sz w:val="21"/>
          <w:szCs w:val="21"/>
        </w:rPr>
        <w:t xml:space="preserve">Tidak terdapat perdarahan uterus abnormal berat, tidak terdapat kecurigaan keganasan ginekologi, dan tidak terdapat kegagalan ovarium pada usia &lt;40 tahun.</w:t>
      </w:r>
    </w:p>
    <w:p>
      <w:pPr>
        <w:spacing w:after="160" w:line="300"/>
      </w:pPr>
      <w:r>
        <w:rPr>
          <w:rFonts w:ascii="IBM Plex Sans" w:cs="IBM Plex Sans" w:eastAsia="IBM Plex Sans" w:hAnsi="IBM Plex Sans"/>
          <w:color w:val="1E293B"/>
          <w:sz w:val="21"/>
          <w:szCs w:val="21"/>
        </w:rPr>
        <w:t xml:space="preserve">Pemeriksaan kadar FSH tidak direkomendasikan sebagai alat diagnosis menopause pada wanita usia di atas 45 tahun dengan gejala tipikal, karena kadar FSH dapat berfluktuasi luas selama masa transisi. Pemeriksaan FSH dapat dipertimbangkan secara selektif pada usia 40-45 tahun disertai gejala dan perubahan siklus haid, dan pada usia &lt;40 tahun dengan kecurigaan insufisiensi ovarium prematur. Anti-Mullerian hormone (AMH), inhibin A/B, dan estradiol tunggal tidak direkomendasikan sebagai alat diagnosis menopause pada wanita usia di atas 45 tahun karena nilai prediktifnya rendah pada rentang usia tersebut.</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1E293B"/>
          <w:sz w:val="21"/>
          <w:szCs w:val="21"/>
        </w:rPr>
        <w:t xml:space="preserve">Diagnosis kerja: Menopause (peri/post) sederhana (ICD-10 N95.1; ICD-11 GA30.0).</w:t>
      </w:r>
    </w:p>
    <w:p>
      <w:pPr>
        <w:pStyle w:val="Heading2"/>
        <w:spacing w:after="120" w:before="240"/>
      </w:pPr>
      <w:r>
        <w:rPr>
          <w:rFonts w:ascii="Source Serif 4" w:cs="Source Serif 4" w:eastAsia="Source Serif 4" w:hAnsi="Source Serif 4"/>
          <w:b/>
          <w:bCs/>
          <w:color w:val="3730A3"/>
          <w:sz w:val="24"/>
          <w:szCs w:val="24"/>
        </w:rPr>
        <w:t xml:space="preserve">5.1 Diagnosis Banding</w:t>
      </w:r>
    </w:p>
    <w:p>
      <w:pPr>
        <w:pStyle w:val="ListParagraph"/>
        <w:numPr>
          <w:ilvl w:val="0"/>
          <w:numId w:val="1"/>
        </w:numPr>
        <w:spacing w:after="100" w:line="290"/>
      </w:pPr>
      <w:r>
        <w:rPr>
          <w:rFonts w:ascii="IBM Plex Sans" w:cs="IBM Plex Sans" w:eastAsia="IBM Plex Sans" w:hAnsi="IBM Plex Sans"/>
          <w:color w:val="1E293B"/>
          <w:sz w:val="21"/>
          <w:szCs w:val="21"/>
        </w:rPr>
        <w:t xml:space="preserve">Disfungsi tiroid (hipotiroid/hipertiroid) — dapat menyerupai gangguan siklus haid dan gejala vasomotor/psikologis.</w:t>
      </w:r>
    </w:p>
    <w:p>
      <w:pPr>
        <w:pStyle w:val="ListParagraph"/>
        <w:numPr>
          <w:ilvl w:val="0"/>
          <w:numId w:val="1"/>
        </w:numPr>
        <w:spacing w:after="100" w:line="290"/>
      </w:pPr>
      <w:r>
        <w:rPr>
          <w:rFonts w:ascii="IBM Plex Sans" w:cs="IBM Plex Sans" w:eastAsia="IBM Plex Sans" w:hAnsi="IBM Plex Sans"/>
          <w:color w:val="1E293B"/>
          <w:sz w:val="21"/>
          <w:szCs w:val="21"/>
        </w:rPr>
        <w:t xml:space="preserve">Kehamilan — wajib disingkirkan pada setiap kasus amenore pada wanita usia reproduktif akhir dengan aktivitas seksual.</w:t>
      </w:r>
    </w:p>
    <w:p>
      <w:pPr>
        <w:pStyle w:val="ListParagraph"/>
        <w:numPr>
          <w:ilvl w:val="0"/>
          <w:numId w:val="1"/>
        </w:numPr>
        <w:spacing w:after="100" w:line="290"/>
      </w:pPr>
      <w:r>
        <w:rPr>
          <w:rFonts w:ascii="IBM Plex Sans" w:cs="IBM Plex Sans" w:eastAsia="IBM Plex Sans" w:hAnsi="IBM Plex Sans"/>
          <w:color w:val="1E293B"/>
          <w:sz w:val="21"/>
          <w:szCs w:val="21"/>
        </w:rPr>
        <w:t xml:space="preserve">Hiperprolaktinemia — dapat menyebabkan oligo/amenore dengan gejala menyerupai defisiensi estrogen.</w:t>
      </w:r>
    </w:p>
    <w:p>
      <w:pPr>
        <w:pStyle w:val="ListParagraph"/>
        <w:numPr>
          <w:ilvl w:val="0"/>
          <w:numId w:val="1"/>
        </w:numPr>
        <w:spacing w:after="100" w:line="290"/>
      </w:pPr>
      <w:r>
        <w:rPr>
          <w:rFonts w:ascii="IBM Plex Sans" w:cs="IBM Plex Sans" w:eastAsia="IBM Plex Sans" w:hAnsi="IBM Plex Sans"/>
          <w:color w:val="1E293B"/>
          <w:sz w:val="21"/>
          <w:szCs w:val="21"/>
        </w:rPr>
        <w:t xml:space="preserve">Insufisiensi ovarium prematur (usia &lt;40 tahun) — kriteria dan tata laksana berbeda, memerlukan rujukan subspesialis (lihat 7.4).</w:t>
      </w:r>
    </w:p>
    <w:p>
      <w:pPr>
        <w:pStyle w:val="ListParagraph"/>
        <w:numPr>
          <w:ilvl w:val="0"/>
          <w:numId w:val="1"/>
        </w:numPr>
        <w:spacing w:after="100" w:line="290"/>
      </w:pPr>
      <w:r>
        <w:rPr>
          <w:rFonts w:ascii="IBM Plex Sans" w:cs="IBM Plex Sans" w:eastAsia="IBM Plex Sans" w:hAnsi="IBM Plex Sans"/>
          <w:color w:val="1E293B"/>
          <w:sz w:val="21"/>
          <w:szCs w:val="21"/>
        </w:rPr>
        <w:t xml:space="preserve">Perdarahan uterus abnormal akibat penyebab struktural (leiomioma, polip endometrium) atau keganasan endometrium pada perdarahan pascamenopause.</w:t>
      </w:r>
    </w:p>
    <w:p>
      <w:pPr>
        <w:pStyle w:val="ListParagraph"/>
        <w:numPr>
          <w:ilvl w:val="0"/>
          <w:numId w:val="1"/>
        </w:numPr>
        <w:spacing w:after="100" w:line="290"/>
      </w:pPr>
      <w:r>
        <w:rPr>
          <w:rFonts w:ascii="IBM Plex Sans" w:cs="IBM Plex Sans" w:eastAsia="IBM Plex Sans" w:hAnsi="IBM Plex Sans"/>
          <w:color w:val="1E293B"/>
          <w:sz w:val="21"/>
          <w:szCs w:val="21"/>
        </w:rPr>
        <w:t xml:space="preserve">Efek samping obat (mis. agen kemoterapi, agonis GnRH) yang menginduksi amenore sementara.</w:t>
      </w:r>
    </w:p>
    <w:p>
      <w:pPr>
        <w:pStyle w:val="ListParagraph"/>
        <w:numPr>
          <w:ilvl w:val="0"/>
          <w:numId w:val="1"/>
        </w:numPr>
        <w:spacing w:after="100" w:line="290"/>
      </w:pPr>
      <w:r>
        <w:rPr>
          <w:rFonts w:ascii="IBM Plex Sans" w:cs="IBM Plex Sans" w:eastAsia="IBM Plex Sans" w:hAnsi="IBM Plex Sans"/>
          <w:color w:val="1E293B"/>
          <w:sz w:val="21"/>
          <w:szCs w:val="21"/>
        </w:rPr>
        <w:t xml:space="preserve">Gangguan ansietas/depresi primer yang menyerupai gejala psikologis menopause tanpa perubahan siklus haid.</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1E293B"/>
          <w:sz w:val="21"/>
          <w:szCs w:val="21"/>
        </w:rPr>
        <w:t xml:space="preserve">Pemeriksaan penunjang dipilih berbasis indikasi klinis, bukan sebagai panel rutin wajib pada seluruh kasus.</w:t>
      </w:r>
    </w:p>
    <w:p>
      <w:pPr>
        <w:pStyle w:val="ListParagraph"/>
        <w:numPr>
          <w:ilvl w:val="0"/>
          <w:numId w:val="1"/>
        </w:numPr>
        <w:spacing w:after="100" w:line="290"/>
      </w:pPr>
      <w:r>
        <w:rPr>
          <w:rFonts w:ascii="IBM Plex Sans" w:cs="IBM Plex Sans" w:eastAsia="IBM Plex Sans" w:hAnsi="IBM Plex Sans"/>
          <w:color w:val="1E293B"/>
          <w:sz w:val="21"/>
          <w:szCs w:val="21"/>
        </w:rPr>
        <w:t xml:space="preserve">FSH serum: dipertimbangkan selektif pada usia 40-45 tahun dengan gejala dan perubahan siklus haid, atau usia &lt;40 tahun dengan kecurigaan insufisiensi ovarium prematur; tidak rutin pada usia &gt;45 tahun dengan gejala tipikal.</w:t>
      </w:r>
    </w:p>
    <w:p>
      <w:pPr>
        <w:pStyle w:val="ListParagraph"/>
        <w:numPr>
          <w:ilvl w:val="0"/>
          <w:numId w:val="1"/>
        </w:numPr>
        <w:spacing w:after="100" w:line="290"/>
      </w:pPr>
      <w:r>
        <w:rPr>
          <w:rFonts w:ascii="IBM Plex Sans" w:cs="IBM Plex Sans" w:eastAsia="IBM Plex Sans" w:hAnsi="IBM Plex Sans"/>
          <w:color w:val="1E293B"/>
          <w:sz w:val="21"/>
          <w:szCs w:val="21"/>
        </w:rPr>
        <w:t xml:space="preserve">TSH: menyingkirkan disfungsi tiroid sebagai diagnosis banding.</w:t>
      </w:r>
    </w:p>
    <w:p>
      <w:pPr>
        <w:pStyle w:val="ListParagraph"/>
        <w:numPr>
          <w:ilvl w:val="0"/>
          <w:numId w:val="1"/>
        </w:numPr>
        <w:spacing w:after="100" w:line="290"/>
      </w:pPr>
      <w:r>
        <w:rPr>
          <w:rFonts w:ascii="IBM Plex Sans" w:cs="IBM Plex Sans" w:eastAsia="IBM Plex Sans" w:hAnsi="IBM Plex Sans"/>
          <w:color w:val="1E293B"/>
          <w:sz w:val="21"/>
          <w:szCs w:val="21"/>
        </w:rPr>
        <w:t xml:space="preserve">Tes kehamilan (β-hCG): pada wanita usia reproduktif dengan amenore dan riwayat aktivitas seksual.</w:t>
      </w:r>
    </w:p>
    <w:p>
      <w:pPr>
        <w:pStyle w:val="ListParagraph"/>
        <w:numPr>
          <w:ilvl w:val="0"/>
          <w:numId w:val="1"/>
        </w:numPr>
        <w:spacing w:after="100" w:line="290"/>
      </w:pPr>
      <w:r>
        <w:rPr>
          <w:rFonts w:ascii="IBM Plex Sans" w:cs="IBM Plex Sans" w:eastAsia="IBM Plex Sans" w:hAnsi="IBM Plex Sans"/>
          <w:color w:val="1E293B"/>
          <w:sz w:val="21"/>
          <w:szCs w:val="21"/>
        </w:rPr>
        <w:t xml:space="preserve">Profil lipid dan gula darah puasa: penapisan risiko kardiovaskular yang meningkat pascamenopause.</w:t>
      </w:r>
    </w:p>
    <w:p>
      <w:pPr>
        <w:pStyle w:val="ListParagraph"/>
        <w:numPr>
          <w:ilvl w:val="0"/>
          <w:numId w:val="1"/>
        </w:numPr>
        <w:spacing w:after="100" w:line="290"/>
      </w:pPr>
      <w:r>
        <w:rPr>
          <w:rFonts w:ascii="IBM Plex Sans" w:cs="IBM Plex Sans" w:eastAsia="IBM Plex Sans" w:hAnsi="IBM Plex Sans"/>
          <w:color w:val="1E293B"/>
          <w:sz w:val="21"/>
          <w:szCs w:val="21"/>
        </w:rPr>
        <w:t xml:space="preserve">Densitometri tulang (DEXA): pada faktor risiko osteoporosis atau usia ≥65 tahun, atau lebih awal bila terdapat faktor risiko signifikan.</w:t>
      </w:r>
    </w:p>
    <w:p>
      <w:pPr>
        <w:pStyle w:val="ListParagraph"/>
        <w:numPr>
          <w:ilvl w:val="0"/>
          <w:numId w:val="1"/>
        </w:numPr>
        <w:spacing w:after="100" w:line="290"/>
      </w:pPr>
      <w:r>
        <w:rPr>
          <w:rFonts w:ascii="IBM Plex Sans" w:cs="IBM Plex Sans" w:eastAsia="IBM Plex Sans" w:hAnsi="IBM Plex Sans"/>
          <w:color w:val="1E293B"/>
          <w:sz w:val="21"/>
          <w:szCs w:val="21"/>
        </w:rPr>
        <w:t xml:space="preserve">Pap smear/tes HPV dan mamografi skrining: sesuai jadwal skrining baku usia, bukan spesifik untuk diagnosis menopause namun bagian dari evaluasi kesehatan menyeluruh.</w:t>
      </w:r>
    </w:p>
    <w:p>
      <w:pPr>
        <w:pStyle w:val="Heading2"/>
        <w:spacing w:after="120" w:before="240"/>
      </w:pPr>
      <w:r>
        <w:rPr>
          <w:rFonts w:ascii="Source Serif 4" w:cs="Source Serif 4" w:eastAsia="Source Serif 4" w:hAnsi="Source Serif 4"/>
          <w:b/>
          <w:bCs/>
          <w:color w:val="3730A3"/>
          <w:sz w:val="24"/>
          <w:szCs w:val="24"/>
        </w:rPr>
        <w:t xml:space="preserve">6.1 Evaluasi Perdarahan Pascamenopause</w:t>
      </w:r>
    </w:p>
    <w:p>
      <w:pPr>
        <w:spacing w:after="160" w:line="300"/>
      </w:pPr>
      <w:r>
        <w:rPr>
          <w:rFonts w:ascii="IBM Plex Sans" w:cs="IBM Plex Sans" w:eastAsia="IBM Plex Sans" w:hAnsi="IBM Plex Sans"/>
          <w:color w:val="1E293B"/>
          <w:sz w:val="21"/>
          <w:szCs w:val="21"/>
        </w:rPr>
        <w:t xml:space="preserve">Perdarahan pascamenopause selalu memerlukan evaluasi endometrium karena sebagian besar kasus kanker endometrium bermanifestasi sebagai perdarahan pascamenopause. Pendekatan terkini merekomendasikan kombinasi ultrasonografi transvaginal (USG-TV) dan pengambilan sampel jaringan endometrium (biopsi endometrium) pada evaluasi awal sebagian besar pasien, karena ketebalan endometrium pada USG saja memiliki sensitivitas yang tidak selalu memadai untuk menyingkirkan keganasan/prakeganasan endometrium.</w:t>
      </w:r>
    </w:p>
    <w:p>
      <w:pPr>
        <w:pStyle w:val="ListParagraph"/>
        <w:numPr>
          <w:ilvl w:val="0"/>
          <w:numId w:val="1"/>
        </w:numPr>
        <w:spacing w:after="100" w:line="290"/>
      </w:pPr>
      <w:r>
        <w:rPr>
          <w:rFonts w:ascii="IBM Plex Sans" w:cs="IBM Plex Sans" w:eastAsia="IBM Plex Sans" w:hAnsi="IBM Plex Sans"/>
          <w:color w:val="1E293B"/>
          <w:sz w:val="21"/>
          <w:szCs w:val="21"/>
        </w:rPr>
        <w:t xml:space="preserve">USG-TV tanpa biopsi endometrium dapat dipertimbangkan pada pasien terpilih dengan episode perdarahan tunggal, ketebalan endometrium tervisualisasi penuh ≤4 mm, tanpa faktor risiko keganasan endometrium yang bermakna, dengan edukasi bahwa perdarahan berulang/menetap memerlukan evaluasi ulang segera.</w:t>
      </w:r>
    </w:p>
    <w:p>
      <w:pPr>
        <w:pStyle w:val="ListParagraph"/>
        <w:numPr>
          <w:ilvl w:val="0"/>
          <w:numId w:val="1"/>
        </w:numPr>
        <w:spacing w:after="100" w:line="290"/>
      </w:pPr>
      <w:r>
        <w:rPr>
          <w:rFonts w:ascii="IBM Plex Sans" w:cs="IBM Plex Sans" w:eastAsia="IBM Plex Sans" w:hAnsi="IBM Plex Sans"/>
          <w:color w:val="1E293B"/>
          <w:sz w:val="21"/>
          <w:szCs w:val="21"/>
        </w:rPr>
        <w:t xml:space="preserve">Pemeriksaan sonografi endometrium mengikuti lensa terminologi terstandar (International Endometrial Tumor Analysis/IETA) untuk pelaporan yang konsisten mengenai ketebalan, ekogenisitas, dan pola vaskularisasi endometrium.</w:t>
      </w:r>
    </w:p>
    <w:p>
      <w:pPr>
        <w:pStyle w:val="ListParagraph"/>
        <w:numPr>
          <w:ilvl w:val="0"/>
          <w:numId w:val="1"/>
        </w:numPr>
        <w:spacing w:after="100" w:line="290"/>
      </w:pPr>
      <w:r>
        <w:rPr>
          <w:rFonts w:ascii="IBM Plex Sans" w:cs="IBM Plex Sans" w:eastAsia="IBM Plex Sans" w:hAnsi="IBM Plex Sans"/>
          <w:color w:val="1E293B"/>
          <w:sz w:val="21"/>
          <w:szCs w:val="21"/>
        </w:rPr>
        <w:t xml:space="preserve">Biopsi endometrium (aspirasi/Pipelle, atau kuretase/histeroskopi bila sampel tidak adekuat) tetap menjadi baku evaluasi jaringan pada kasus dengan faktor risiko keganasan endometrium atau perdarahan berulang.</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40"/>
      </w:pPr>
      <w:r>
        <w:rPr>
          <w:rFonts w:ascii="Source Serif 4" w:cs="Source Serif 4" w:eastAsia="Source Serif 4" w:hAnsi="Source Serif 4"/>
          <w:b/>
          <w:bCs/>
          <w:color w:val="3730A3"/>
          <w:sz w:val="24"/>
          <w:szCs w:val="24"/>
        </w:rPr>
        <w:t xml:space="preserve">7.1 Tata Laksana Non-Farmakologis</w:t>
      </w:r>
    </w:p>
    <w:p>
      <w:pPr>
        <w:pStyle w:val="ListParagraph"/>
        <w:numPr>
          <w:ilvl w:val="0"/>
          <w:numId w:val="1"/>
        </w:numPr>
        <w:spacing w:after="100" w:line="290"/>
      </w:pPr>
      <w:r>
        <w:rPr>
          <w:rFonts w:ascii="IBM Plex Sans" w:cs="IBM Plex Sans" w:eastAsia="IBM Plex Sans" w:hAnsi="IBM Plex Sans"/>
          <w:color w:val="1E293B"/>
          <w:sz w:val="21"/>
          <w:szCs w:val="21"/>
        </w:rPr>
        <w:t xml:space="preserve">Edukasi gaya hidup: aktivitas fisik teratur, berhenti merokok, pembatasan konsumsi alkohol dan kafein sebagai pemicu gejala vasomotor.</w:t>
      </w:r>
    </w:p>
    <w:p>
      <w:pPr>
        <w:pStyle w:val="ListParagraph"/>
        <w:numPr>
          <w:ilvl w:val="0"/>
          <w:numId w:val="1"/>
        </w:numPr>
        <w:spacing w:after="100" w:line="290"/>
      </w:pPr>
      <w:r>
        <w:rPr>
          <w:rFonts w:ascii="IBM Plex Sans" w:cs="IBM Plex Sans" w:eastAsia="IBM Plex Sans" w:hAnsi="IBM Plex Sans"/>
          <w:color w:val="1E293B"/>
          <w:sz w:val="21"/>
          <w:szCs w:val="21"/>
        </w:rPr>
        <w:t xml:space="preserve">Modifikasi diet: asupan kalsium dan protein cukup, menjaga berat badan ideal.</w:t>
      </w:r>
    </w:p>
    <w:p>
      <w:pPr>
        <w:pStyle w:val="ListParagraph"/>
        <w:numPr>
          <w:ilvl w:val="0"/>
          <w:numId w:val="1"/>
        </w:numPr>
        <w:spacing w:after="100" w:line="290"/>
      </w:pPr>
      <w:r>
        <w:rPr>
          <w:rFonts w:ascii="IBM Plex Sans" w:cs="IBM Plex Sans" w:eastAsia="IBM Plex Sans" w:hAnsi="IBM Plex Sans"/>
          <w:color w:val="1E293B"/>
          <w:sz w:val="21"/>
          <w:szCs w:val="21"/>
        </w:rPr>
        <w:t xml:space="preserve">Higiene tidur dan teknik manajemen stres; terapi kognitif-perilaku (cognitive behavioral therapy) terbukti mengurangi dampak gejala vasomotor dan gangguan mood.</w:t>
      </w:r>
    </w:p>
    <w:p>
      <w:pPr>
        <w:pStyle w:val="ListParagraph"/>
        <w:numPr>
          <w:ilvl w:val="0"/>
          <w:numId w:val="1"/>
        </w:numPr>
        <w:spacing w:after="100" w:line="290"/>
      </w:pPr>
      <w:r>
        <w:rPr>
          <w:rFonts w:ascii="IBM Plex Sans" w:cs="IBM Plex Sans" w:eastAsia="IBM Plex Sans" w:hAnsi="IBM Plex Sans"/>
          <w:color w:val="1E293B"/>
          <w:sz w:val="21"/>
          <w:szCs w:val="21"/>
        </w:rPr>
        <w:t xml:space="preserve">Pelumas dan pelembap vagina berbasis air untuk gejala genitourinari ringan.</w:t>
      </w:r>
    </w:p>
    <w:p>
      <w:pPr>
        <w:pStyle w:val="ListParagraph"/>
        <w:numPr>
          <w:ilvl w:val="0"/>
          <w:numId w:val="1"/>
        </w:numPr>
        <w:spacing w:after="100" w:line="290"/>
      </w:pPr>
      <w:r>
        <w:rPr>
          <w:rFonts w:ascii="IBM Plex Sans" w:cs="IBM Plex Sans" w:eastAsia="IBM Plex Sans" w:hAnsi="IBM Plex Sans"/>
          <w:color w:val="1E293B"/>
          <w:sz w:val="21"/>
          <w:szCs w:val="21"/>
        </w:rPr>
        <w:t xml:space="preserve">Strategi pendinginan lingkungan (pakaian berlapis, suhu ruangan) untuk gejala vasomotor ringan.</w:t>
      </w:r>
    </w:p>
    <w:p>
      <w:pPr>
        <w:pStyle w:val="Heading2"/>
        <w:spacing w:after="120" w:before="240"/>
      </w:pPr>
      <w:r>
        <w:rPr>
          <w:rFonts w:ascii="Source Serif 4" w:cs="Source Serif 4" w:eastAsia="Source Serif 4" w:hAnsi="Source Serif 4"/>
          <w:b/>
          <w:bCs/>
          <w:color w:val="3730A3"/>
          <w:sz w:val="24"/>
          <w:szCs w:val="24"/>
        </w:rPr>
        <w:t xml:space="preserve">7.2 Tata Laksana Farmakologis</w:t>
      </w:r>
    </w:p>
    <w:p>
      <w:pPr>
        <w:spacing w:after="160" w:line="300"/>
      </w:pPr>
      <w:r>
        <w:rPr>
          <w:rFonts w:ascii="IBM Plex Sans" w:cs="IBM Plex Sans" w:eastAsia="IBM Plex Sans" w:hAnsi="IBM Plex Sans"/>
          <w:color w:val="1E293B"/>
          <w:sz w:val="21"/>
          <w:szCs w:val="21"/>
        </w:rPr>
        <w:t xml:space="preserve">Terapi hormon menopause (menopausal hormone therapy/MHT) merupakan terapi lini pertama yang paling efektif untuk gejala vasomotor sedang-berat pada wanita tanpa kontraindikasi, idealnya dimulai pada usia &lt;60 tahun atau dalam 10 tahun sejak onset menopause ("jendela peluang").</w:t>
      </w:r>
    </w:p>
    <w:p>
      <w:pPr>
        <w:pStyle w:val="ListParagraph"/>
        <w:numPr>
          <w:ilvl w:val="0"/>
          <w:numId w:val="1"/>
        </w:numPr>
        <w:spacing w:after="100" w:line="290"/>
      </w:pPr>
      <w:r>
        <w:rPr>
          <w:rFonts w:ascii="IBM Plex Sans" w:cs="IBM Plex Sans" w:eastAsia="IBM Plex Sans" w:hAnsi="IBM Plex Sans"/>
          <w:color w:val="1E293B"/>
          <w:sz w:val="21"/>
          <w:szCs w:val="21"/>
        </w:rPr>
        <w:t xml:space="preserve">Estrogen sistemik (oral/transdermal) dikombinasikan progestogen pada wanita dengan uterus utuh untuk proteksi endometrium; estrogen tanpa progestogen hanya pada wanita pascahisterektomi.</w:t>
      </w:r>
    </w:p>
    <w:p>
      <w:pPr>
        <w:pStyle w:val="ListParagraph"/>
        <w:numPr>
          <w:ilvl w:val="0"/>
          <w:numId w:val="1"/>
        </w:numPr>
        <w:spacing w:after="100" w:line="290"/>
      </w:pPr>
      <w:r>
        <w:rPr>
          <w:rFonts w:ascii="IBM Plex Sans" w:cs="IBM Plex Sans" w:eastAsia="IBM Plex Sans" w:hAnsi="IBM Plex Sans"/>
          <w:color w:val="1E293B"/>
          <w:sz w:val="21"/>
          <w:szCs w:val="21"/>
        </w:rPr>
        <w:t xml:space="preserve">Estrogen vagina dosis rendah (krim, tablet, atau cincin vagina) sebagai lini pertama untuk gejala genitourinari sindrom menopause (GSM) tanpa memerlukan progestogen tambahan pada penggunaan lokal dosis rendah.</w:t>
      </w:r>
    </w:p>
    <w:p>
      <w:pPr>
        <w:pStyle w:val="ListParagraph"/>
        <w:numPr>
          <w:ilvl w:val="0"/>
          <w:numId w:val="1"/>
        </w:numPr>
        <w:spacing w:after="100" w:line="290"/>
      </w:pPr>
      <w:r>
        <w:rPr>
          <w:rFonts w:ascii="IBM Plex Sans" w:cs="IBM Plex Sans" w:eastAsia="IBM Plex Sans" w:hAnsi="IBM Plex Sans"/>
          <w:color w:val="1E293B"/>
          <w:sz w:val="21"/>
          <w:szCs w:val="21"/>
        </w:rPr>
        <w:t xml:space="preserve">Suplementasi kalsium dan vitamin D sesuai kebutuhan harian untuk pencegahan osteoporosis.</w:t>
      </w:r>
    </w:p>
    <w:p>
      <w:pPr>
        <w:pStyle w:val="ListParagraph"/>
        <w:numPr>
          <w:ilvl w:val="0"/>
          <w:numId w:val="1"/>
        </w:numPr>
        <w:spacing w:after="100" w:line="290"/>
      </w:pPr>
      <w:r>
        <w:rPr>
          <w:rFonts w:ascii="IBM Plex Sans" w:cs="IBM Plex Sans" w:eastAsia="IBM Plex Sans" w:hAnsi="IBM Plex Sans"/>
          <w:color w:val="1E293B"/>
          <w:sz w:val="21"/>
          <w:szCs w:val="21"/>
        </w:rPr>
        <w:t xml:space="preserve">Kontraindikasi MHT: riwayat kanker payudara, keganasan estrogen-dependen, tromboemboli vena aktif/riwayat, penyakit hati aktif, perdarahan uterus abnormal yang belum dievaluasi.</w:t>
      </w:r>
    </w:p>
    <w:p>
      <w:pPr>
        <w:spacing w:after="160" w:line="300"/>
      </w:pPr>
      <w:r>
        <w:rPr>
          <w:rFonts w:ascii="IBM Plex Sans" w:cs="IBM Plex Sans" w:eastAsia="IBM Plex Sans" w:hAnsi="IBM Plex Sans"/>
          <w:color w:val="1E293B"/>
          <w:sz w:val="21"/>
          <w:szCs w:val="21"/>
        </w:rPr>
        <w:t xml:space="preserve">Pada pasien dengan kontraindikasi MHT atau yang memilih tanpa terapi hormon, pilihan non-hormonal untuk gejala vasomotor dengan bukti ilmiah terkuat (Level I) meliputi terapi kognitif-perilaku, hipnosis klinis, SSRI/SNRI dosis rendah, dan gabapentin. Fezolinetant, suatu antagonis reseptor neurokinin-3 (NK3) non-hormonal, juga tergolong bukti Level I untuk gejala vasomotor berdasarkan literatur internasional terkini; ketersediaan dan status registrasinya di Indonesia perlu diverifikasi melalui Badan Pengawas Obat dan Makanan (BPOM) sebelum diresepkan. Oxybutynin memiliki bukti Level I-II. Klonidin memiliki bukti terbatas dan bukan pilihan lini pertama.</w:t>
      </w:r>
    </w:p>
    <w:p>
      <w:pPr>
        <w:pStyle w:val="Heading2"/>
        <w:spacing w:after="120" w:before="240"/>
      </w:pPr>
      <w:r>
        <w:rPr>
          <w:rFonts w:ascii="Source Serif 4" w:cs="Source Serif 4" w:eastAsia="Source Serif 4" w:hAnsi="Source Serif 4"/>
          <w:b/>
          <w:bCs/>
          <w:color w:val="3730A3"/>
          <w:sz w:val="24"/>
          <w:szCs w:val="24"/>
        </w:rPr>
        <w:t xml:space="preserve">7.3 Tata Laksana Bedah/Prosedural</w:t>
      </w:r>
    </w:p>
    <w:p>
      <w:pPr>
        <w:spacing w:after="160" w:line="300"/>
      </w:pPr>
      <w:r>
        <w:rPr>
          <w:rFonts w:ascii="IBM Plex Sans" w:cs="IBM Plex Sans" w:eastAsia="IBM Plex Sans" w:hAnsi="IBM Plex Sans"/>
          <w:color w:val="1E293B"/>
          <w:sz w:val="21"/>
          <w:szCs w:val="21"/>
        </w:rPr>
        <w:t xml:space="preserve">Tidak terdapat indikasi tata laksana bedah/prosedural pada menopause (peri/post) sederhana tanpa komorbiditas. Tindakan bedah (mis. histerektomi, ablasi endometrium) hanya diindikasikan bila terdapat kondisi ginekologi penyerta yang menjadi diagnosis tersendiri di luar cakupan PPK ini, dan dikelola melalui PPK terkait.</w:t>
      </w:r>
    </w:p>
    <w:p>
      <w:pPr>
        <w:pStyle w:val="Heading2"/>
        <w:spacing w:after="120" w:before="240"/>
      </w:pPr>
      <w:r>
        <w:rPr>
          <w:rFonts w:ascii="Source Serif 4" w:cs="Source Serif 4" w:eastAsia="Source Serif 4" w:hAnsi="Source Serif 4"/>
          <w:b/>
          <w:bCs/>
          <w:color w:val="3730A3"/>
          <w:sz w:val="24"/>
          <w:szCs w:val="24"/>
        </w:rPr>
        <w:t xml:space="preserve">7.4 Kriteria Rujukan ke Subspesialis Fertilitas dan Endokrinologi Reproduksi</w:t>
      </w:r>
    </w:p>
    <w:p>
      <w:pPr>
        <w:pStyle w:val="ListParagraph"/>
        <w:numPr>
          <w:ilvl w:val="0"/>
          <w:numId w:val="1"/>
        </w:numPr>
        <w:spacing w:after="100" w:line="290"/>
      </w:pPr>
      <w:r>
        <w:rPr>
          <w:rFonts w:ascii="IBM Plex Sans" w:cs="IBM Plex Sans" w:eastAsia="IBM Plex Sans" w:hAnsi="IBM Plex Sans"/>
          <w:color w:val="1E293B"/>
          <w:sz w:val="21"/>
          <w:szCs w:val="21"/>
        </w:rPr>
        <w:t xml:space="preserve">Onset gejala menopause pada usia &lt;40 tahun (kecurigaan insufisiensi ovarium prematur).</w:t>
      </w:r>
    </w:p>
    <w:p>
      <w:pPr>
        <w:pStyle w:val="ListParagraph"/>
        <w:numPr>
          <w:ilvl w:val="0"/>
          <w:numId w:val="1"/>
        </w:numPr>
        <w:spacing w:after="100" w:line="290"/>
      </w:pPr>
      <w:r>
        <w:rPr>
          <w:rFonts w:ascii="IBM Plex Sans" w:cs="IBM Plex Sans" w:eastAsia="IBM Plex Sans" w:hAnsi="IBM Plex Sans"/>
          <w:color w:val="1E293B"/>
          <w:sz w:val="21"/>
          <w:szCs w:val="21"/>
        </w:rPr>
        <w:t xml:space="preserve">Gejala berat yang refrakter terhadap tata laksana lini pertama adekuat.</w:t>
      </w:r>
    </w:p>
    <w:p>
      <w:pPr>
        <w:pStyle w:val="ListParagraph"/>
        <w:numPr>
          <w:ilvl w:val="0"/>
          <w:numId w:val="1"/>
        </w:numPr>
        <w:spacing w:after="100" w:line="290"/>
      </w:pPr>
      <w:r>
        <w:rPr>
          <w:rFonts w:ascii="IBM Plex Sans" w:cs="IBM Plex Sans" w:eastAsia="IBM Plex Sans" w:hAnsi="IBM Plex Sans"/>
          <w:color w:val="1E293B"/>
          <w:sz w:val="21"/>
          <w:szCs w:val="21"/>
        </w:rPr>
        <w:t xml:space="preserve">Kontraindikasi relatif/kompleks terhadap MHT yang memerlukan penilaian risiko-manfaat individual mendalam.</w:t>
      </w:r>
    </w:p>
    <w:p>
      <w:pPr>
        <w:pStyle w:val="ListParagraph"/>
        <w:numPr>
          <w:ilvl w:val="0"/>
          <w:numId w:val="1"/>
        </w:numPr>
        <w:spacing w:after="100" w:line="290"/>
      </w:pPr>
      <w:r>
        <w:rPr>
          <w:rFonts w:ascii="IBM Plex Sans" w:cs="IBM Plex Sans" w:eastAsia="IBM Plex Sans" w:hAnsi="IBM Plex Sans"/>
          <w:color w:val="1E293B"/>
          <w:sz w:val="21"/>
          <w:szCs w:val="21"/>
        </w:rPr>
        <w:t xml:space="preserve">Perdarahan uterus abnormal persisten atau perdarahan pascamenopause yang memerlukan evaluasi endokrinologis lanjut di luar evaluasi struktural standar.</w:t>
      </w:r>
    </w:p>
    <w:p>
      <w:pPr>
        <w:pStyle w:val="ListParagraph"/>
        <w:numPr>
          <w:ilvl w:val="0"/>
          <w:numId w:val="1"/>
        </w:numPr>
        <w:spacing w:after="100" w:line="290"/>
      </w:pPr>
      <w:r>
        <w:rPr>
          <w:rFonts w:ascii="IBM Plex Sans" w:cs="IBM Plex Sans" w:eastAsia="IBM Plex Sans" w:hAnsi="IBM Plex Sans"/>
          <w:color w:val="1E293B"/>
          <w:sz w:val="21"/>
          <w:szCs w:val="21"/>
        </w:rPr>
        <w:t xml:space="preserve">Kebutuhan konseling terapi hormon jangka panjang pada komorbiditas kompleks (riwayat keganasan, penyakit kardiovaskular berat).</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100" w:line="290"/>
      </w:pPr>
      <w:r>
        <w:rPr>
          <w:rFonts w:ascii="IBM Plex Sans" w:cs="IBM Plex Sans" w:eastAsia="IBM Plex Sans" w:hAnsi="IBM Plex Sans"/>
          <w:color w:val="1E293B"/>
          <w:sz w:val="21"/>
          <w:szCs w:val="21"/>
        </w:rPr>
        <w:t xml:space="preserve">Menjelaskan menopause sebagai proses fisiologis alami, bukan kondisi patologis, dengan variasi durasi dan intensitas gejala antarindividu.</w:t>
      </w:r>
    </w:p>
    <w:p>
      <w:pPr>
        <w:pStyle w:val="ListParagraph"/>
        <w:numPr>
          <w:ilvl w:val="0"/>
          <w:numId w:val="1"/>
        </w:numPr>
        <w:spacing w:after="100" w:line="290"/>
      </w:pPr>
      <w:r>
        <w:rPr>
          <w:rFonts w:ascii="IBM Plex Sans" w:cs="IBM Plex Sans" w:eastAsia="IBM Plex Sans" w:hAnsi="IBM Plex Sans"/>
          <w:color w:val="1E293B"/>
          <w:sz w:val="21"/>
          <w:szCs w:val="21"/>
        </w:rPr>
        <w:t xml:space="preserve">Menjelaskan pilihan tata laksana (non-farmakologis, hormonal, non-hormonal) beserta manfaat dan risikonya agar pasien dapat mengambil keputusan bersama (shared decision making).</w:t>
      </w:r>
    </w:p>
    <w:p>
      <w:pPr>
        <w:pStyle w:val="ListParagraph"/>
        <w:numPr>
          <w:ilvl w:val="0"/>
          <w:numId w:val="1"/>
        </w:numPr>
        <w:spacing w:after="100" w:line="290"/>
      </w:pPr>
      <w:r>
        <w:rPr>
          <w:rFonts w:ascii="IBM Plex Sans" w:cs="IBM Plex Sans" w:eastAsia="IBM Plex Sans" w:hAnsi="IBM Plex Sans"/>
          <w:color w:val="1E293B"/>
          <w:sz w:val="21"/>
          <w:szCs w:val="21"/>
        </w:rPr>
        <w:t xml:space="preserve">Edukasi risiko jangka panjang pascamenopause: osteoporosis dan penyakit kardiovaskular, serta pentingnya gaya hidup sehat dan skrining berkala.</w:t>
      </w:r>
    </w:p>
    <w:p>
      <w:pPr>
        <w:pStyle w:val="ListParagraph"/>
        <w:numPr>
          <w:ilvl w:val="0"/>
          <w:numId w:val="1"/>
        </w:numPr>
        <w:spacing w:after="100" w:line="290"/>
      </w:pPr>
      <w:r>
        <w:rPr>
          <w:rFonts w:ascii="IBM Plex Sans" w:cs="IBM Plex Sans" w:eastAsia="IBM Plex Sans" w:hAnsi="IBM Plex Sans"/>
          <w:color w:val="1E293B"/>
          <w:sz w:val="21"/>
          <w:szCs w:val="21"/>
        </w:rPr>
        <w:t xml:space="preserve">Edukasi keluarga mengenai dukungan terhadap perubahan suasana hati dan gejala fisik yang dialami pasien.</w:t>
      </w:r>
    </w:p>
    <w:p>
      <w:pPr>
        <w:pStyle w:val="ListParagraph"/>
        <w:numPr>
          <w:ilvl w:val="0"/>
          <w:numId w:val="1"/>
        </w:numPr>
        <w:spacing w:after="100" w:line="290"/>
      </w:pPr>
      <w:r>
        <w:rPr>
          <w:rFonts w:ascii="IBM Plex Sans" w:cs="IBM Plex Sans" w:eastAsia="IBM Plex Sans" w:hAnsi="IBM Plex Sans"/>
          <w:color w:val="1E293B"/>
          <w:sz w:val="21"/>
          <w:szCs w:val="21"/>
        </w:rPr>
        <w:t xml:space="preserve">Anjuran kontrol ulang bila muncul perdarahan pascamenopause atau gejala tidak membaik dengan tata laksana lini pertama.</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1E293B"/>
          <w:sz w:val="21"/>
          <w:szCs w:val="21"/>
        </w:rPr>
        <w:t xml:space="preserve">Prognosis menopause (peri/post) sederhana secara umum baik. Gejala vasomotor cenderung membaik secara alami dalam beberapa tahun meski dapat bertahan lebih lama pada sebagian wanita. Dengan tata laksana yang tepat, kualitas hidup dapat dipertahankan dan risiko jangka panjang (osteoporosis, penyakit kardiovaskular) dapat dimitigasi melalui pemantauan dan intervensi gaya hidup/farmakologis berkelanjutan.</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000"/>
        <w:tblBorders>
          <w:top w:val="single" w:color="CBD5E1" w:sz="4"/>
          <w:left w:val="single" w:color="CBD5E1" w:sz="4"/>
          <w:bottom w:val="single" w:color="CBD5E1" w:sz="4"/>
          <w:right w:val="single" w:color="CBD5E1" w:sz="4"/>
          <w:insideH w:val="single" w:color="CBD5E1" w:sz="4"/>
          <w:insideV w:val="single" w:color="CBD5E1"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Aspek Tata Laksana</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Tingkat Evidens</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Kekuatan Rekomendasi</w:t>
            </w:r>
          </w:p>
        </w:tc>
        <w:tc>
          <w:tcPr>
            <w:tcW w:type="dxa" w:w="2250"/>
            <w:shd w:fill="4F46E5" w:val="clear"/>
            <w:tcMar>
              <w:top w:type="dxa" w:w="100"/>
              <w:left w:type="dxa" w:w="120"/>
              <w:bottom w:type="dxa" w:w="100"/>
              <w:right w:type="dxa" w:w="120"/>
            </w:tcMar>
          </w:tcPr>
          <w:p>
            <w:r>
              <w:rPr>
                <w:rFonts w:ascii="IBM Plex Sans" w:cs="IBM Plex Sans" w:eastAsia="IBM Plex Sans" w:hAnsi="IBM Plex Sans"/>
                <w:b/>
                <w:bCs/>
                <w:color w:val="FFFFFF"/>
                <w:sz w:val="19"/>
                <w:szCs w:val="19"/>
              </w:rPr>
              <w:t xml:space="preserve">Sumber</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MHT sebagai lini pertama gejala vasomotor sedang-berat</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Kepkonsil Tabel 7; ACOG PB No. 141; The Menopause Society 2022</w:t>
            </w:r>
          </w:p>
        </w:tc>
      </w:tr>
      <w:tr>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Estrogen vagina dosis rendah untuk GSM tanpa progestogen tambahan</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ACOG PB No. 141; The Menopause Society 2022</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CBT, hipnosis klinis, SSRI/SNRI, gabapentin bila kontraindikasi MHT</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The Menopause Society 2023 (Nonhormone)</w:t>
            </w:r>
          </w:p>
        </w:tc>
      </w:tr>
      <w:tr>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Fezolinetant (antagonis reseptor NK3) untuk gejala vasomotor</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The Menopause Society 2023 (Nonhormone) — verifikasi status registrasi BPOM</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Fitoestrogen/isoflavon untuk gejala vasomotor</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Tidak cukup bukti mendukung efikasi konsisten</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Cochrane (Lethaby et al. 2013)</w:t>
            </w:r>
          </w:p>
        </w:tc>
      </w:tr>
      <w:tr>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Kombinasi USG-TV dan biopsi endometrium pada perdarahan pascamenopause</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II</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B</w:t>
            </w:r>
          </w:p>
        </w:tc>
        <w:tc>
          <w:tcPr>
            <w:tcW w:type="dxa" w:w="2250"/>
            <w:shd w:fill="F1F5F9"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ACOG Clinical Practice Update 2026; ISUOG Consensus 2026</w:t>
            </w:r>
          </w:p>
        </w:tc>
      </w:tr>
      <w:tr>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Skrining densitas tulang berbasis faktor risiko/usia</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II</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B</w:t>
            </w:r>
          </w:p>
        </w:tc>
        <w:tc>
          <w:tcPr>
            <w:tcW w:type="dxa" w:w="2250"/>
            <w:shd w:fill="FFFFFF" w:val="clear"/>
            <w:tcMar>
              <w:top w:type="dxa" w:w="90"/>
              <w:left w:type="dxa" w:w="120"/>
              <w:bottom w:type="dxa" w:w="90"/>
              <w:right w:type="dxa" w:w="120"/>
            </w:tcMar>
          </w:tcPr>
          <w:p>
            <w:r>
              <w:rPr>
                <w:rFonts w:ascii="IBM Plex Mono" w:cs="IBM Plex Mono" w:eastAsia="IBM Plex Mono" w:hAnsi="IBM Plex Mono"/>
                <w:color w:val="1E293B"/>
                <w:sz w:val="18"/>
                <w:szCs w:val="18"/>
              </w:rPr>
              <w:t xml:space="preserve">Kepkonsil</w:t>
            </w:r>
          </w:p>
        </w:tc>
      </w:tr>
    </w:tbl>
    <w:p>
      <w:pPr>
        <w:spacing w:after="160"/>
      </w:pPr>
    </w:p>
    <w:p>
      <w:pPr>
        <w:spacing w:after="160" w:line="300"/>
      </w:pPr>
      <w:r>
        <w:rPr>
          <w:rFonts w:ascii="IBM Plex Sans" w:cs="IBM Plex Sans" w:eastAsia="IBM Plex Sans" w:hAnsi="IBM Plex Sans"/>
          <w:color w:val="1E293B"/>
          <w:sz w:val="21"/>
          <w:szCs w:val="21"/>
        </w:rPr>
        <w:t xml:space="preserve">[DATA: rujuk laporan/registri resmi terbaru — mis. Kemenkes, BKKBN, POGI] untuk data epidemiologi rerata usia menopause dan prevalensi gejala vasomotor spesifik populasi Indonesia; data global rerata usia 45-55 tahun mengacu pada WHO Fact Sheet: Menopause (lihat Kepustakaan).</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100" w:line="290"/>
      </w:pPr>
      <w:r>
        <w:rPr>
          <w:rFonts w:ascii="IBM Plex Sans" w:cs="IBM Plex Sans" w:eastAsia="IBM Plex Sans" w:hAnsi="IBM Plex Sans"/>
          <w:color w:val="1E293B"/>
          <w:sz w:val="21"/>
          <w:szCs w:val="21"/>
        </w:rPr>
        <w:t xml:space="preserve">≥75% pasien menunjukkan perbaikan derajat keparahan gejala vasomotor pada evaluasi 3 bulan pascaterapi (skor keparahan gejala terdokumentasi).</w:t>
      </w:r>
    </w:p>
    <w:p>
      <w:pPr>
        <w:pStyle w:val="ListParagraph"/>
        <w:numPr>
          <w:ilvl w:val="0"/>
          <w:numId w:val="1"/>
        </w:numPr>
        <w:spacing w:after="100" w:line="290"/>
      </w:pPr>
      <w:r>
        <w:rPr>
          <w:rFonts w:ascii="IBM Plex Sans" w:cs="IBM Plex Sans" w:eastAsia="IBM Plex Sans" w:hAnsi="IBM Plex Sans"/>
          <w:color w:val="1E293B"/>
          <w:sz w:val="21"/>
          <w:szCs w:val="21"/>
        </w:rPr>
        <w:t xml:space="preserve">100% pasien dengan indikasi MHT memiliki dokumentasi penapisan kontraindikasi sebelum inisiasi terapi.</w:t>
      </w:r>
    </w:p>
    <w:p>
      <w:pPr>
        <w:pStyle w:val="ListParagraph"/>
        <w:numPr>
          <w:ilvl w:val="0"/>
          <w:numId w:val="1"/>
        </w:numPr>
        <w:spacing w:after="100" w:line="290"/>
      </w:pPr>
      <w:r>
        <w:rPr>
          <w:rFonts w:ascii="IBM Plex Sans" w:cs="IBM Plex Sans" w:eastAsia="IBM Plex Sans" w:hAnsi="IBM Plex Sans"/>
          <w:color w:val="1E293B"/>
          <w:sz w:val="21"/>
          <w:szCs w:val="21"/>
        </w:rPr>
        <w:t xml:space="preserve">100% kasus perdarahan pascamenopause memiliki dokumentasi evaluasi endometrium (USG transvaginal dan/atau biopsi) sebelum tata laksana definitif.</w:t>
      </w:r>
    </w:p>
    <w:p>
      <w:pPr>
        <w:pStyle w:val="ListParagraph"/>
        <w:numPr>
          <w:ilvl w:val="0"/>
          <w:numId w:val="1"/>
        </w:numPr>
        <w:spacing w:after="100" w:line="290"/>
      </w:pPr>
      <w:r>
        <w:rPr>
          <w:rFonts w:ascii="IBM Plex Sans" w:cs="IBM Plex Sans" w:eastAsia="IBM Plex Sans" w:hAnsi="IBM Plex Sans"/>
          <w:color w:val="1E293B"/>
          <w:sz w:val="21"/>
          <w:szCs w:val="21"/>
        </w:rPr>
        <w:t xml:space="preserve">≥75% pasien menerima edukasi risiko osteoporosis dan kardiovaskular terdokumentasi dalam rekam medis.</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1E293B"/>
          <w:sz w:val="21"/>
          <w:szCs w:val="21"/>
        </w:rPr>
        <w:t xml:space="preserve">Standar nasional (Kepkonsil) menetapkan diagnosis menopause (peri/post) sederhana secara klinis berbasis pola haid dan gejala pada populasi gejala ringan, dengan tata laksana lini pertama non-farmakologis dan farmakologis (MHT) sesuai indikasi. Perbandingan berikut mengacu pada sumber internasional yang telah diverifikasi ketersediaan dan kemutakhirannya.</w:t>
      </w:r>
    </w:p>
    <w:p>
      <w:pPr>
        <w:pStyle w:val="ListParagraph"/>
        <w:numPr>
          <w:ilvl w:val="0"/>
          <w:numId w:val="1"/>
        </w:numPr>
        <w:spacing w:after="100" w:line="290"/>
      </w:pPr>
      <w:r>
        <w:rPr>
          <w:rFonts w:ascii="IBM Plex Sans" w:cs="IBM Plex Sans" w:eastAsia="IBM Plex Sans" w:hAnsi="IBM Plex Sans"/>
          <w:color w:val="1E293B"/>
          <w:sz w:val="21"/>
          <w:szCs w:val="21"/>
        </w:rPr>
        <w:t xml:space="preserve">ACOG Practice Bulletin No. 141 (Management of Menopausal Symptoms) menetapkan terapi estrogen sistemik sebagai tata laksana paling efektif untuk gejala vasomotor dan menekankan individualisasi berdasarkan profil risiko — konsisten dengan pendekatan nasional pada bagian 7.2 PPK ini.</w:t>
      </w:r>
    </w:p>
    <w:p>
      <w:pPr>
        <w:pStyle w:val="ListParagraph"/>
        <w:numPr>
          <w:ilvl w:val="0"/>
          <w:numId w:val="1"/>
        </w:numPr>
        <w:spacing w:after="100" w:line="290"/>
      </w:pPr>
      <w:r>
        <w:rPr>
          <w:rFonts w:ascii="IBM Plex Sans" w:cs="IBM Plex Sans" w:eastAsia="IBM Plex Sans" w:hAnsi="IBM Plex Sans"/>
          <w:color w:val="1E293B"/>
          <w:sz w:val="21"/>
          <w:szCs w:val="21"/>
        </w:rPr>
        <w:t xml:space="preserve">WHO, dalam Fact Sheet: Menopause (mutakhir Oktober 2024), menegaskan menopause sebagai bagian alami penuaan biologis yang umumnya terjadi pada usia 45-55 tahun dan menekankan pentingnya akses informasi serta layanan kesehatan yang mendukung kualitas hidup perempuan pada masa transisi ini; WHO belum menerbitkan pedoman tata laksana klinis global yang spesifik untuk menopause, sehingga standar nasional (Kepkonsil) dan pedoman profesi (ACOG, FIGO) tetap menjadi acuan teknis utama.</w:t>
      </w:r>
    </w:p>
    <w:p>
      <w:pPr>
        <w:pStyle w:val="ListParagraph"/>
        <w:numPr>
          <w:ilvl w:val="0"/>
          <w:numId w:val="1"/>
        </w:numPr>
        <w:spacing w:after="100" w:line="290"/>
      </w:pPr>
      <w:r>
        <w:rPr>
          <w:rFonts w:ascii="IBM Plex Sans" w:cs="IBM Plex Sans" w:eastAsia="IBM Plex Sans" w:hAnsi="IBM Plex Sans"/>
          <w:color w:val="1E293B"/>
          <w:sz w:val="21"/>
          <w:szCs w:val="21"/>
        </w:rPr>
        <w:t xml:space="preserve">FIGO, melalui position paper "Counseling in menopausal women: how to address the benefits and risks of menopause hormone therapy" (2024), merekomendasikan konseling individual yang mempertimbangkan usia inisiasi dan waktu sejak menopause ("jendela peluang" &lt;10 tahun sejak onset menopause atau usia &lt;60 tahun) sebelum memulai MHT — sejalan dengan kriteria inisiasi MHT pada bagian 7.2 PPK ini, dengan penekanan lebih eksplisit pada stratifikasi risiko usia.</w:t>
      </w:r>
    </w:p>
    <w:p>
      <w:pPr>
        <w:pStyle w:val="ListParagraph"/>
        <w:numPr>
          <w:ilvl w:val="0"/>
          <w:numId w:val="1"/>
        </w:numPr>
        <w:spacing w:after="100" w:line="290"/>
      </w:pPr>
      <w:r>
        <w:rPr>
          <w:rFonts w:ascii="IBM Plex Sans" w:cs="IBM Plex Sans" w:eastAsia="IBM Plex Sans" w:hAnsi="IBM Plex Sans"/>
          <w:color w:val="1E293B"/>
          <w:sz w:val="21"/>
          <w:szCs w:val="21"/>
        </w:rPr>
        <w:t xml:space="preserve">Cochrane Database of Systematic Reviews (Lethaby et al., 2013) menyimpulkan belum terdapat bukti konsisten yang mendukung efikasi fitoestrogen/isoflavon untuk gejala vasomotor menopause; standar nasional tidak merekomendasikan fitoestrogen sebagai lini pertama, sejalan dengan simpulan tinjauan tersebut.</w:t>
      </w:r>
    </w:p>
    <w:p>
      <w:pPr>
        <w:pStyle w:val="ListParagraph"/>
        <w:numPr>
          <w:ilvl w:val="0"/>
          <w:numId w:val="1"/>
        </w:numPr>
        <w:spacing w:after="100" w:line="290"/>
      </w:pPr>
      <w:r>
        <w:rPr>
          <w:rFonts w:ascii="IBM Plex Sans" w:cs="IBM Plex Sans" w:eastAsia="IBM Plex Sans" w:hAnsi="IBM Plex Sans"/>
          <w:color w:val="1E293B"/>
          <w:sz w:val="21"/>
          <w:szCs w:val="21"/>
        </w:rPr>
        <w:t xml:space="preserve">ISUOG Consensus Statement on Sonographic Assessment of the Endometrium dan pembaruan panduan klinis ACOG (2026) mengenai evaluasi perdarahan pascamenopause merekomendasikan kombinasi ultrasonografi transvaginal dan biopsi endometrium pada evaluasi awal sebagian besar kasus — standar ini diadopsi pada bagian 6.1 PPK ini sebagai pengayaan atas pendekatan evaluasi endometrium nasional.</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2"/>
        </w:numPr>
        <w:spacing w:after="100" w:line="290"/>
      </w:pPr>
      <w:r>
        <w:rPr>
          <w:rFonts w:ascii="IBM Plex Sans" w:cs="IBM Plex Sans" w:eastAsia="IBM Plex Sans" w:hAnsi="IBM Plex Sans"/>
          <w:color w:val="1E293B"/>
          <w:sz w:val="21"/>
          <w:szCs w:val="21"/>
        </w:rPr>
        <w:t xml:space="preserve">Konsil Kesehatan Indonesia. Keputusan Ketua Konsil Kesehatan Indonesia No. HK.01.02/KKI/1318/2026 tentang Standar Kompetensi Dokter Spesialis dan Subspesialis Bidang Obstetri dan Ginekologi. Tabel 7 No. 60.</w:t>
      </w:r>
    </w:p>
    <w:p>
      <w:pPr>
        <w:pStyle w:val="ListParagraph"/>
        <w:numPr>
          <w:ilvl w:val="0"/>
          <w:numId w:val="2"/>
        </w:numPr>
        <w:spacing w:after="100" w:line="290"/>
      </w:pPr>
      <w:r>
        <w:rPr>
          <w:rFonts w:ascii="IBM Plex Sans" w:cs="IBM Plex Sans" w:eastAsia="IBM Plex Sans" w:hAnsi="IBM Plex Sans"/>
          <w:color w:val="1E293B"/>
          <w:sz w:val="21"/>
          <w:szCs w:val="21"/>
        </w:rPr>
        <w:t xml:space="preserve">American College of Obstetricians and Gynecologists. Practice Bulletin No. 141: Management of Menopausal Symptoms. Obstet Gynecol. 2014;123:202-216.</w:t>
      </w:r>
    </w:p>
    <w:p>
      <w:pPr>
        <w:pStyle w:val="ListParagraph"/>
        <w:numPr>
          <w:ilvl w:val="0"/>
          <w:numId w:val="2"/>
        </w:numPr>
        <w:spacing w:after="100" w:line="290"/>
      </w:pPr>
      <w:r>
        <w:rPr>
          <w:rFonts w:ascii="IBM Plex Sans" w:cs="IBM Plex Sans" w:eastAsia="IBM Plex Sans" w:hAnsi="IBM Plex Sans"/>
          <w:color w:val="1E293B"/>
          <w:sz w:val="21"/>
          <w:szCs w:val="21"/>
        </w:rPr>
        <w:t xml:space="preserve">American College of Obstetricians and Gynecologists. Updated Guidance Regarding the Role of Transvaginal Ultrasonography in Evaluating the Endometrium of Individuals With Postmenopausal Bleeding. Obstet Gynecol. 2026.</w:t>
      </w:r>
    </w:p>
    <w:p>
      <w:pPr>
        <w:pStyle w:val="ListParagraph"/>
        <w:numPr>
          <w:ilvl w:val="0"/>
          <w:numId w:val="2"/>
        </w:numPr>
        <w:spacing w:after="100" w:line="290"/>
      </w:pPr>
      <w:r>
        <w:rPr>
          <w:rFonts w:ascii="IBM Plex Sans" w:cs="IBM Plex Sans" w:eastAsia="IBM Plex Sans" w:hAnsi="IBM Plex Sans"/>
          <w:color w:val="1E293B"/>
          <w:sz w:val="21"/>
          <w:szCs w:val="21"/>
        </w:rPr>
        <w:t xml:space="preserve">Genazzani AR, et al. Counseling in menopausal women: how to address the benefits and risks of menopause hormone therapy. A FIGO position paper. Int J Gynecol Obstet. 2024;164:516-530.</w:t>
      </w:r>
    </w:p>
    <w:p>
      <w:pPr>
        <w:pStyle w:val="ListParagraph"/>
        <w:numPr>
          <w:ilvl w:val="0"/>
          <w:numId w:val="2"/>
        </w:numPr>
        <w:spacing w:after="100" w:line="290"/>
      </w:pPr>
      <w:r>
        <w:rPr>
          <w:rFonts w:ascii="IBM Plex Sans" w:cs="IBM Plex Sans" w:eastAsia="IBM Plex Sans" w:hAnsi="IBM Plex Sans"/>
          <w:color w:val="1E293B"/>
          <w:sz w:val="21"/>
          <w:szCs w:val="21"/>
        </w:rPr>
        <w:t xml:space="preserve">World Health Organization. Fact Sheet: Menopause. Diperbarui 16 Oktober 2024.</w:t>
      </w:r>
    </w:p>
    <w:p>
      <w:pPr>
        <w:pStyle w:val="ListParagraph"/>
        <w:numPr>
          <w:ilvl w:val="0"/>
          <w:numId w:val="2"/>
        </w:numPr>
        <w:spacing w:after="100" w:line="290"/>
      </w:pPr>
      <w:r>
        <w:rPr>
          <w:rFonts w:ascii="IBM Plex Sans" w:cs="IBM Plex Sans" w:eastAsia="IBM Plex Sans" w:hAnsi="IBM Plex Sans"/>
          <w:color w:val="1E293B"/>
          <w:sz w:val="21"/>
          <w:szCs w:val="21"/>
        </w:rPr>
        <w:t xml:space="preserve">Lethaby A, Marjoribanks J, Kronenberg F, Roberts H, Eden J, Brown J. Phytoestrogens for menopausal vasomotor symptoms. Cochrane Database Syst Rev. 2013;(12):CD001395.</w:t>
      </w:r>
    </w:p>
    <w:p>
      <w:pPr>
        <w:pStyle w:val="ListParagraph"/>
        <w:numPr>
          <w:ilvl w:val="0"/>
          <w:numId w:val="2"/>
        </w:numPr>
        <w:spacing w:after="100" w:line="290"/>
      </w:pPr>
      <w:r>
        <w:rPr>
          <w:rFonts w:ascii="IBM Plex Sans" w:cs="IBM Plex Sans" w:eastAsia="IBM Plex Sans" w:hAnsi="IBM Plex Sans"/>
          <w:color w:val="1E293B"/>
          <w:sz w:val="21"/>
          <w:szCs w:val="21"/>
        </w:rPr>
        <w:t xml:space="preserve">Van den Bosch T, et al. ISUOG Consensus Statement on sonographic assessment of the endometrium: how to perform a gynecological ultrasound scan and report the findings. Ultrasound Obstet Gynecol. 2026.</w:t>
      </w:r>
    </w:p>
    <w:p>
      <w:pPr>
        <w:pStyle w:val="ListParagraph"/>
        <w:numPr>
          <w:ilvl w:val="0"/>
          <w:numId w:val="2"/>
        </w:numPr>
        <w:spacing w:after="100" w:line="290"/>
      </w:pPr>
      <w:r>
        <w:rPr>
          <w:rFonts w:ascii="IBM Plex Sans" w:cs="IBM Plex Sans" w:eastAsia="IBM Plex Sans" w:hAnsi="IBM Plex Sans"/>
          <w:color w:val="1E293B"/>
          <w:sz w:val="21"/>
          <w:szCs w:val="21"/>
        </w:rPr>
        <w:t xml:space="preserve">Harlow SD, Gass M, Hall JE, et al.; STRAW+10 Collaborative Group. Executive summary of the Stages of Reproductive Aging Workshop +10. Climacteric. 2012;15(2):105-114.</w:t>
      </w:r>
    </w:p>
    <w:p>
      <w:pPr>
        <w:pStyle w:val="ListParagraph"/>
        <w:numPr>
          <w:ilvl w:val="0"/>
          <w:numId w:val="2"/>
        </w:numPr>
        <w:spacing w:after="100" w:line="290"/>
      </w:pPr>
      <w:r>
        <w:rPr>
          <w:rFonts w:ascii="IBM Plex Sans" w:cs="IBM Plex Sans" w:eastAsia="IBM Plex Sans" w:hAnsi="IBM Plex Sans"/>
          <w:color w:val="1E293B"/>
          <w:sz w:val="21"/>
          <w:szCs w:val="21"/>
        </w:rPr>
        <w:t xml:space="preserve">The 2022 Hormone Therapy Position Statement of The North American Menopause Society (kini The Menopause Society). Menopause. 2022;29(7):767-794.</w:t>
      </w:r>
    </w:p>
    <w:p>
      <w:pPr>
        <w:pStyle w:val="ListParagraph"/>
        <w:numPr>
          <w:ilvl w:val="0"/>
          <w:numId w:val="2"/>
        </w:numPr>
        <w:spacing w:after="100" w:line="290"/>
      </w:pPr>
      <w:r>
        <w:rPr>
          <w:rFonts w:ascii="IBM Plex Sans" w:cs="IBM Plex Sans" w:eastAsia="IBM Plex Sans" w:hAnsi="IBM Plex Sans"/>
          <w:color w:val="1E293B"/>
          <w:sz w:val="21"/>
          <w:szCs w:val="21"/>
        </w:rPr>
        <w:t xml:space="preserve">The 2023 Nonhormone Therapy Position Statement of The North American Menopause Society (kini The Menopause Society). Menopause. 2023;30(6):573-590.</w:t>
      </w:r>
    </w:p>
    <w:p>
      <w:pPr>
        <w:pStyle w:val="Heading1"/>
        <w:pBdr>
          <w:bottom w:val="single" w:color="4F46E5" w:sz="6" w:space="4"/>
        </w:pBdr>
        <w:spacing w:after="160" w:before="320"/>
      </w:pPr>
      <w:r>
        <w:rPr>
          <w:rFonts w:ascii="Source Serif 4" w:cs="Source Serif 4" w:eastAsia="Source Serif 4" w:hAnsi="Source Serif 4"/>
          <w:b/>
          <w:bCs/>
          <w:color w:val="4F46E5"/>
          <w:sz w:val="30"/>
          <w:szCs w:val="30"/>
        </w:rPr>
        <w:t xml:space="preserve">Glosarium</w:t>
      </w:r>
    </w:p>
    <w:p>
      <w:pPr>
        <w:spacing w:after="160" w:line="300"/>
      </w:pPr>
      <w:r>
        <w:rPr>
          <w:rFonts w:ascii="IBM Plex Sans" w:cs="IBM Plex Sans" w:eastAsia="IBM Plex Sans" w:hAnsi="IBM Plex Sans"/>
          <w:color w:val="1E293B"/>
          <w:sz w:val="21"/>
          <w:szCs w:val="21"/>
        </w:rPr>
        <w:t xml:space="preserve">Daftar istilah berikut disusun untuk memudahkan pemahaman istilah klinis yang digunakan pada dokumen ini.</w:t>
      </w:r>
    </w:p>
    <w:p>
      <w:pPr>
        <w:spacing w:after="20" w:before="140"/>
      </w:pPr>
      <w:r>
        <w:rPr>
          <w:rFonts w:ascii="IBM Plex Sans" w:cs="IBM Plex Sans" w:eastAsia="IBM Plex Sans" w:hAnsi="IBM Plex Sans"/>
          <w:b/>
          <w:bCs/>
          <w:color w:val="4F46E5"/>
          <w:sz w:val="21"/>
          <w:szCs w:val="21"/>
        </w:rPr>
        <w:t xml:space="preserve">Amenore</w:t>
      </w:r>
    </w:p>
    <w:p>
      <w:pPr>
        <w:spacing w:after="100" w:line="280"/>
      </w:pPr>
      <w:r>
        <w:rPr>
          <w:rFonts w:ascii="IBM Plex Sans" w:cs="IBM Plex Sans" w:eastAsia="IBM Plex Sans" w:hAnsi="IBM Plex Sans"/>
          <w:color w:val="1E293B"/>
          <w:sz w:val="20"/>
          <w:szCs w:val="20"/>
        </w:rPr>
        <w:t xml:space="preserve">Tidak terjadinya menstruasi; pada konteks menopause merujuk pada berhentinya haid selama 12 bulan berturut-turut sebagai penanda diagnosis.</w:t>
      </w:r>
    </w:p>
    <w:p>
      <w:pPr>
        <w:spacing w:after="20" w:before="140"/>
      </w:pPr>
      <w:r>
        <w:rPr>
          <w:rFonts w:ascii="IBM Plex Sans" w:cs="IBM Plex Sans" w:eastAsia="IBM Plex Sans" w:hAnsi="IBM Plex Sans"/>
          <w:b/>
          <w:bCs/>
          <w:color w:val="4F46E5"/>
          <w:sz w:val="21"/>
          <w:szCs w:val="21"/>
        </w:rPr>
        <w:t xml:space="preserve">Atrofi Vulvovaginal</w:t>
      </w:r>
    </w:p>
    <w:p>
      <w:pPr>
        <w:spacing w:after="100" w:line="280"/>
      </w:pPr>
      <w:r>
        <w:rPr>
          <w:rFonts w:ascii="IBM Plex Sans" w:cs="IBM Plex Sans" w:eastAsia="IBM Plex Sans" w:hAnsi="IBM Plex Sans"/>
          <w:color w:val="1E293B"/>
          <w:sz w:val="20"/>
          <w:szCs w:val="20"/>
        </w:rPr>
        <w:t xml:space="preserve">Penipisan dan berkurangnya elastisitas jaringan vulva dan vagina akibat penurunan kadar estrogen, bagian dari sindrom genitourinari menopause.</w:t>
      </w:r>
    </w:p>
    <w:p>
      <w:pPr>
        <w:spacing w:after="20" w:before="140"/>
      </w:pPr>
      <w:r>
        <w:rPr>
          <w:rFonts w:ascii="IBM Plex Sans" w:cs="IBM Plex Sans" w:eastAsia="IBM Plex Sans" w:hAnsi="IBM Plex Sans"/>
          <w:b/>
          <w:bCs/>
          <w:color w:val="4F46E5"/>
          <w:sz w:val="21"/>
          <w:szCs w:val="21"/>
        </w:rPr>
        <w:t xml:space="preserve">Dispareunia</w:t>
      </w:r>
    </w:p>
    <w:p>
      <w:pPr>
        <w:spacing w:after="100" w:line="280"/>
      </w:pPr>
      <w:r>
        <w:rPr>
          <w:rFonts w:ascii="IBM Plex Sans" w:cs="IBM Plex Sans" w:eastAsia="IBM Plex Sans" w:hAnsi="IBM Plex Sans"/>
          <w:color w:val="1E293B"/>
          <w:sz w:val="20"/>
          <w:szCs w:val="20"/>
        </w:rPr>
        <w:t xml:space="preserve">Nyeri yang timbul saat atau setelah hubungan seksual, sering terkait kekeringan dan atrofi vagina pascamenopause.</w:t>
      </w:r>
    </w:p>
    <w:p>
      <w:pPr>
        <w:spacing w:after="20" w:before="140"/>
      </w:pPr>
      <w:r>
        <w:rPr>
          <w:rFonts w:ascii="IBM Plex Sans" w:cs="IBM Plex Sans" w:eastAsia="IBM Plex Sans" w:hAnsi="IBM Plex Sans"/>
          <w:b/>
          <w:bCs/>
          <w:color w:val="4F46E5"/>
          <w:sz w:val="21"/>
          <w:szCs w:val="21"/>
        </w:rPr>
        <w:t xml:space="preserve">Estrogen</w:t>
      </w:r>
    </w:p>
    <w:p>
      <w:pPr>
        <w:spacing w:after="100" w:line="280"/>
      </w:pPr>
      <w:r>
        <w:rPr>
          <w:rFonts w:ascii="IBM Plex Sans" w:cs="IBM Plex Sans" w:eastAsia="IBM Plex Sans" w:hAnsi="IBM Plex Sans"/>
          <w:color w:val="1E293B"/>
          <w:sz w:val="20"/>
          <w:szCs w:val="20"/>
        </w:rPr>
        <w:t xml:space="preserve">Hormon steroid utama yang diproduksi ovarium; penurunannya mendasari sebagian besar gejala dan perubahan fisiologis pada masa transisi menopause.</w:t>
      </w:r>
    </w:p>
    <w:p>
      <w:pPr>
        <w:spacing w:after="20" w:before="140"/>
      </w:pPr>
      <w:r>
        <w:rPr>
          <w:rFonts w:ascii="IBM Plex Sans" w:cs="IBM Plex Sans" w:eastAsia="IBM Plex Sans" w:hAnsi="IBM Plex Sans"/>
          <w:b/>
          <w:bCs/>
          <w:color w:val="4F46E5"/>
          <w:sz w:val="21"/>
          <w:szCs w:val="21"/>
        </w:rPr>
        <w:t xml:space="preserve">FSH (Follicle-Stimulating Hormone)</w:t>
      </w:r>
    </w:p>
    <w:p>
      <w:pPr>
        <w:spacing w:after="100" w:line="280"/>
      </w:pPr>
      <w:r>
        <w:rPr>
          <w:rFonts w:ascii="IBM Plex Sans" w:cs="IBM Plex Sans" w:eastAsia="IBM Plex Sans" w:hAnsi="IBM Plex Sans"/>
          <w:color w:val="1E293B"/>
          <w:sz w:val="20"/>
          <w:szCs w:val="20"/>
        </w:rPr>
        <w:t xml:space="preserve">Hormon perangsang folikel yang kadarnya meningkat seiring menurunnya cadangan folikel ovarium; dapat membantu konfirmasi diagnosis pada kondisi tertentu.</w:t>
      </w:r>
    </w:p>
    <w:p>
      <w:pPr>
        <w:spacing w:after="20" w:before="140"/>
      </w:pPr>
      <w:r>
        <w:rPr>
          <w:rFonts w:ascii="IBM Plex Sans" w:cs="IBM Plex Sans" w:eastAsia="IBM Plex Sans" w:hAnsi="IBM Plex Sans"/>
          <w:b/>
          <w:bCs/>
          <w:color w:val="4F46E5"/>
          <w:sz w:val="21"/>
          <w:szCs w:val="21"/>
        </w:rPr>
        <w:t xml:space="preserve">Gejala Vasomotor</w:t>
      </w:r>
    </w:p>
    <w:p>
      <w:pPr>
        <w:spacing w:after="100" w:line="280"/>
      </w:pPr>
      <w:r>
        <w:rPr>
          <w:rFonts w:ascii="IBM Plex Sans" w:cs="IBM Plex Sans" w:eastAsia="IBM Plex Sans" w:hAnsi="IBM Plex Sans"/>
          <w:color w:val="1E293B"/>
          <w:sz w:val="20"/>
          <w:szCs w:val="20"/>
        </w:rPr>
        <w:t xml:space="preserve">Sensasi panas mendadak (hot flashes) dan berkeringat malam (night sweats) akibat ketidakstabilan pusat termoregulasi hipotalamus terkait penurunan estrogen.</w:t>
      </w:r>
    </w:p>
    <w:p>
      <w:pPr>
        <w:spacing w:after="20" w:before="140"/>
      </w:pPr>
      <w:r>
        <w:rPr>
          <w:rFonts w:ascii="IBM Plex Sans" w:cs="IBM Plex Sans" w:eastAsia="IBM Plex Sans" w:hAnsi="IBM Plex Sans"/>
          <w:b/>
          <w:bCs/>
          <w:color w:val="4F46E5"/>
          <w:sz w:val="21"/>
          <w:szCs w:val="21"/>
        </w:rPr>
        <w:t xml:space="preserve">GSM (Genitourinary Syndrome of Menopause)</w:t>
      </w:r>
    </w:p>
    <w:p>
      <w:pPr>
        <w:spacing w:after="100" w:line="280"/>
      </w:pPr>
      <w:r>
        <w:rPr>
          <w:rFonts w:ascii="IBM Plex Sans" w:cs="IBM Plex Sans" w:eastAsia="IBM Plex Sans" w:hAnsi="IBM Plex Sans"/>
          <w:color w:val="1E293B"/>
          <w:sz w:val="20"/>
          <w:szCs w:val="20"/>
        </w:rPr>
        <w:t xml:space="preserve">Sindrom genitourinari menopause; kumpulan gejala akibat hipoestrogenisme pada saluran genital dan kemih bawah, meliputi kekeringan vagina, dispareunia, dan gejala berkemih.</w:t>
      </w:r>
    </w:p>
    <w:p>
      <w:pPr>
        <w:spacing w:after="20" w:before="140"/>
      </w:pPr>
      <w:r>
        <w:rPr>
          <w:rFonts w:ascii="IBM Plex Sans" w:cs="IBM Plex Sans" w:eastAsia="IBM Plex Sans" w:hAnsi="IBM Plex Sans"/>
          <w:b/>
          <w:bCs/>
          <w:color w:val="4F46E5"/>
          <w:sz w:val="21"/>
          <w:szCs w:val="21"/>
        </w:rPr>
        <w:t xml:space="preserve">Insufisiensi Ovarium Prematur</w:t>
      </w:r>
    </w:p>
    <w:p>
      <w:pPr>
        <w:spacing w:after="100" w:line="280"/>
      </w:pPr>
      <w:r>
        <w:rPr>
          <w:rFonts w:ascii="IBM Plex Sans" w:cs="IBM Plex Sans" w:eastAsia="IBM Plex Sans" w:hAnsi="IBM Plex Sans"/>
          <w:color w:val="1E293B"/>
          <w:sz w:val="20"/>
          <w:szCs w:val="20"/>
        </w:rPr>
        <w:t xml:space="preserve">Kegagalan fungsi ovarium yang terjadi sebelum usia 40 tahun; memerlukan pendekatan diagnostik dan tata laksana berbeda dari menopause sederhana.</w:t>
      </w:r>
    </w:p>
    <w:p>
      <w:pPr>
        <w:spacing w:after="20" w:before="140"/>
      </w:pPr>
      <w:r>
        <w:rPr>
          <w:rFonts w:ascii="IBM Plex Sans" w:cs="IBM Plex Sans" w:eastAsia="IBM Plex Sans" w:hAnsi="IBM Plex Sans"/>
          <w:b/>
          <w:bCs/>
          <w:color w:val="4F46E5"/>
          <w:sz w:val="21"/>
          <w:szCs w:val="21"/>
        </w:rPr>
        <w:t xml:space="preserve">MHT (Menopausal Hormone Therapy)</w:t>
      </w:r>
    </w:p>
    <w:p>
      <w:pPr>
        <w:spacing w:after="100" w:line="280"/>
      </w:pPr>
      <w:r>
        <w:rPr>
          <w:rFonts w:ascii="IBM Plex Sans" w:cs="IBM Plex Sans" w:eastAsia="IBM Plex Sans" w:hAnsi="IBM Plex Sans"/>
          <w:color w:val="1E293B"/>
          <w:sz w:val="20"/>
          <w:szCs w:val="20"/>
        </w:rPr>
        <w:t xml:space="preserve">Terapi hormon menopause; pemberian estrogen (dengan atau tanpa progestogen) untuk mengatasi gejala menopause sedang-berat.</w:t>
      </w:r>
    </w:p>
    <w:p>
      <w:pPr>
        <w:spacing w:after="20" w:before="140"/>
      </w:pPr>
      <w:r>
        <w:rPr>
          <w:rFonts w:ascii="IBM Plex Sans" w:cs="IBM Plex Sans" w:eastAsia="IBM Plex Sans" w:hAnsi="IBM Plex Sans"/>
          <w:b/>
          <w:bCs/>
          <w:color w:val="4F46E5"/>
          <w:sz w:val="21"/>
          <w:szCs w:val="21"/>
        </w:rPr>
        <w:t xml:space="preserve">Osteoporosis</w:t>
      </w:r>
    </w:p>
    <w:p>
      <w:pPr>
        <w:spacing w:after="100" w:line="280"/>
      </w:pPr>
      <w:r>
        <w:rPr>
          <w:rFonts w:ascii="IBM Plex Sans" w:cs="IBM Plex Sans" w:eastAsia="IBM Plex Sans" w:hAnsi="IBM Plex Sans"/>
          <w:color w:val="1E293B"/>
          <w:sz w:val="20"/>
          <w:szCs w:val="20"/>
        </w:rPr>
        <w:t xml:space="preserve">Penurunan densitas dan kekuatan tulang yang meningkatkan risiko fraktur; salah satu konsekuensi jangka panjang defisiensi estrogen pascamenopause.</w:t>
      </w:r>
    </w:p>
    <w:p>
      <w:pPr>
        <w:spacing w:after="20" w:before="140"/>
      </w:pPr>
      <w:r>
        <w:rPr>
          <w:rFonts w:ascii="IBM Plex Sans" w:cs="IBM Plex Sans" w:eastAsia="IBM Plex Sans" w:hAnsi="IBM Plex Sans"/>
          <w:b/>
          <w:bCs/>
          <w:color w:val="4F46E5"/>
          <w:sz w:val="21"/>
          <w:szCs w:val="21"/>
        </w:rPr>
        <w:t xml:space="preserve">Pascamenopause (Postmenopause)</w:t>
      </w:r>
    </w:p>
    <w:p>
      <w:pPr>
        <w:spacing w:after="100" w:line="280"/>
      </w:pPr>
      <w:r>
        <w:rPr>
          <w:rFonts w:ascii="IBM Plex Sans" w:cs="IBM Plex Sans" w:eastAsia="IBM Plex Sans" w:hAnsi="IBM Plex Sans"/>
          <w:color w:val="1E293B"/>
          <w:sz w:val="20"/>
          <w:szCs w:val="20"/>
        </w:rPr>
        <w:t xml:space="preserve">Periode setelah titik menopause (12 bulan amenore) terlampaui.</w:t>
      </w:r>
    </w:p>
    <w:p>
      <w:pPr>
        <w:spacing w:after="20" w:before="140"/>
      </w:pPr>
      <w:r>
        <w:rPr>
          <w:rFonts w:ascii="IBM Plex Sans" w:cs="IBM Plex Sans" w:eastAsia="IBM Plex Sans" w:hAnsi="IBM Plex Sans"/>
          <w:b/>
          <w:bCs/>
          <w:color w:val="4F46E5"/>
          <w:sz w:val="21"/>
          <w:szCs w:val="21"/>
        </w:rPr>
        <w:t xml:space="preserve">Perdarahan Pascamenopause</w:t>
      </w:r>
    </w:p>
    <w:p>
      <w:pPr>
        <w:spacing w:after="100" w:line="280"/>
      </w:pPr>
      <w:r>
        <w:rPr>
          <w:rFonts w:ascii="IBM Plex Sans" w:cs="IBM Plex Sans" w:eastAsia="IBM Plex Sans" w:hAnsi="IBM Plex Sans"/>
          <w:color w:val="1E293B"/>
          <w:sz w:val="20"/>
          <w:szCs w:val="20"/>
        </w:rPr>
        <w:t xml:space="preserve">Perdarahan dari uterus yang timbul setelah 12 bulan amenore pascamenopause; selalu memerlukan evaluasi untuk menyingkirkan keganasan endometrium.</w:t>
      </w:r>
    </w:p>
    <w:p>
      <w:pPr>
        <w:spacing w:after="20" w:before="140"/>
      </w:pPr>
      <w:r>
        <w:rPr>
          <w:rFonts w:ascii="IBM Plex Sans" w:cs="IBM Plex Sans" w:eastAsia="IBM Plex Sans" w:hAnsi="IBM Plex Sans"/>
          <w:b/>
          <w:bCs/>
          <w:color w:val="4F46E5"/>
          <w:sz w:val="21"/>
          <w:szCs w:val="21"/>
        </w:rPr>
        <w:t xml:space="preserve">Perimenopause</w:t>
      </w:r>
    </w:p>
    <w:p>
      <w:pPr>
        <w:spacing w:after="100" w:line="280"/>
      </w:pPr>
      <w:r>
        <w:rPr>
          <w:rFonts w:ascii="IBM Plex Sans" w:cs="IBM Plex Sans" w:eastAsia="IBM Plex Sans" w:hAnsi="IBM Plex Sans"/>
          <w:color w:val="1E293B"/>
          <w:sz w:val="20"/>
          <w:szCs w:val="20"/>
        </w:rPr>
        <w:t xml:space="preserve">Masa transisi menopause; periode sejak muncul variabilitas siklus haid akibat penurunan cadangan folikel ovarium hingga satu tahun pertama pascamenopause.</w:t>
      </w:r>
    </w:p>
    <w:p>
      <w:pPr>
        <w:spacing w:after="20" w:before="140"/>
      </w:pPr>
      <w:r>
        <w:rPr>
          <w:rFonts w:ascii="IBM Plex Sans" w:cs="IBM Plex Sans" w:eastAsia="IBM Plex Sans" w:hAnsi="IBM Plex Sans"/>
          <w:b/>
          <w:bCs/>
          <w:color w:val="4F46E5"/>
          <w:sz w:val="21"/>
          <w:szCs w:val="21"/>
        </w:rPr>
        <w:t xml:space="preserve">STRAW+10</w:t>
      </w:r>
    </w:p>
    <w:p>
      <w:pPr>
        <w:spacing w:after="100" w:line="280"/>
      </w:pPr>
      <w:r>
        <w:rPr>
          <w:rFonts w:ascii="IBM Plex Sans" w:cs="IBM Plex Sans" w:eastAsia="IBM Plex Sans" w:hAnsi="IBM Plex Sans"/>
          <w:color w:val="1E293B"/>
          <w:sz w:val="20"/>
          <w:szCs w:val="20"/>
        </w:rPr>
        <w:t xml:space="preserve">Stages of Reproductive Aging Workshop +10; sistem stadium baku internasional untuk menggambarkan tahapan penuaan reproduksi wanita dari masa reproduktif hingga pascamenopause.</w:t>
      </w:r>
    </w:p>
    <w:p>
      <w:pPr>
        <w:spacing w:after="20" w:before="140"/>
      </w:pPr>
      <w:r>
        <w:rPr>
          <w:rFonts w:ascii="IBM Plex Sans" w:cs="IBM Plex Sans" w:eastAsia="IBM Plex Sans" w:hAnsi="IBM Plex Sans"/>
          <w:b/>
          <w:bCs/>
          <w:color w:val="4F46E5"/>
          <w:sz w:val="21"/>
          <w:szCs w:val="21"/>
        </w:rPr>
        <w:t xml:space="preserve">TSH (Thyroid-Stimulating Hormone)</w:t>
      </w:r>
    </w:p>
    <w:p>
      <w:pPr>
        <w:spacing w:after="100" w:line="280"/>
      </w:pPr>
      <w:r>
        <w:rPr>
          <w:rFonts w:ascii="IBM Plex Sans" w:cs="IBM Plex Sans" w:eastAsia="IBM Plex Sans" w:hAnsi="IBM Plex Sans"/>
          <w:color w:val="1E293B"/>
          <w:sz w:val="20"/>
          <w:szCs w:val="20"/>
        </w:rPr>
        <w:t xml:space="preserve">Hormon perangsang tiroid; diperiksa untuk menyingkirkan disfungsi tiroid sebagai diagnosis banding gejala menopause.</w:t>
      </w:r>
    </w:p>
    <w:sectPr>
      <w:headerReference w:type="default" r:id="rId7"/>
      <w:footerReference w:type="default" r:id="rId8"/>
      <w:pgSz w:w="12240" w:h="15840" w:orient="portrait"/>
      <w:pgMar w:top="1080" w:right="1200" w:bottom="108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Dokumen </w:t>
    </w:r>
    <w:r>
      <w:rPr>
        <w:rFonts w:ascii="IBM Plex Mono" w:cs="IBM Plex Mono" w:eastAsia="IBM Plex Mono" w:hAnsi="IBM Plex Mono"/>
        <w:color w:val="64748B"/>
        <w:sz w:val="16"/>
        <w:szCs w:val="16"/>
      </w:rPr>
      <w:fldChar w:fldCharType="begin"/>
      <w:instrText xml:space="preserve">PAGE</w:instrText>
      <w:fldChar w:fldCharType="separate"/>
      <w:fldChar w:fldCharType="end"/>
    </w:r>
    <w:r>
      <w:rPr>
        <w:rFonts w:ascii="IBM Plex Mono" w:cs="IBM Plex Mono" w:eastAsia="IBM Plex Mono" w:hAnsi="IBM Plex Mono"/>
        <w:color w:val="64748B"/>
        <w:sz w:val="16"/>
        <w:szCs w:val="16"/>
      </w:rPr>
      <w:t xml:space="preserve"> dari </w:t>
    </w:r>
    <w:r>
      <w:rPr>
        <w:rFonts w:ascii="IBM Plex Mono" w:cs="IBM Plex Mono" w:eastAsia="IBM Plex Mono" w:hAnsi="IBM Plex Mono"/>
        <w:color w:val="64748B"/>
        <w:sz w:val="16"/>
        <w:szCs w:val="16"/>
      </w:rPr>
      <w:fldChar w:fldCharType="begin"/>
      <w:instrText xml:space="preserve">NUMPAGES</w:instrText>
      <w:fldChar w:fldCharType="separate"/>
      <w:fldChar w:fldCharType="end"/>
    </w:r>
    <w:r>
      <w:rPr>
        <w:rFonts w:ascii="IBM Plex Mono" w:cs="IBM Plex Mono" w:eastAsia="IBM Plex Mono" w:hAnsi="IBM Plex Mono"/>
        <w:color w:val="B45309"/>
        <w:sz w:val="16"/>
        <w:szCs w:val="16"/>
      </w:rPr>
      <w:t xml:space="preserve">   |   PPK No. 60 dari 73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space="4"/>
      </w:pBdr>
      <w:tabs>
        <w:tab w:val="right" w:pos="9026"/>
      </w:tabs>
    </w:pPr>
    <w:r>
      <w:rPr>
        <w:rFonts w:ascii="IBM Plex Mono" w:cs="IBM Plex Mono" w:eastAsia="IBM Plex Mono" w:hAnsi="IBM Plex Mono"/>
        <w:color w:val="64748B"/>
        <w:sz w:val="16"/>
        <w:szCs w:val="16"/>
      </w:rPr>
      <w:t xml:space="preserve">PPK-060 · Menopause (Peri/Post) Sederhana</w:t>
    </w:r>
    <w:r>
      <w:rPr>
        <w:rFonts w:ascii="IBM Plex Mono" w:cs="IBM Plex Mono" w:eastAsia="IBM Plex Mono" w:hAnsi="IBM Plex Mono"/>
        <w:color w:val="64748B"/>
        <w:sz w:val="16"/>
        <w:szCs w:val="16"/>
      </w:rPr>
      <w:t xml:space="preserve">	PPK 60 dari 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2026-08-18T04:14:56.149Z</dcterms:created>
  <dcterms:modified xsi:type="dcterms:W3CDTF">2026-08-18T04:14:56.162Z</dcterms:modified>
</cp:coreProperties>
</file>

<file path=docProps/custom.xml><?xml version="1.0" encoding="utf-8"?>
<Properties xmlns="http://schemas.openxmlformats.org/officeDocument/2006/custom-properties" xmlns:vt="http://schemas.openxmlformats.org/officeDocument/2006/docPropsVTypes"/>
</file>