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400"/>
      </w:pPr>
      <w:r>
        <w:rPr>
          <w:rFonts w:ascii="IBM Plex Sans" w:cs="IBM Plex Sans" w:eastAsia="IBM Plex Sans" w:hAnsi="IBM Plex Sans"/>
          <w:b/>
          <w:bCs/>
          <w:color w:val="4F46E5"/>
          <w:sz w:val="22"/>
          <w:szCs w:val="22"/>
        </w:rPr>
        <w:t xml:space="preserve">PANDUAN PRAKTIK KLINIS (PPK)</w:t>
      </w:r>
    </w:p>
    <w:p>
      <w:pPr>
        <w:spacing w:after="60"/>
      </w:pPr>
      <w:r>
        <w:rPr>
          <w:rFonts w:ascii="IBM Plex Mono" w:cs="IBM Plex Mono" w:eastAsia="IBM Plex Mono" w:hAnsi="IBM Plex Mono"/>
          <w:color w:val="64748B"/>
          <w:sz w:val="19"/>
          <w:szCs w:val="19"/>
        </w:rPr>
        <w:t xml:space="preserve">Dokumen PPK-062 — PPK No. 62 dari 73</w:t>
      </w:r>
    </w:p>
    <w:p>
      <w:pPr>
        <w:spacing w:after="120" w:before="300"/>
      </w:pPr>
      <w:r>
        <w:rPr>
          <w:rFonts w:ascii="Source Serif 4" w:cs="Source Serif 4" w:eastAsia="Source Serif 4" w:hAnsi="Source Serif 4"/>
          <w:b/>
          <w:bCs/>
          <w:color w:val="111827"/>
          <w:sz w:val="44"/>
          <w:szCs w:val="44"/>
        </w:rPr>
        <w:t xml:space="preserve">Retensio Urin Akut Pasca-persalinan</w:t>
      </w:r>
    </w:p>
    <w:p>
      <w:pPr>
        <w:spacing w:after="400"/>
      </w:pPr>
      <w:r>
        <w:rPr>
          <w:rFonts w:ascii="Source Serif 4" w:cs="Source Serif 4" w:eastAsia="Source Serif 4" w:hAnsi="Source Serif 4"/>
          <w:i/>
          <w:iCs/>
          <w:color w:val="64748B"/>
          <w:sz w:val="26"/>
          <w:szCs w:val="26"/>
        </w:rPr>
        <w:t xml:space="preserve">Post-partum Urinary Retention</w:t>
      </w: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EEF2FF" w:val="clear"/>
            <w:tcMar>
              <w:top w:type="dxa" w:w="140"/>
              <w:left w:type="dxa" w:w="220"/>
              <w:bottom w:type="dxa" w:w="140"/>
              <w:right w:type="dxa" w:w="220"/>
            </w:tcMar>
          </w:tcPr>
          <w:p>
            <w:pPr>
              <w:spacing w:after="60"/>
            </w:pPr>
            <w:r>
              <w:rPr>
                <w:rFonts w:ascii="IBM Plex Sans" w:cs="IBM Plex Sans" w:eastAsia="IBM Plex Sans" w:hAnsi="IBM Plex Sans"/>
                <w:b/>
                <w:bCs/>
                <w:color w:val="4F46E5"/>
                <w:sz w:val="17"/>
                <w:szCs w:val="17"/>
              </w:rPr>
              <w:t xml:space="preserve">DASAR REGULASI</w:t>
            </w:r>
          </w:p>
          <w:p>
            <w:r>
              <w:rPr>
                <w:rFonts w:ascii="IBM Plex Mono" w:cs="IBM Plex Mono" w:eastAsia="IBM Plex Mono" w:hAnsi="IBM Plex Mono"/>
                <w:color w:val="334155"/>
                <w:sz w:val="18"/>
                <w:szCs w:val="18"/>
              </w:rPr>
              <w:t xml:space="preserve">ICD-10: R33   |   ICD-11: MF50.3   |   Divisi Pengampu: Uroginekologi Rekonstruksi</w:t>
            </w:r>
          </w:p>
        </w:tc>
      </w:tr>
    </w:tbl>
    <w:p>
      <w:pPr>
        <w:spacing w:after="60" w:before="300"/>
      </w:pPr>
      <w:r>
        <w:rPr>
          <w:rFonts w:ascii="IBM Plex Sans" w:cs="IBM Plex Sans" w:eastAsia="IBM Plex Sans" w:hAnsi="IBM Plex Sans"/>
          <w:color w:val="334155"/>
          <w:sz w:val="20"/>
          <w:szCs w:val="20"/>
        </w:rPr>
        <w:t xml:space="preserve">Divisi Uroginekologi Rekonstruksi — Departemen Obstetri dan Ginekologi</w:t>
      </w:r>
    </w:p>
    <w:p>
      <w:pPr>
        <w:spacing w:after="40"/>
      </w:pPr>
      <w:r>
        <w:rPr>
          <w:rFonts w:ascii="IBM Plex Sans" w:cs="IBM Plex Sans" w:eastAsia="IBM Plex Sans" w:hAnsi="IBM Plex Sans"/>
          <w:color w:val="64748B"/>
          <w:sz w:val="19"/>
          <w:szCs w:val="19"/>
        </w:rPr>
        <w:t xml:space="preserve">Rujukan silang: B9 — Menopause, Uroginekologi Dasar, dan Prolaps Organ Panggul</w:t>
      </w:r>
    </w:p>
    <w:p>
      <w:pPr>
        <w:spacing w:after="40"/>
      </w:pPr>
      <w:r>
        <w:rPr>
          <w:rFonts w:ascii="IBM Plex Sans" w:cs="IBM Plex Sans" w:eastAsia="IBM Plex Sans" w:hAnsi="IBM Plex Sans"/>
          <w:color w:val="64748B"/>
          <w:sz w:val="19"/>
          <w:szCs w:val="19"/>
        </w:rPr>
        <w:t xml:space="preserve">Dasar hukum: Keputusan Ketua Konsil Kesehatan Indonesia No. HK.01.02/KKI/1318/2026, Lampiran Tabel 7, entri No. 62</w:t>
      </w:r>
    </w:p>
    <w:p>
      <w:pPr>
        <w:pBdr>
          <w:top w:val="single" w:color="CBD5E1" w:sz="4"/>
        </w:pBdr>
        <w:spacing w:before="500"/>
      </w:pPr>
    </w:p>
    <w:p>
      <w:pPr>
        <w:spacing w:after="20" w:before="200"/>
      </w:pPr>
      <w:r>
        <w:rPr>
          <w:rFonts w:ascii="IBM Plex Sans" w:cs="IBM Plex Sans" w:eastAsia="IBM Plex Sans" w:hAnsi="IBM Plex Sans"/>
          <w:b/>
          <w:bCs/>
          <w:color w:val="64748B"/>
          <w:sz w:val="17"/>
          <w:szCs w:val="17"/>
        </w:rPr>
        <w:t xml:space="preserve">Penulis</w:t>
      </w:r>
    </w:p>
    <w:p>
      <w:pPr>
        <w:spacing w:after="100"/>
      </w:pPr>
      <w:r>
        <w:rPr>
          <w:rFonts w:ascii="IBM Plex Sans" w:cs="IBM Plex Sans" w:eastAsia="IBM Plex Sans" w:hAnsi="IBM Plex Sans"/>
          <w:color w:val="1E293B"/>
          <w:sz w:val="20"/>
          <w:szCs w:val="20"/>
        </w:rPr>
        <w:t xml:space="preserve">Dr.dr. Budi Siswanto, Sp.OG., Subsp.Obginsos., SH., S.Kom.</w:t>
      </w:r>
    </w:p>
    <w:p>
      <w:pPr>
        <w:spacing w:after="20"/>
      </w:pPr>
      <w:r>
        <w:rPr>
          <w:rFonts w:ascii="IBM Plex Sans" w:cs="IBM Plex Sans" w:eastAsia="IBM Plex Sans" w:hAnsi="IBM Plex Sans"/>
          <w:b/>
          <w:bCs/>
          <w:color w:val="64748B"/>
          <w:sz w:val="17"/>
          <w:szCs w:val="17"/>
        </w:rPr>
        <w:t xml:space="preserve">Penerbit</w:t>
      </w:r>
    </w:p>
    <w:p>
      <w:pPr>
        <w:spacing w:after="4"/>
      </w:pPr>
      <w:r>
        <w:rPr>
          <w:rFonts w:ascii="IBM Plex Sans" w:cs="IBM Plex Sans" w:eastAsia="IBM Plex Sans" w:hAnsi="IBM Plex Sans"/>
          <w:color w:val="1E293B"/>
          <w:sz w:val="20"/>
          <w:szCs w:val="20"/>
        </w:rPr>
        <w:t xml:space="preserve">Perpustakaan Digital ABBA, 2026</w:t>
      </w:r>
    </w:p>
    <w:p>
      <w:pPr>
        <w:spacing w:after="40"/>
      </w:pPr>
      <w:r>
        <w:rPr>
          <w:rFonts w:ascii="IBM Plex Sans" w:cs="IBM Plex Sans" w:eastAsia="IBM Plex Sans" w:hAnsi="IBM Plex Sans"/>
          <w:color w:val="64748B"/>
          <w:sz w:val="19"/>
          <w:szCs w:val="19"/>
        </w:rPr>
        <w:t xml:space="preserve">Jl. Kerinci Raya No. 9, Malang 65138</w:t>
      </w:r>
    </w:p>
    <w:p>
      <w:r>
        <w:br w:type="page"/>
      </w:r>
    </w:p>
    <w:p>
      <w:pPr>
        <w:pStyle w:val="Heading2"/>
        <w:spacing w:after="120"/>
      </w:pPr>
      <w:r>
        <w:rPr>
          <w:rFonts w:ascii="Source Serif 4" w:cs="Source Serif 4" w:eastAsia="Source Serif 4" w:hAnsi="Source Serif 4"/>
          <w:color w:val="4F46E5"/>
        </w:rPr>
        <w:t xml:space="preserve">Ringkasan PPK</w:t>
      </w:r>
    </w:p>
    <w:tbl>
      <w:tblPr>
        <w:tblW w:type="dxa" w:w="9020"/>
        <w:tblBorders>
          <w:top w:val="single" w:color="auto" w:sz="4"/>
          <w:left w:val="single" w:color="auto" w:sz="4"/>
          <w:bottom w:val="single" w:color="auto" w:sz="4"/>
          <w:right w:val="single" w:color="auto" w:sz="4"/>
          <w:insideH w:val="single" w:color="auto" w:sz="4"/>
          <w:insideV w:val="single" w:color="auto" w:sz="4"/>
        </w:tblBorders>
      </w:tblPr>
      <w:tblGrid>
        <w:gridCol w:w="4510"/>
        <w:gridCol w:w="4510"/>
      </w:tblGrid>
      <w:tr>
        <w:trPr>
          <w:cantSplit/>
          <w:tblHeader/>
        </w:trPr>
        <w:tc>
          <w:tcPr>
            <w:tcW w:type="dxa" w:w="451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Komponen</w:t>
            </w:r>
          </w:p>
        </w:tc>
        <w:tc>
          <w:tcPr>
            <w:tcW w:type="dxa" w:w="451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Keterangan</w:t>
            </w:r>
          </w:p>
        </w:tc>
      </w:tr>
      <w:tr>
        <w:trPr>
          <w:cantSplit/>
        </w:trPr>
        <w:tc>
          <w:tcPr>
            <w:tcW w:type="dxa" w:w="4510"/>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Diagnosis</w:t>
            </w:r>
          </w:p>
        </w:tc>
        <w:tc>
          <w:tcPr>
            <w:tcW w:type="dxa" w:w="4510"/>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Retensio Urin Akut Pasca-persalinan / Post-partum Urinary Retention</w:t>
            </w:r>
          </w:p>
        </w:tc>
      </w:tr>
      <w:tr>
        <w:trPr>
          <w:cantSplit/>
        </w:trPr>
        <w:tc>
          <w:tcPr>
            <w:tcW w:type="dxa" w:w="4510"/>
            <w:shd w:fill="F8FAFC"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Kode ICD-10</w:t>
            </w:r>
          </w:p>
        </w:tc>
        <w:tc>
          <w:tcPr>
            <w:tcW w:type="dxa" w:w="4510"/>
            <w:shd w:fill="F8FAFC"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R33</w:t>
            </w:r>
          </w:p>
        </w:tc>
      </w:tr>
      <w:tr>
        <w:trPr>
          <w:cantSplit/>
        </w:trPr>
        <w:tc>
          <w:tcPr>
            <w:tcW w:type="dxa" w:w="4510"/>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Kode ICD-11</w:t>
            </w:r>
          </w:p>
        </w:tc>
        <w:tc>
          <w:tcPr>
            <w:tcW w:type="dxa" w:w="4510"/>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MF50.3</w:t>
            </w:r>
          </w:p>
        </w:tc>
      </w:tr>
      <w:tr>
        <w:trPr>
          <w:cantSplit/>
        </w:trPr>
        <w:tc>
          <w:tcPr>
            <w:tcW w:type="dxa" w:w="4510"/>
            <w:shd w:fill="F8FAFC"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Kategori</w:t>
            </w:r>
          </w:p>
        </w:tc>
        <w:tc>
          <w:tcPr>
            <w:tcW w:type="dxa" w:w="4510"/>
            <w:shd w:fill="F8FAFC"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Panduan Praktik Klinis (PPK) — Individu</w:t>
            </w:r>
          </w:p>
        </w:tc>
      </w:tr>
      <w:tr>
        <w:trPr>
          <w:cantSplit/>
        </w:trPr>
        <w:tc>
          <w:tcPr>
            <w:tcW w:type="dxa" w:w="4510"/>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Divisi Pengampu</w:t>
            </w:r>
          </w:p>
        </w:tc>
        <w:tc>
          <w:tcPr>
            <w:tcW w:type="dxa" w:w="4510"/>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Uroginekologi Rekonstruksi</w:t>
            </w:r>
          </w:p>
        </w:tc>
      </w:tr>
      <w:tr>
        <w:trPr>
          <w:cantSplit/>
        </w:trPr>
        <w:tc>
          <w:tcPr>
            <w:tcW w:type="dxa" w:w="4510"/>
            <w:shd w:fill="F8FAFC"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Target Waktu Diagnosis</w:t>
            </w:r>
          </w:p>
        </w:tc>
        <w:tc>
          <w:tcPr>
            <w:tcW w:type="dxa" w:w="4510"/>
            <w:shd w:fill="F8FAFC"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 6 jam pascapersalinan pervaginam / pascalepas kateter urin pascaseksio</w:t>
            </w:r>
          </w:p>
        </w:tc>
      </w:tr>
    </w:tbl>
    <w:p>
      <w:pPr>
        <w:spacing w:after="160"/>
      </w:pPr>
    </w:p>
    <w:p>
      <w:pPr>
        <w:pStyle w:val="Heading1"/>
        <w:spacing w:after="140" w:before="300"/>
      </w:pPr>
      <w:r>
        <w:rPr>
          <w:rFonts w:ascii="Source Serif 4" w:cs="Source Serif 4" w:eastAsia="Source Serif 4" w:hAnsi="Source Serif 4"/>
          <w:color w:val="111827"/>
        </w:rPr>
        <w:t xml:space="preserve">1. Pengertian/Definisi</w:t>
      </w: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EEF2FF" w:val="clear"/>
            <w:tcMar>
              <w:top w:type="dxa" w:w="140"/>
              <w:left w:type="dxa" w:w="220"/>
              <w:bottom w:type="dxa" w:w="140"/>
              <w:right w:type="dxa" w:w="220"/>
            </w:tcMar>
          </w:tcPr>
          <w:p>
            <w:pPr>
              <w:spacing w:after="60"/>
            </w:pPr>
            <w:r>
              <w:rPr>
                <w:rFonts w:ascii="IBM Plex Sans" w:cs="IBM Plex Sans" w:eastAsia="IBM Plex Sans" w:hAnsi="IBM Plex Sans"/>
                <w:b/>
                <w:bCs/>
                <w:color w:val="4F46E5"/>
                <w:sz w:val="17"/>
                <w:szCs w:val="17"/>
              </w:rPr>
              <w:t xml:space="preserve">DASAR REGULASI</w:t>
            </w:r>
          </w:p>
          <w:p>
            <w:r>
              <w:rPr>
                <w:rFonts w:ascii="IBM Plex Mono" w:cs="IBM Plex Mono" w:eastAsia="IBM Plex Mono" w:hAnsi="IBM Plex Mono"/>
                <w:color w:val="334155"/>
                <w:sz w:val="18"/>
                <w:szCs w:val="18"/>
              </w:rPr>
              <w:t xml:space="preserve">Kepkonsil No. HK.01.02/KKI/1318/2026, Lampiran Tabel 7 No. 62: "Retensio urin akut pasca-persalinan / Post-partum urinary retention", ICD-10 R33, ICD-11 MF50.3, keterangan populasi "Retensi urine segera pasca-persalinan".</w:t>
            </w:r>
          </w:p>
        </w:tc>
      </w:tr>
    </w:tbl>
    <w:p>
      <w:pPr>
        <w:spacing w:after="160"/>
      </w:pPr>
    </w:p>
    <w:p>
      <w:pPr>
        <w:spacing w:after="160" w:line="300"/>
      </w:pPr>
      <w:r>
        <w:rPr>
          <w:rFonts w:ascii="IBM Plex Sans" w:cs="IBM Plex Sans" w:eastAsia="IBM Plex Sans" w:hAnsi="IBM Plex Sans"/>
          <w:color w:val="1E293B"/>
          <w:sz w:val="21"/>
          <w:szCs w:val="21"/>
        </w:rPr>
        <w:t xml:space="preserve">PPK ini merupakan turunan operasional dari Bab Retensio Urin Akut Pascapersalinan, Buku Tematik B9 — Menopause, Uroginekologi Dasar, dan Prolaps Organ Panggul, dan disusun berdasarkan entri No. 62 Tabel 7 Kepkonsil No. HK.01.02/KKI/1318/2026 tentang Standar Kompetensi Dokter Spesialis dan Subspesialis Bidang Obstetri dan Ginekologi.</w:t>
      </w:r>
    </w:p>
    <w:p>
      <w:pPr>
        <w:spacing w:after="160" w:line="300"/>
      </w:pPr>
      <w:r>
        <w:rPr>
          <w:rFonts w:ascii="IBM Plex Sans" w:cs="IBM Plex Sans" w:eastAsia="IBM Plex Sans" w:hAnsi="IBM Plex Sans"/>
          <w:color w:val="1E293B"/>
          <w:sz w:val="21"/>
          <w:szCs w:val="21"/>
        </w:rPr>
        <w:t xml:space="preserve">Retensio urin akut pascapersalinan (post-partum urinary retention/PUR) adalah ketidakmampuan berkemih spontan dalam 6 jam setelah persalinan pervaginam, atau ketidakmampuan berkemih spontan setelah pelepasan kateter urin pascaseksio sesarea. Kondisi ini merupakan gangguan pengosongan kandung kemih (vesika urinaria/bladder voiding dysfunction) yang bersifat sementara pada sebagian besar kasus, namun berpotensi menimbulkan cedera detrusor akibat distensi berlebihan (overdistension injury) apabila tidak dikenali dan ditangani segera. Pada kepustakaan urogenikologi internasional, distensi kandung kemih yang tidak tertangani dilaporkan dapat merusak serabut otot detrusor dan serabut saraf parasimpatis pada dinding kandung kemih, dan pada kasus yang sangat jarang dapat berujung pada ruptur kandung kemih yang mengancam nyawa namun sepenuhnya dapat dicegah.</w:t>
      </w:r>
    </w:p>
    <w:p>
      <w:pPr>
        <w:spacing w:after="160" w:line="300"/>
      </w:pPr>
      <w:r>
        <w:rPr>
          <w:rFonts w:ascii="IBM Plex Sans" w:cs="IBM Plex Sans" w:eastAsia="IBM Plex Sans" w:hAnsi="IBM Plex Sans"/>
          <w:color w:val="1E293B"/>
          <w:sz w:val="21"/>
          <w:szCs w:val="21"/>
        </w:rPr>
        <w:t xml:space="preserve">Secara klinis, retensio urin pascapersalinan dibedakan menjadi tiga bentuk. Retensio urin overt (nyata) adalah ketidakmampuan berkemih spontan sama sekali dalam batas waktu yang ditetapkan, disertai kandung kemih yang teraba dan/atau nyeri suprapubik. Retensio urin covert (tersembunyi) adalah kondisi pasien tetap dapat berkemih spontan namun menyisakan volume residu pasca-berkemih (post-void residual/PVR) yang bermakna secara klinis, umumnya didefinisikan ≥150 mL, sehingga sering luput dari kewaspadaan klinis apabila pengukuran residu tidak dilakukan secara rutin. Retensio urin menetap (persistent) adalah retensio yang berlanjut melampaui hari ketiga pascapersalinan dan pada kasus tertentu dapat bertahan hingga beberapa minggu, sehingga memerlukan evaluasi lebih lanjut untuk menyingkirkan penyebab neurogenik atau struktural.</w:t>
      </w:r>
    </w:p>
    <w:p>
      <w:pPr>
        <w:spacing w:after="160" w:line="300"/>
      </w:pPr>
      <w:r>
        <w:rPr>
          <w:rFonts w:ascii="IBM Plex Sans" w:cs="IBM Plex Sans" w:eastAsia="IBM Plex Sans" w:hAnsi="IBM Plex Sans"/>
          <w:color w:val="1E293B"/>
          <w:sz w:val="21"/>
          <w:szCs w:val="21"/>
        </w:rPr>
        <w:t xml:space="preserve">Insidensi retensio urin pascapersalinan dilaporkan sangat bervariasi antarstudi bergantung pada definisi dan metode pengukuran yang digunakan, berkisar antara 0,05% hingga 37% untuk retensio urin secara keseluruhan pada tinjauan sistematis internasional. Data epidemiologi spesifik populasi Indonesia belum tersedia dalam Kepkonsil maupun registri nasional yang dapat diverifikasi pada saat penyusunan PPK ini [DATA: rujuk laporan/registri resmi terbaru — mis. Kemenkes, POGI].</w:t>
      </w:r>
    </w:p>
    <w:p>
      <w:pPr>
        <w:pStyle w:val="Heading1"/>
        <w:spacing w:after="140" w:before="300"/>
      </w:pPr>
      <w:r>
        <w:rPr>
          <w:rFonts w:ascii="Source Serif 4" w:cs="Source Serif 4" w:eastAsia="Source Serif 4" w:hAnsi="Source Serif 4"/>
          <w:color w:val="111827"/>
        </w:rPr>
        <w:t xml:space="preserve">2. Anamnesis</w:t>
      </w:r>
    </w:p>
    <w:p>
      <w:pPr>
        <w:spacing w:after="160" w:line="300"/>
      </w:pPr>
      <w:r>
        <w:rPr>
          <w:rFonts w:ascii="IBM Plex Sans" w:cs="IBM Plex Sans" w:eastAsia="IBM Plex Sans" w:hAnsi="IBM Plex Sans"/>
          <w:color w:val="1E293B"/>
          <w:sz w:val="21"/>
          <w:szCs w:val="21"/>
        </w:rPr>
        <w:t xml:space="preserve">Anamnesis diarahkan untuk mengidentifikasi faktor risiko dan gejala yang mengarah pada gangguan pengosongan kandung kemih pascapersalinan. Secara patofisiologi, retensio urin pascapersalinan diperkirakan bersifat multifaktorial, meliputi kombinasi efek mekanis (edema dan nyeri jalan lahir yang menghambat relaksasi sfingter uretra), efek neurologis (kompresi atau regangan cabang saraf pudendus dan pleksus pelvis oleh kepala janin, serta blok saraf akibat analgesia regional), dan efek hormonal (pengaruh sisa progesteron terhadap tonus otot polos kandung kemih).</w:t>
      </w:r>
    </w:p>
    <w:p>
      <w:pPr>
        <w:spacing w:after="160" w:line="300"/>
      </w:pPr>
      <w:r>
        <w:rPr>
          <w:rFonts w:ascii="IBM Plex Sans" w:cs="IBM Plex Sans" w:eastAsia="IBM Plex Sans" w:hAnsi="IBM Plex Sans"/>
          <w:color w:val="1E293B"/>
          <w:sz w:val="21"/>
          <w:szCs w:val="21"/>
        </w:rPr>
        <w:t xml:space="preserve">Faktor risiko yang wajib digali meliputi: persalinan lama (kala II memanjang), penggunaan analgesia regional (anestesi epidural/spinal), persalinan dengan bantuan instrumen (ekstraksi vakum atau forsep), laserasi perineum derajat III–IV atau episiotomi luas, primiparitas, makrosomia janin, serta riwayat retensio urin pada persalinan sebelumnya. Faktor-faktor ini konsisten dengan tinjauan sistematis dan meta-analisis faktor risiko retensio urin pascapersalinan pada kepustakaan urogenikologi internasional.</w:t>
      </w:r>
    </w:p>
    <w:p>
      <w:pPr>
        <w:spacing w:after="160" w:line="300"/>
      </w:pPr>
      <w:r>
        <w:rPr>
          <w:rFonts w:ascii="IBM Plex Sans" w:cs="IBM Plex Sans" w:eastAsia="IBM Plex Sans" w:hAnsi="IBM Plex Sans"/>
          <w:color w:val="1E293B"/>
          <w:sz w:val="21"/>
          <w:szCs w:val="21"/>
        </w:rPr>
        <w:t xml:space="preserve">Keluhan yang perlu ditanyakan secara aktif meliputi: rasa penuh atau nyeri di area suprapubik, ketidakmampuan atau kesulitan memulai berkemih, pancaran urin lemah atau terputus-putus, rasa berkemih yang tidak tuntas, serta frekuensi berkemih dengan volume sedikit-sedikit (voiding by overflow) yang dapat menyerupai kontinensia normal namun sesungguhnya menandakan retensio urin covert.</w:t>
      </w:r>
    </w:p>
    <w:p>
      <w:pPr>
        <w:spacing w:after="80" w:before="80"/>
      </w:pPr>
      <w:r>
        <w:rPr>
          <w:rFonts w:ascii="IBM Plex Sans" w:cs="IBM Plex Sans" w:eastAsia="IBM Plex Sans" w:hAnsi="IBM Plex Sans"/>
          <w:b/>
          <w:bCs/>
          <w:color w:val="334155"/>
          <w:sz w:val="21"/>
          <w:szCs w:val="21"/>
        </w:rPr>
        <w:t xml:space="preserve">Poin anamnesis wajib didokumentasikan</w:t>
      </w:r>
    </w:p>
    <w:p>
      <w:pPr>
        <w:pStyle w:val="ListParagraph"/>
        <w:numPr>
          <w:ilvl w:val="0"/>
          <w:numId w:val="2"/>
        </w:numPr>
        <w:spacing w:after="90" w:line="290"/>
      </w:pPr>
      <w:r>
        <w:rPr>
          <w:rFonts w:ascii="IBM Plex Sans" w:cs="IBM Plex Sans" w:eastAsia="IBM Plex Sans" w:hAnsi="IBM Plex Sans"/>
          <w:color w:val="1E293B"/>
          <w:sz w:val="21"/>
          <w:szCs w:val="21"/>
        </w:rPr>
        <w:t xml:space="preserve">Waktu persalinan dan waktu berkemih spontan pertama pascapersalinan (interval jam)</w:t>
      </w:r>
    </w:p>
    <w:p>
      <w:pPr>
        <w:pStyle w:val="ListParagraph"/>
        <w:numPr>
          <w:ilvl w:val="0"/>
          <w:numId w:val="2"/>
        </w:numPr>
        <w:spacing w:after="90" w:line="290"/>
      </w:pPr>
      <w:r>
        <w:rPr>
          <w:rFonts w:ascii="IBM Plex Sans" w:cs="IBM Plex Sans" w:eastAsia="IBM Plex Sans" w:hAnsi="IBM Plex Sans"/>
          <w:color w:val="1E293B"/>
          <w:sz w:val="21"/>
          <w:szCs w:val="21"/>
        </w:rPr>
        <w:t xml:space="preserve">Jenis dan durasi analgesia persalinan (epidural/spinal, opioid sistemik)</w:t>
      </w:r>
    </w:p>
    <w:p>
      <w:pPr>
        <w:pStyle w:val="ListParagraph"/>
        <w:numPr>
          <w:ilvl w:val="0"/>
          <w:numId w:val="2"/>
        </w:numPr>
        <w:spacing w:after="90" w:line="290"/>
      </w:pPr>
      <w:r>
        <w:rPr>
          <w:rFonts w:ascii="IBM Plex Sans" w:cs="IBM Plex Sans" w:eastAsia="IBM Plex Sans" w:hAnsi="IBM Plex Sans"/>
          <w:color w:val="1E293B"/>
          <w:sz w:val="21"/>
          <w:szCs w:val="21"/>
        </w:rPr>
        <w:t xml:space="preserve">Cara persalinan (spontan, instrumental, seksio sesarea) dan durasi kala II</w:t>
      </w:r>
    </w:p>
    <w:p>
      <w:pPr>
        <w:pStyle w:val="ListParagraph"/>
        <w:numPr>
          <w:ilvl w:val="0"/>
          <w:numId w:val="2"/>
        </w:numPr>
        <w:spacing w:after="90" w:line="290"/>
      </w:pPr>
      <w:r>
        <w:rPr>
          <w:rFonts w:ascii="IBM Plex Sans" w:cs="IBM Plex Sans" w:eastAsia="IBM Plex Sans" w:hAnsi="IBM Plex Sans"/>
          <w:color w:val="1E293B"/>
          <w:sz w:val="21"/>
          <w:szCs w:val="21"/>
        </w:rPr>
        <w:t xml:space="preserve">Derajat laserasi perineum/episiotomi dan nyeri perineum saat ini (skala nyeri)</w:t>
      </w:r>
    </w:p>
    <w:p>
      <w:pPr>
        <w:pStyle w:val="ListParagraph"/>
        <w:numPr>
          <w:ilvl w:val="0"/>
          <w:numId w:val="2"/>
        </w:numPr>
        <w:spacing w:after="90" w:line="290"/>
      </w:pPr>
      <w:r>
        <w:rPr>
          <w:rFonts w:ascii="IBM Plex Sans" w:cs="IBM Plex Sans" w:eastAsia="IBM Plex Sans" w:hAnsi="IBM Plex Sans"/>
          <w:color w:val="1E293B"/>
          <w:sz w:val="21"/>
          <w:szCs w:val="21"/>
        </w:rPr>
        <w:t xml:space="preserve">Riwayat gangguan berkemih sebelum kehamilan atau pada kehamilan/persalinan sebelumnya</w:t>
      </w:r>
    </w:p>
    <w:p>
      <w:pPr>
        <w:pStyle w:val="ListParagraph"/>
        <w:numPr>
          <w:ilvl w:val="0"/>
          <w:numId w:val="2"/>
        </w:numPr>
        <w:spacing w:after="90" w:line="290"/>
      </w:pPr>
      <w:r>
        <w:rPr>
          <w:rFonts w:ascii="IBM Plex Sans" w:cs="IBM Plex Sans" w:eastAsia="IBM Plex Sans" w:hAnsi="IBM Plex Sans"/>
          <w:color w:val="1E293B"/>
          <w:sz w:val="21"/>
          <w:szCs w:val="21"/>
        </w:rPr>
        <w:t xml:space="preserve">Asupan cairan intravena intrapartum dan waktu pelepasan kateter (bila terpasang)</w:t>
      </w:r>
    </w:p>
    <w:p>
      <w:pPr>
        <w:pStyle w:val="Heading1"/>
        <w:spacing w:after="140" w:before="300"/>
      </w:pPr>
      <w:r>
        <w:rPr>
          <w:rFonts w:ascii="Source Serif 4" w:cs="Source Serif 4" w:eastAsia="Source Serif 4" w:hAnsi="Source Serif 4"/>
          <w:color w:val="111827"/>
        </w:rPr>
        <w:t xml:space="preserve">3. Pemeriksaan Fisik</w:t>
      </w:r>
    </w:p>
    <w:p>
      <w:pPr>
        <w:spacing w:after="160" w:line="300"/>
      </w:pPr>
      <w:r>
        <w:rPr>
          <w:rFonts w:ascii="IBM Plex Sans" w:cs="IBM Plex Sans" w:eastAsia="IBM Plex Sans" w:hAnsi="IBM Plex Sans"/>
          <w:color w:val="1E293B"/>
          <w:sz w:val="21"/>
          <w:szCs w:val="21"/>
        </w:rPr>
        <w:t xml:space="preserve">Pemeriksaan fisik berfokus pada evaluasi status kandung kemih dan penapisan penyebab obstruktif lokal. Pemeriksaan abdomen dilakukan untuk menilai adanya massa suprapubik yang konsisten dengan distensi kandung kemih, disertai perkusi (redup pada area distensi) dan palpasi untuk menilai nyeri tekan.</w:t>
      </w:r>
    </w:p>
    <w:p>
      <w:pPr>
        <w:spacing w:after="160" w:line="300"/>
      </w:pPr>
      <w:r>
        <w:rPr>
          <w:rFonts w:ascii="IBM Plex Sans" w:cs="IBM Plex Sans" w:eastAsia="IBM Plex Sans" w:hAnsi="IBM Plex Sans"/>
          <w:color w:val="1E293B"/>
          <w:sz w:val="21"/>
          <w:szCs w:val="21"/>
        </w:rPr>
        <w:t xml:space="preserve">Pemeriksaan genitalia eksterna dan perineum dilakukan untuk menilai edema vulva, hematoma periuretra atau paravaginal, integritas dan nyeri luka jahitan episiotomi/laserasi, serta tanda obstruksi mekanik lain seperti edema periuretra yang dapat menghalangi aliran urin. Pada kecurigaan defisit neurologis, dilakukan pemeriksaan sensorik perineum (dermatom S2–S4) dan refleks bulbokavernosus, terutama pada pasien pasca-anestesi regional dengan blok motorik/sensorik yang belum pulih sempurna.</w:t>
      </w:r>
    </w:p>
    <w:p>
      <w:pPr>
        <w:spacing w:after="80" w:before="80"/>
      </w:pPr>
      <w:r>
        <w:rPr>
          <w:rFonts w:ascii="IBM Plex Sans" w:cs="IBM Plex Sans" w:eastAsia="IBM Plex Sans" w:hAnsi="IBM Plex Sans"/>
          <w:b/>
          <w:bCs/>
          <w:color w:val="334155"/>
          <w:sz w:val="21"/>
          <w:szCs w:val="21"/>
        </w:rPr>
        <w:t xml:space="preserve">Komponen pemeriksaan fisik terarah</w:t>
      </w:r>
    </w:p>
    <w:p>
      <w:pPr>
        <w:pStyle w:val="ListParagraph"/>
        <w:numPr>
          <w:ilvl w:val="0"/>
          <w:numId w:val="2"/>
        </w:numPr>
        <w:spacing w:after="90" w:line="290"/>
      </w:pPr>
      <w:r>
        <w:rPr>
          <w:rFonts w:ascii="IBM Plex Sans" w:cs="IBM Plex Sans" w:eastAsia="IBM Plex Sans" w:hAnsi="IBM Plex Sans"/>
          <w:color w:val="1E293B"/>
          <w:sz w:val="21"/>
          <w:szCs w:val="21"/>
        </w:rPr>
        <w:t xml:space="preserve">Inspeksi dan palpasi suprapubik untuk distensi kandung kemih teraba</w:t>
      </w:r>
    </w:p>
    <w:p>
      <w:pPr>
        <w:pStyle w:val="ListParagraph"/>
        <w:numPr>
          <w:ilvl w:val="0"/>
          <w:numId w:val="2"/>
        </w:numPr>
        <w:spacing w:after="90" w:line="290"/>
      </w:pPr>
      <w:r>
        <w:rPr>
          <w:rFonts w:ascii="IBM Plex Sans" w:cs="IBM Plex Sans" w:eastAsia="IBM Plex Sans" w:hAnsi="IBM Plex Sans"/>
          <w:color w:val="1E293B"/>
          <w:sz w:val="21"/>
          <w:szCs w:val="21"/>
        </w:rPr>
        <w:t xml:space="preserve">Perkusi area suprapubik (pekak/redup menandakan kandung kemih terisi)</w:t>
      </w:r>
    </w:p>
    <w:p>
      <w:pPr>
        <w:pStyle w:val="ListParagraph"/>
        <w:numPr>
          <w:ilvl w:val="0"/>
          <w:numId w:val="2"/>
        </w:numPr>
        <w:spacing w:after="90" w:line="290"/>
      </w:pPr>
      <w:r>
        <w:rPr>
          <w:rFonts w:ascii="IBM Plex Sans" w:cs="IBM Plex Sans" w:eastAsia="IBM Plex Sans" w:hAnsi="IBM Plex Sans"/>
          <w:color w:val="1E293B"/>
          <w:sz w:val="21"/>
          <w:szCs w:val="21"/>
        </w:rPr>
        <w:t xml:space="preserve">Inspeksi perineum: edema, hematoma, integritas jahitan</w:t>
      </w:r>
    </w:p>
    <w:p>
      <w:pPr>
        <w:pStyle w:val="ListParagraph"/>
        <w:numPr>
          <w:ilvl w:val="0"/>
          <w:numId w:val="2"/>
        </w:numPr>
        <w:spacing w:after="90" w:line="290"/>
      </w:pPr>
      <w:r>
        <w:rPr>
          <w:rFonts w:ascii="IBM Plex Sans" w:cs="IBM Plex Sans" w:eastAsia="IBM Plex Sans" w:hAnsi="IBM Plex Sans"/>
          <w:color w:val="1E293B"/>
          <w:sz w:val="21"/>
          <w:szCs w:val="21"/>
        </w:rPr>
        <w:t xml:space="preserve">Pemeriksaan tanda vital untuk menyingkirkan tanda infeksi sistemik</w:t>
      </w:r>
    </w:p>
    <w:p>
      <w:pPr>
        <w:pStyle w:val="ListParagraph"/>
        <w:numPr>
          <w:ilvl w:val="0"/>
          <w:numId w:val="2"/>
        </w:numPr>
        <w:spacing w:after="90" w:line="290"/>
      </w:pPr>
      <w:r>
        <w:rPr>
          <w:rFonts w:ascii="IBM Plex Sans" w:cs="IBM Plex Sans" w:eastAsia="IBM Plex Sans" w:hAnsi="IBM Plex Sans"/>
          <w:color w:val="1E293B"/>
          <w:sz w:val="21"/>
          <w:szCs w:val="21"/>
        </w:rPr>
        <w:t xml:space="preserve">Penilaian status neurologis perineum bila dicurigai efek residual anestesi regional</w:t>
      </w:r>
    </w:p>
    <w:p>
      <w:pPr>
        <w:pStyle w:val="Heading1"/>
        <w:spacing w:after="140" w:before="300"/>
      </w:pPr>
      <w:r>
        <w:rPr>
          <w:rFonts w:ascii="Source Serif 4" w:cs="Source Serif 4" w:eastAsia="Source Serif 4" w:hAnsi="Source Serif 4"/>
          <w:color w:val="111827"/>
        </w:rPr>
        <w:t xml:space="preserve">4. Kriteria Diagnosis</w:t>
      </w: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EEF2FF" w:val="clear"/>
            <w:tcMar>
              <w:top w:type="dxa" w:w="140"/>
              <w:left w:type="dxa" w:w="220"/>
              <w:bottom w:type="dxa" w:w="140"/>
              <w:right w:type="dxa" w:w="220"/>
            </w:tcMar>
          </w:tcPr>
          <w:p>
            <w:pPr>
              <w:spacing w:after="60"/>
            </w:pPr>
            <w:r>
              <w:rPr>
                <w:rFonts w:ascii="IBM Plex Sans" w:cs="IBM Plex Sans" w:eastAsia="IBM Plex Sans" w:hAnsi="IBM Plex Sans"/>
                <w:b/>
                <w:bCs/>
                <w:color w:val="4F46E5"/>
                <w:sz w:val="17"/>
                <w:szCs w:val="17"/>
              </w:rPr>
              <w:t xml:space="preserve">DASAR REGULASI</w:t>
            </w:r>
          </w:p>
          <w:p>
            <w:r>
              <w:rPr>
                <w:rFonts w:ascii="IBM Plex Mono" w:cs="IBM Plex Mono" w:eastAsia="IBM Plex Mono" w:hAnsi="IBM Plex Mono"/>
                <w:color w:val="334155"/>
                <w:sz w:val="18"/>
                <w:szCs w:val="18"/>
              </w:rPr>
              <w:t xml:space="preserve">Kode diagnosis merujuk Kepkonsil Tabel 7 No. 62: ICD-10 R33 (Retention of urine); ICD-11 MF50.3.</w:t>
            </w:r>
          </w:p>
        </w:tc>
      </w:tr>
    </w:tbl>
    <w:p>
      <w:pPr>
        <w:spacing w:after="160"/>
      </w:pPr>
    </w:p>
    <w:p>
      <w:pPr>
        <w:spacing w:after="160" w:line="300"/>
      </w:pPr>
      <w:r>
        <w:rPr>
          <w:rFonts w:ascii="IBM Plex Sans" w:cs="IBM Plex Sans" w:eastAsia="IBM Plex Sans" w:hAnsi="IBM Plex Sans"/>
          <w:color w:val="1E293B"/>
          <w:sz w:val="21"/>
          <w:szCs w:val="21"/>
        </w:rPr>
        <w:t xml:space="preserve">Diagnosis retensio urin akut pascapersalinan ditegakkan berdasarkan kombinasi kriteria waktu dan volume residu pasca-berkemih, dengan kode diagnosis ICD-10 R33 (Retention of urine) dan ICD-11 MF50.3.</w:t>
      </w:r>
    </w:p>
    <w:p>
      <w:pPr>
        <w:spacing w:after="80" w:before="80"/>
      </w:pPr>
      <w:r>
        <w:rPr>
          <w:rFonts w:ascii="IBM Plex Sans" w:cs="IBM Plex Sans" w:eastAsia="IBM Plex Sans" w:hAnsi="IBM Plex Sans"/>
          <w:b/>
          <w:bCs/>
          <w:color w:val="334155"/>
          <w:sz w:val="21"/>
          <w:szCs w:val="21"/>
        </w:rPr>
        <w:t xml:space="preserve">Kriteria diagnosis operasional</w:t>
      </w:r>
    </w:p>
    <w:tbl>
      <w:tblPr>
        <w:tblW w:type="dxa" w:w="9020"/>
        <w:tblBorders>
          <w:top w:val="single" w:color="auto" w:sz="4"/>
          <w:left w:val="single" w:color="auto" w:sz="4"/>
          <w:bottom w:val="single" w:color="auto" w:sz="4"/>
          <w:right w:val="single" w:color="auto" w:sz="4"/>
          <w:insideH w:val="single" w:color="auto" w:sz="4"/>
          <w:insideV w:val="single" w:color="auto" w:sz="4"/>
        </w:tblBorders>
      </w:tblPr>
      <w:tblGrid>
        <w:gridCol w:w="4510"/>
        <w:gridCol w:w="4510"/>
      </w:tblGrid>
      <w:tr>
        <w:trPr>
          <w:cantSplit/>
          <w:tblHeader/>
        </w:trPr>
        <w:tc>
          <w:tcPr>
            <w:tcW w:type="dxa" w:w="451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Bentuk Klinis</w:t>
            </w:r>
          </w:p>
        </w:tc>
        <w:tc>
          <w:tcPr>
            <w:tcW w:type="dxa" w:w="451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Kriteria Operasional</w:t>
            </w:r>
          </w:p>
        </w:tc>
      </w:tr>
      <w:tr>
        <w:trPr>
          <w:cantSplit/>
        </w:trPr>
        <w:tc>
          <w:tcPr>
            <w:tcW w:type="dxa" w:w="4510"/>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Retensio urin overt</w:t>
            </w:r>
          </w:p>
        </w:tc>
        <w:tc>
          <w:tcPr>
            <w:tcW w:type="dxa" w:w="4510"/>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Tidak mampu berkemih spontan dalam 6 jam pascapersalinan pervaginam, atau dalam 6 jam setelah pelepasan kateter urin pascaseksio sesarea, disertai kandung kemih teraba/nyeri suprapubik.</w:t>
            </w:r>
          </w:p>
        </w:tc>
      </w:tr>
      <w:tr>
        <w:trPr>
          <w:cantSplit/>
        </w:trPr>
        <w:tc>
          <w:tcPr>
            <w:tcW w:type="dxa" w:w="4510"/>
            <w:shd w:fill="F8FAFC"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Retensio urin covert</w:t>
            </w:r>
          </w:p>
        </w:tc>
        <w:tc>
          <w:tcPr>
            <w:tcW w:type="dxa" w:w="4510"/>
            <w:shd w:fill="F8FAFC"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Mampu berkemih spontan, namun volume residu pasca-berkemih (PVR) terukur ≥150 mL pada pengukuran dengan kateterisasi atau bladder scan.</w:t>
            </w:r>
          </w:p>
        </w:tc>
      </w:tr>
      <w:tr>
        <w:trPr>
          <w:cantSplit/>
        </w:trPr>
        <w:tc>
          <w:tcPr>
            <w:tcW w:type="dxa" w:w="4510"/>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Retensio urin menetap (persistent)</w:t>
            </w:r>
          </w:p>
        </w:tc>
        <w:tc>
          <w:tcPr>
            <w:tcW w:type="dxa" w:w="4510"/>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Retensio urin (overt maupun covert) yang berlanjut melampaui hari ketiga pascapersalinan, memerlukan evaluasi etiologi lebih lanjut.</w:t>
            </w:r>
          </w:p>
        </w:tc>
      </w:tr>
      <w:tr>
        <w:trPr>
          <w:cantSplit/>
        </w:trPr>
        <w:tc>
          <w:tcPr>
            <w:tcW w:type="dxa" w:w="4510"/>
            <w:shd w:fill="F8FAFC"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Kode diagnosis</w:t>
            </w:r>
          </w:p>
        </w:tc>
        <w:tc>
          <w:tcPr>
            <w:tcW w:type="dxa" w:w="4510"/>
            <w:shd w:fill="F8FAFC"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ICD-10: R33 — ICD-11: MF50.3 (hasil verifikasi ulang terhadap Tabel 7 Kepkonsil No. 62).</w:t>
            </w:r>
          </w:p>
        </w:tc>
      </w:tr>
    </w:tbl>
    <w:p>
      <w:pPr>
        <w:spacing w:after="160"/>
      </w:pPr>
    </w:p>
    <w:p>
      <w:pPr>
        <w:pStyle w:val="Heading1"/>
        <w:spacing w:after="140" w:before="300"/>
      </w:pPr>
      <w:r>
        <w:rPr>
          <w:rFonts w:ascii="Source Serif 4" w:cs="Source Serif 4" w:eastAsia="Source Serif 4" w:hAnsi="Source Serif 4"/>
          <w:color w:val="111827"/>
        </w:rPr>
        <w:t xml:space="preserve">5. Diagnosis Kerja dan Diagnosis Banding</w:t>
      </w:r>
    </w:p>
    <w:p>
      <w:pPr>
        <w:spacing w:after="160" w:line="300"/>
      </w:pPr>
      <w:r>
        <w:rPr>
          <w:rFonts w:ascii="IBM Plex Sans" w:cs="IBM Plex Sans" w:eastAsia="IBM Plex Sans" w:hAnsi="IBM Plex Sans"/>
          <w:color w:val="1E293B"/>
          <w:sz w:val="21"/>
          <w:szCs w:val="21"/>
        </w:rPr>
        <w:t xml:space="preserve">Diagnosis kerja adalah retensio urin akut pascapersalinan (R33/MF50.3) yang ditegakkan setelah kriteria pada bagian 4 terpenuhi dan penyebab obstruktif struktural berat telah disingkirkan atau diidentifikasi sebagai etiologi penyerta.</w:t>
      </w:r>
    </w:p>
    <w:p>
      <w:pPr>
        <w:spacing w:after="80" w:before="80"/>
      </w:pPr>
      <w:r>
        <w:rPr>
          <w:rFonts w:ascii="IBM Plex Sans" w:cs="IBM Plex Sans" w:eastAsia="IBM Plex Sans" w:hAnsi="IBM Plex Sans"/>
          <w:b/>
          <w:bCs/>
          <w:color w:val="334155"/>
          <w:sz w:val="21"/>
          <w:szCs w:val="21"/>
        </w:rPr>
        <w:t xml:space="preserve">Diagnosis banding yang wajib dipertimbangkan</w:t>
      </w:r>
    </w:p>
    <w:p>
      <w:pPr>
        <w:pStyle w:val="ListParagraph"/>
        <w:numPr>
          <w:ilvl w:val="0"/>
          <w:numId w:val="2"/>
        </w:numPr>
        <w:spacing w:after="90" w:line="290"/>
      </w:pPr>
      <w:r>
        <w:rPr>
          <w:rFonts w:ascii="IBM Plex Sans" w:cs="IBM Plex Sans" w:eastAsia="IBM Plex Sans" w:hAnsi="IBM Plex Sans"/>
          <w:color w:val="1E293B"/>
          <w:sz w:val="21"/>
          <w:szCs w:val="21"/>
        </w:rPr>
        <w:t xml:space="preserve">Nyeri perineum berat pasca-episiotomi/laserasi yang menghambat relaksasi sfingter uretra secara volunter, tanpa gangguan neurogenik</w:t>
      </w:r>
    </w:p>
    <w:p>
      <w:pPr>
        <w:pStyle w:val="ListParagraph"/>
        <w:numPr>
          <w:ilvl w:val="0"/>
          <w:numId w:val="2"/>
        </w:numPr>
        <w:spacing w:after="90" w:line="290"/>
      </w:pPr>
      <w:r>
        <w:rPr>
          <w:rFonts w:ascii="IBM Plex Sans" w:cs="IBM Plex Sans" w:eastAsia="IBM Plex Sans" w:hAnsi="IBM Plex Sans"/>
          <w:color w:val="1E293B"/>
          <w:sz w:val="21"/>
          <w:szCs w:val="21"/>
        </w:rPr>
        <w:t xml:space="preserve">Efek residual analgesia regional (blok motorik/sensorik sakral yang belum pulih)</w:t>
      </w:r>
    </w:p>
    <w:p>
      <w:pPr>
        <w:pStyle w:val="ListParagraph"/>
        <w:numPr>
          <w:ilvl w:val="0"/>
          <w:numId w:val="2"/>
        </w:numPr>
        <w:spacing w:after="90" w:line="290"/>
      </w:pPr>
      <w:r>
        <w:rPr>
          <w:rFonts w:ascii="IBM Plex Sans" w:cs="IBM Plex Sans" w:eastAsia="IBM Plex Sans" w:hAnsi="IBM Plex Sans"/>
          <w:color w:val="1E293B"/>
          <w:sz w:val="21"/>
          <w:szCs w:val="21"/>
        </w:rPr>
        <w:t xml:space="preserve">Hematoma vulva, paravaginal, atau periuretra yang menyebabkan obstruksi mekanik jalur uretra</w:t>
      </w:r>
    </w:p>
    <w:p>
      <w:pPr>
        <w:pStyle w:val="ListParagraph"/>
        <w:numPr>
          <w:ilvl w:val="0"/>
          <w:numId w:val="2"/>
        </w:numPr>
        <w:spacing w:after="90" w:line="290"/>
      </w:pPr>
      <w:r>
        <w:rPr>
          <w:rFonts w:ascii="IBM Plex Sans" w:cs="IBM Plex Sans" w:eastAsia="IBM Plex Sans" w:hAnsi="IBM Plex Sans"/>
          <w:color w:val="1E293B"/>
          <w:sz w:val="21"/>
          <w:szCs w:val="21"/>
        </w:rPr>
        <w:t xml:space="preserve">Infeksi saluran kemih atau sistitis akut yang menyertai gangguan berkemih</w:t>
      </w:r>
    </w:p>
    <w:p>
      <w:pPr>
        <w:pStyle w:val="ListParagraph"/>
        <w:numPr>
          <w:ilvl w:val="0"/>
          <w:numId w:val="2"/>
        </w:numPr>
        <w:spacing w:after="90" w:line="290"/>
      </w:pPr>
      <w:r>
        <w:rPr>
          <w:rFonts w:ascii="IBM Plex Sans" w:cs="IBM Plex Sans" w:eastAsia="IBM Plex Sans" w:hAnsi="IBM Plex Sans"/>
          <w:color w:val="1E293B"/>
          <w:sz w:val="21"/>
          <w:szCs w:val="21"/>
        </w:rPr>
        <w:t xml:space="preserve">Retensio urin neurogenik akibat cedera saraf perifer intrapartum (jarang)</w:t>
      </w:r>
    </w:p>
    <w:p>
      <w:pPr>
        <w:pStyle w:val="ListParagraph"/>
        <w:numPr>
          <w:ilvl w:val="0"/>
          <w:numId w:val="2"/>
        </w:numPr>
        <w:spacing w:after="90" w:line="290"/>
      </w:pPr>
      <w:r>
        <w:rPr>
          <w:rFonts w:ascii="IBM Plex Sans" w:cs="IBM Plex Sans" w:eastAsia="IBM Plex Sans" w:hAnsi="IBM Plex Sans"/>
          <w:color w:val="1E293B"/>
          <w:sz w:val="21"/>
          <w:szCs w:val="21"/>
        </w:rPr>
        <w:t xml:space="preserve">Globus vesicae akibat overdistensi kandung kemih yang tidak dikenali sebelumnya</w:t>
      </w:r>
    </w:p>
    <w:p>
      <w:pPr>
        <w:pStyle w:val="Heading1"/>
        <w:spacing w:after="140" w:before="300"/>
      </w:pPr>
      <w:r>
        <w:rPr>
          <w:rFonts w:ascii="Source Serif 4" w:cs="Source Serif 4" w:eastAsia="Source Serif 4" w:hAnsi="Source Serif 4"/>
          <w:color w:val="111827"/>
        </w:rPr>
        <w:t xml:space="preserve">6. Pemeriksaan Penunjang</w:t>
      </w:r>
    </w:p>
    <w:p>
      <w:pPr>
        <w:spacing w:after="160" w:line="300"/>
      </w:pPr>
      <w:r>
        <w:rPr>
          <w:rFonts w:ascii="IBM Plex Sans" w:cs="IBM Plex Sans" w:eastAsia="IBM Plex Sans" w:hAnsi="IBM Plex Sans"/>
          <w:color w:val="1E293B"/>
          <w:sz w:val="21"/>
          <w:szCs w:val="21"/>
        </w:rPr>
        <w:t xml:space="preserve">Pemeriksaan penunjang utama adalah pengukuran volume residu pasca-berkemih (post-void residual/PVR), yang dapat dilakukan dengan bladder scan (ultrasonografi portabel non-invasif) sebagai pilihan utama, atau dengan kateterisasi in-and-out apabila bladder scan tidak tersedia. Bladder scan lebih dipilih pada praktik kontemporer karena bersifat non-invasif dan mengurangi risiko infeksi saluran kemih iatrogenik dibandingkan kateterisasi berulang untuk keperluan pengukuran semata. Pemeriksaan urinalisis dilakukan untuk menyingkirkan infeksi saluran kemih sebagai faktor penyerta atau pencetus.</w:t>
      </w:r>
    </w:p>
    <w:p>
      <w:pPr>
        <w:spacing w:after="80" w:before="80"/>
      </w:pPr>
      <w:r>
        <w:rPr>
          <w:rFonts w:ascii="IBM Plex Sans" w:cs="IBM Plex Sans" w:eastAsia="IBM Plex Sans" w:hAnsi="IBM Plex Sans"/>
          <w:b/>
          <w:bCs/>
          <w:color w:val="334155"/>
          <w:sz w:val="21"/>
          <w:szCs w:val="21"/>
        </w:rPr>
        <w:t xml:space="preserve">Pemeriksaan penunjang yang direkomendasikan</w:t>
      </w:r>
    </w:p>
    <w:p>
      <w:pPr>
        <w:pStyle w:val="ListParagraph"/>
        <w:numPr>
          <w:ilvl w:val="0"/>
          <w:numId w:val="2"/>
        </w:numPr>
        <w:spacing w:after="90" w:line="290"/>
      </w:pPr>
      <w:r>
        <w:rPr>
          <w:rFonts w:ascii="IBM Plex Sans" w:cs="IBM Plex Sans" w:eastAsia="IBM Plex Sans" w:hAnsi="IBM Plex Sans"/>
          <w:color w:val="1E293B"/>
          <w:sz w:val="21"/>
          <w:szCs w:val="21"/>
        </w:rPr>
        <w:t xml:space="preserve">Bladder scan (ultrasonografi kandung kemih portabel) untuk pengukuran PVR non-invasif</w:t>
      </w:r>
    </w:p>
    <w:p>
      <w:pPr>
        <w:pStyle w:val="ListParagraph"/>
        <w:numPr>
          <w:ilvl w:val="0"/>
          <w:numId w:val="2"/>
        </w:numPr>
        <w:spacing w:after="90" w:line="290"/>
      </w:pPr>
      <w:r>
        <w:rPr>
          <w:rFonts w:ascii="IBM Plex Sans" w:cs="IBM Plex Sans" w:eastAsia="IBM Plex Sans" w:hAnsi="IBM Plex Sans"/>
          <w:color w:val="1E293B"/>
          <w:sz w:val="21"/>
          <w:szCs w:val="21"/>
        </w:rPr>
        <w:t xml:space="preserve">Kateterisasi in-and-out untuk pengukuran volume residu bila bladder scan tidak tersedia</w:t>
      </w:r>
    </w:p>
    <w:p>
      <w:pPr>
        <w:pStyle w:val="ListParagraph"/>
        <w:numPr>
          <w:ilvl w:val="0"/>
          <w:numId w:val="2"/>
        </w:numPr>
        <w:spacing w:after="90" w:line="290"/>
      </w:pPr>
      <w:r>
        <w:rPr>
          <w:rFonts w:ascii="IBM Plex Sans" w:cs="IBM Plex Sans" w:eastAsia="IBM Plex Sans" w:hAnsi="IBM Plex Sans"/>
          <w:color w:val="1E293B"/>
          <w:sz w:val="21"/>
          <w:szCs w:val="21"/>
        </w:rPr>
        <w:t xml:space="preserve">Urinalisis rutin untuk menyingkirkan infeksi saluran kemih</w:t>
      </w:r>
    </w:p>
    <w:p>
      <w:pPr>
        <w:pStyle w:val="ListParagraph"/>
        <w:numPr>
          <w:ilvl w:val="0"/>
          <w:numId w:val="2"/>
        </w:numPr>
        <w:spacing w:after="90" w:line="290"/>
      </w:pPr>
      <w:r>
        <w:rPr>
          <w:rFonts w:ascii="IBM Plex Sans" w:cs="IBM Plex Sans" w:eastAsia="IBM Plex Sans" w:hAnsi="IBM Plex Sans"/>
          <w:color w:val="1E293B"/>
          <w:sz w:val="21"/>
          <w:szCs w:val="21"/>
        </w:rPr>
        <w:t xml:space="preserve">Kultur urin bila terdapat tanda klinis infeksi saluran kemih</w:t>
      </w:r>
    </w:p>
    <w:p>
      <w:pPr>
        <w:pStyle w:val="ListParagraph"/>
        <w:numPr>
          <w:ilvl w:val="0"/>
          <w:numId w:val="2"/>
        </w:numPr>
        <w:spacing w:after="90" w:line="290"/>
      </w:pPr>
      <w:r>
        <w:rPr>
          <w:rFonts w:ascii="IBM Plex Sans" w:cs="IBM Plex Sans" w:eastAsia="IBM Plex Sans" w:hAnsi="IBM Plex Sans"/>
          <w:color w:val="1E293B"/>
          <w:sz w:val="21"/>
          <w:szCs w:val="21"/>
        </w:rPr>
        <w:t xml:space="preserve">Ureum-kreatinin serum pada kasus retensio urin berkepanjangan atau berulang untuk menilai fungsi ginjal</w:t>
      </w:r>
    </w:p>
    <w:p>
      <w:pPr>
        <w:pStyle w:val="Heading1"/>
        <w:spacing w:after="140" w:before="300"/>
      </w:pPr>
      <w:r>
        <w:rPr>
          <w:rFonts w:ascii="Source Serif 4" w:cs="Source Serif 4" w:eastAsia="Source Serif 4" w:hAnsi="Source Serif 4"/>
          <w:color w:val="111827"/>
        </w:rPr>
        <w:t xml:space="preserve">7. Tata Laksana</w:t>
      </w:r>
    </w:p>
    <w:p>
      <w:pPr>
        <w:spacing w:after="160" w:line="300"/>
      </w:pPr>
      <w:r>
        <w:rPr>
          <w:rFonts w:ascii="IBM Plex Sans" w:cs="IBM Plex Sans" w:eastAsia="IBM Plex Sans" w:hAnsi="IBM Plex Sans"/>
          <w:color w:val="1E293B"/>
          <w:sz w:val="21"/>
          <w:szCs w:val="21"/>
        </w:rPr>
        <w:t xml:space="preserve">Prinsip tata laksana adalah dekompresi kandung kemih segera untuk mencegah cedera detrusor akibat overdistensi, disertai identifikasi dan koreksi faktor pencetus yang reversibel.</w:t>
      </w:r>
    </w:p>
    <w:p>
      <w:pPr>
        <w:pStyle w:val="Heading2"/>
        <w:spacing w:after="100" w:before="220"/>
      </w:pPr>
      <w:r>
        <w:rPr>
          <w:rFonts w:ascii="Source Serif 4" w:cs="Source Serif 4" w:eastAsia="Source Serif 4" w:hAnsi="Source Serif 4"/>
          <w:color w:val="B45309"/>
        </w:rPr>
        <w:t xml:space="preserve">7.1 Tata Laksana Non-Farmakologis</w:t>
      </w:r>
    </w:p>
    <w:p>
      <w:pPr>
        <w:spacing w:after="160" w:line="300"/>
      </w:pPr>
      <w:r>
        <w:rPr>
          <w:rFonts w:ascii="IBM Plex Sans" w:cs="IBM Plex Sans" w:eastAsia="IBM Plex Sans" w:hAnsi="IBM Plex Sans"/>
          <w:color w:val="1E293B"/>
          <w:sz w:val="21"/>
          <w:szCs w:val="21"/>
        </w:rPr>
        <w:t xml:space="preserve">Tata laksana lini pertama bersifat non-farmakologis dan suportif, ditujukan untuk memfasilitasi berkemih spontan serta memantau PVR secara terjadwal.</w:t>
      </w:r>
    </w:p>
    <w:p>
      <w:pPr>
        <w:pStyle w:val="ListParagraph"/>
        <w:numPr>
          <w:ilvl w:val="0"/>
          <w:numId w:val="2"/>
        </w:numPr>
        <w:spacing w:after="90" w:line="290"/>
      </w:pPr>
      <w:r>
        <w:rPr>
          <w:rFonts w:ascii="IBM Plex Sans" w:cs="IBM Plex Sans" w:eastAsia="IBM Plex Sans" w:hAnsi="IBM Plex Sans"/>
          <w:color w:val="1E293B"/>
          <w:sz w:val="21"/>
          <w:szCs w:val="21"/>
        </w:rPr>
        <w:t xml:space="preserve">Mobilisasi dini dan posisi berkemih yang nyaman (duduk tegak, privasi terjaga)</w:t>
      </w:r>
    </w:p>
    <w:p>
      <w:pPr>
        <w:pStyle w:val="ListParagraph"/>
        <w:numPr>
          <w:ilvl w:val="0"/>
          <w:numId w:val="2"/>
        </w:numPr>
        <w:spacing w:after="90" w:line="290"/>
      </w:pPr>
      <w:r>
        <w:rPr>
          <w:rFonts w:ascii="IBM Plex Sans" w:cs="IBM Plex Sans" w:eastAsia="IBM Plex Sans" w:hAnsi="IBM Plex Sans"/>
          <w:color w:val="1E293B"/>
          <w:sz w:val="21"/>
          <w:szCs w:val="21"/>
        </w:rPr>
        <w:t xml:space="preserve">Kompres hangat area suprapubik dan stimulasi berkemih (bunyi air mengalir, membasahi perineum dengan air hangat)</w:t>
      </w:r>
    </w:p>
    <w:p>
      <w:pPr>
        <w:pStyle w:val="ListParagraph"/>
        <w:numPr>
          <w:ilvl w:val="0"/>
          <w:numId w:val="2"/>
        </w:numPr>
        <w:spacing w:after="90" w:line="290"/>
      </w:pPr>
      <w:r>
        <w:rPr>
          <w:rFonts w:ascii="IBM Plex Sans" w:cs="IBM Plex Sans" w:eastAsia="IBM Plex Sans" w:hAnsi="IBM Plex Sans"/>
          <w:color w:val="1E293B"/>
          <w:sz w:val="21"/>
          <w:szCs w:val="21"/>
        </w:rPr>
        <w:t xml:space="preserve">Analgesia adekuat untuk nyeri perineum agar tidak menghambat relaksasi sfingter uretra secara refleks</w:t>
      </w:r>
    </w:p>
    <w:p>
      <w:pPr>
        <w:pStyle w:val="ListParagraph"/>
        <w:numPr>
          <w:ilvl w:val="0"/>
          <w:numId w:val="2"/>
        </w:numPr>
        <w:spacing w:after="90" w:line="290"/>
      </w:pPr>
      <w:r>
        <w:rPr>
          <w:rFonts w:ascii="IBM Plex Sans" w:cs="IBM Plex Sans" w:eastAsia="IBM Plex Sans" w:hAnsi="IBM Plex Sans"/>
          <w:color w:val="1E293B"/>
          <w:sz w:val="21"/>
          <w:szCs w:val="21"/>
        </w:rPr>
        <w:t xml:space="preserve">Pemantauan terjadwal waktu berkemih spontan pertama dan pengukuran PVR pada setiap kecurigaan retensio</w:t>
      </w:r>
    </w:p>
    <w:p>
      <w:pPr>
        <w:pStyle w:val="ListParagraph"/>
        <w:numPr>
          <w:ilvl w:val="0"/>
          <w:numId w:val="2"/>
        </w:numPr>
        <w:spacing w:after="90" w:line="290"/>
      </w:pPr>
      <w:r>
        <w:rPr>
          <w:rFonts w:ascii="IBM Plex Sans" w:cs="IBM Plex Sans" w:eastAsia="IBM Plex Sans" w:hAnsi="IBM Plex Sans"/>
          <w:color w:val="1E293B"/>
          <w:sz w:val="21"/>
          <w:szCs w:val="21"/>
        </w:rPr>
        <w:t xml:space="preserve">Edukasi mobilisasi kandung kemih terjadwal (timed voiding) setiap 3–4 jam pada masa pemulihan awal</w:t>
      </w:r>
    </w:p>
    <w:p>
      <w:pPr>
        <w:pStyle w:val="Heading2"/>
        <w:spacing w:after="100" w:before="220"/>
      </w:pPr>
      <w:r>
        <w:rPr>
          <w:rFonts w:ascii="Source Serif 4" w:cs="Source Serif 4" w:eastAsia="Source Serif 4" w:hAnsi="Source Serif 4"/>
          <w:color w:val="B45309"/>
        </w:rPr>
        <w:t xml:space="preserve">7.2 Tata Laksana Farmakologis</w:t>
      </w:r>
    </w:p>
    <w:p>
      <w:pPr>
        <w:spacing w:after="160" w:line="300"/>
      </w:pPr>
      <w:r>
        <w:rPr>
          <w:rFonts w:ascii="IBM Plex Sans" w:cs="IBM Plex Sans" w:eastAsia="IBM Plex Sans" w:hAnsi="IBM Plex Sans"/>
          <w:color w:val="1E293B"/>
          <w:sz w:val="21"/>
          <w:szCs w:val="21"/>
        </w:rPr>
        <w:t xml:space="preserve">Tidak terdapat terapi farmakologis lini pertama yang terbukti secara konsisten mempercepat pemulihan berkemih spontan pada retensio urin pascapersalinan; tata laksana farmakologis bersifat suportif dan tidak menggantikan dekompresi mekanis bila indikasi kateterisasi terpenuhi.</w:t>
      </w:r>
    </w:p>
    <w:p>
      <w:pPr>
        <w:pStyle w:val="ListParagraph"/>
        <w:numPr>
          <w:ilvl w:val="0"/>
          <w:numId w:val="2"/>
        </w:numPr>
        <w:spacing w:after="90" w:line="290"/>
      </w:pPr>
      <w:r>
        <w:rPr>
          <w:rFonts w:ascii="IBM Plex Sans" w:cs="IBM Plex Sans" w:eastAsia="IBM Plex Sans" w:hAnsi="IBM Plex Sans"/>
          <w:color w:val="1E293B"/>
          <w:sz w:val="21"/>
          <w:szCs w:val="21"/>
        </w:rPr>
        <w:t xml:space="preserve">Analgesia sistemik non-opioid (parasetamol, OAINS bila tidak dikontraindikasikan) untuk mengendalikan nyeri perineum yang menghambat berkemih</w:t>
      </w:r>
    </w:p>
    <w:p>
      <w:pPr>
        <w:pStyle w:val="ListParagraph"/>
        <w:numPr>
          <w:ilvl w:val="0"/>
          <w:numId w:val="2"/>
        </w:numPr>
        <w:spacing w:after="90" w:line="290"/>
      </w:pPr>
      <w:r>
        <w:rPr>
          <w:rFonts w:ascii="IBM Plex Sans" w:cs="IBM Plex Sans" w:eastAsia="IBM Plex Sans" w:hAnsi="IBM Plex Sans"/>
          <w:color w:val="1E293B"/>
          <w:sz w:val="21"/>
          <w:szCs w:val="21"/>
        </w:rPr>
        <w:t xml:space="preserve">Hindari atau minimalkan opioid sistemik dan analgesia regional residual berlebihan karena berpotensi memperberat retensio</w:t>
      </w:r>
    </w:p>
    <w:p>
      <w:pPr>
        <w:pStyle w:val="ListParagraph"/>
        <w:numPr>
          <w:ilvl w:val="0"/>
          <w:numId w:val="2"/>
        </w:numPr>
        <w:spacing w:after="90" w:line="290"/>
      </w:pPr>
      <w:r>
        <w:rPr>
          <w:rFonts w:ascii="IBM Plex Sans" w:cs="IBM Plex Sans" w:eastAsia="IBM Plex Sans" w:hAnsi="IBM Plex Sans"/>
          <w:color w:val="1E293B"/>
          <w:sz w:val="21"/>
          <w:szCs w:val="21"/>
        </w:rPr>
        <w:t xml:space="preserve">Agen alfa-blocker dapat dipertimbangkan pada kasus retensio berulang/berkepanjangan atas keputusan subspesialis Uroginekologi Rekonstruksi; penggunaannya bersifat ekstrapolasi dari tata laksana retensio urin pada populasi lain dan belum didukung bukti tingkat tinggi khusus untuk retensio urin pascapersalinan — bukan tata laksana rutin lini pertama</w:t>
      </w:r>
    </w:p>
    <w:p>
      <w:pPr>
        <w:pStyle w:val="Heading2"/>
        <w:spacing w:after="100" w:before="220"/>
      </w:pPr>
      <w:r>
        <w:rPr>
          <w:rFonts w:ascii="Source Serif 4" w:cs="Source Serif 4" w:eastAsia="Source Serif 4" w:hAnsi="Source Serif 4"/>
          <w:color w:val="B45309"/>
        </w:rPr>
        <w:t xml:space="preserve">7.3 Tata Laksana Bedah/Prosedural (bila relevan)</w:t>
      </w:r>
    </w:p>
    <w:p>
      <w:pPr>
        <w:spacing w:after="160" w:line="300"/>
      </w:pPr>
      <w:r>
        <w:rPr>
          <w:rFonts w:ascii="IBM Plex Sans" w:cs="IBM Plex Sans" w:eastAsia="IBM Plex Sans" w:hAnsi="IBM Plex Sans"/>
          <w:color w:val="1E293B"/>
          <w:sz w:val="21"/>
          <w:szCs w:val="21"/>
        </w:rPr>
        <w:t xml:space="preserve">Tata laksana prosedural utama adalah dekompresi kandung kemih melalui kateterisasi, dipilih berdasarkan derajat retensio dan respons terhadap kateterisasi intermiten awal.</w:t>
      </w:r>
    </w:p>
    <w:tbl>
      <w:tblPr>
        <w:tblW w:type="dxa" w:w="9020"/>
        <w:tblBorders>
          <w:top w:val="single" w:color="auto" w:sz="4"/>
          <w:left w:val="single" w:color="auto" w:sz="4"/>
          <w:bottom w:val="single" w:color="auto" w:sz="4"/>
          <w:right w:val="single" w:color="auto" w:sz="4"/>
          <w:insideH w:val="single" w:color="auto" w:sz="4"/>
          <w:insideV w:val="single" w:color="auto" w:sz="4"/>
        </w:tblBorders>
      </w:tblPr>
      <w:tblGrid>
        <w:gridCol w:w="4510"/>
        <w:gridCol w:w="4510"/>
      </w:tblGrid>
      <w:tr>
        <w:trPr>
          <w:cantSplit/>
          <w:tblHeader/>
        </w:trPr>
        <w:tc>
          <w:tcPr>
            <w:tcW w:type="dxa" w:w="451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Indikasi</w:t>
            </w:r>
          </w:p>
        </w:tc>
        <w:tc>
          <w:tcPr>
            <w:tcW w:type="dxa" w:w="451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Tindakan</w:t>
            </w:r>
          </w:p>
        </w:tc>
      </w:tr>
      <w:tr>
        <w:trPr>
          <w:cantSplit/>
        </w:trPr>
        <w:tc>
          <w:tcPr>
            <w:tcW w:type="dxa" w:w="4510"/>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Retensio urin overt atau PVR ≥150 mL</w:t>
            </w:r>
          </w:p>
        </w:tc>
        <w:tc>
          <w:tcPr>
            <w:tcW w:type="dxa" w:w="4510"/>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Kateterisasi in-and-out (intermiten) segera untuk dekompresi awal</w:t>
            </w:r>
          </w:p>
        </w:tc>
      </w:tr>
      <w:tr>
        <w:trPr>
          <w:cantSplit/>
        </w:trPr>
        <w:tc>
          <w:tcPr>
            <w:tcW w:type="dxa" w:w="4510"/>
            <w:shd w:fill="F8FAFC"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Retensio menetap setelah 1–2 kali kateterisasi intermiten</w:t>
            </w:r>
          </w:p>
        </w:tc>
        <w:tc>
          <w:tcPr>
            <w:tcW w:type="dxa" w:w="4510"/>
            <w:shd w:fill="F8FAFC"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Kateterisasi intermiten bersih terjadwal (clean intermittent catheterization) setiap 4–6 jam hingga berkemih spontan pulih dengan PVR &lt;150 mL pada dua pengukuran berturut-turut</w:t>
            </w:r>
          </w:p>
        </w:tc>
      </w:tr>
      <w:tr>
        <w:trPr>
          <w:cantSplit/>
        </w:trPr>
        <w:tc>
          <w:tcPr>
            <w:tcW w:type="dxa" w:w="4510"/>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Retensio berat/berulang atau kesulitan logistik kateterisasi intermiten</w:t>
            </w:r>
          </w:p>
        </w:tc>
        <w:tc>
          <w:tcPr>
            <w:tcW w:type="dxa" w:w="4510"/>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Pemasangan kateter urin menetap (indwelling) 24–48 jam disertai evaluasi ulang berkala, dipertimbangkan bersama subspesialis Uroginekologi Rekonstruksi</w:t>
            </w:r>
          </w:p>
        </w:tc>
      </w:tr>
      <w:tr>
        <w:trPr>
          <w:cantSplit/>
        </w:trPr>
        <w:tc>
          <w:tcPr>
            <w:tcW w:type="dxa" w:w="4510"/>
            <w:shd w:fill="F8FAFC"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Retensio persisten &gt;72 jam atau kecurigaan komplikasi struktural</w:t>
            </w:r>
          </w:p>
        </w:tc>
        <w:tc>
          <w:tcPr>
            <w:tcW w:type="dxa" w:w="4510"/>
            <w:shd w:fill="F8FAFC"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Rujukan subspesialis untuk evaluasi urodinamik/pencitraan lanjutan</w:t>
            </w:r>
          </w:p>
        </w:tc>
      </w:tr>
    </w:tbl>
    <w:p>
      <w:pPr>
        <w:spacing w:after="160"/>
      </w:pPr>
    </w:p>
    <w:p>
      <w:pPr>
        <w:pStyle w:val="Heading2"/>
        <w:spacing w:after="100" w:before="220"/>
      </w:pPr>
      <w:r>
        <w:rPr>
          <w:rFonts w:ascii="Source Serif 4" w:cs="Source Serif 4" w:eastAsia="Source Serif 4" w:hAnsi="Source Serif 4"/>
          <w:color w:val="B45309"/>
        </w:rPr>
        <w:t xml:space="preserve">7.4 Kriteria Rujukan ke Subspesialis Uroginekologi Rekonstruksi (bila kondisi di luar kewenangan spesialis umum)</w:t>
      </w:r>
    </w:p>
    <w:p>
      <w:pPr>
        <w:spacing w:after="160" w:line="300"/>
      </w:pPr>
      <w:r>
        <w:rPr>
          <w:rFonts w:ascii="IBM Plex Sans" w:cs="IBM Plex Sans" w:eastAsia="IBM Plex Sans" w:hAnsi="IBM Plex Sans"/>
          <w:color w:val="1E293B"/>
          <w:sz w:val="21"/>
          <w:szCs w:val="21"/>
        </w:rPr>
        <w:t xml:space="preserve">Rujukan ke subspesialis Uroginekologi Rekonstruksi merupakan bagian dari kontribusi lintas-divisi pada PPK ini, mengingat retensio urin pascapersalinan berpotensi menjadi disfungsi berkemih kronik bila dekompresi tertunda atau berulang.</w:t>
      </w:r>
    </w:p>
    <w:p>
      <w:pPr>
        <w:pStyle w:val="ListParagraph"/>
        <w:numPr>
          <w:ilvl w:val="0"/>
          <w:numId w:val="2"/>
        </w:numPr>
        <w:spacing w:after="90" w:line="290"/>
      </w:pPr>
      <w:r>
        <w:rPr>
          <w:rFonts w:ascii="IBM Plex Sans" w:cs="IBM Plex Sans" w:eastAsia="IBM Plex Sans" w:hAnsi="IBM Plex Sans"/>
          <w:color w:val="1E293B"/>
          <w:sz w:val="21"/>
          <w:szCs w:val="21"/>
        </w:rPr>
        <w:t xml:space="preserve">Retensio urin persisten lebih dari 72 jam meskipun kateterisasi intermiten/indwelling adekuat</w:t>
      </w:r>
    </w:p>
    <w:p>
      <w:pPr>
        <w:pStyle w:val="ListParagraph"/>
        <w:numPr>
          <w:ilvl w:val="0"/>
          <w:numId w:val="2"/>
        </w:numPr>
        <w:spacing w:after="90" w:line="290"/>
      </w:pPr>
      <w:r>
        <w:rPr>
          <w:rFonts w:ascii="IBM Plex Sans" w:cs="IBM Plex Sans" w:eastAsia="IBM Plex Sans" w:hAnsi="IBM Plex Sans"/>
          <w:color w:val="1E293B"/>
          <w:sz w:val="21"/>
          <w:szCs w:val="21"/>
        </w:rPr>
        <w:t xml:space="preserve">Retensio urin berulang pada episode kateterisasi yang sudah dilepas lebih dari satu kali</w:t>
      </w:r>
    </w:p>
    <w:p>
      <w:pPr>
        <w:pStyle w:val="ListParagraph"/>
        <w:numPr>
          <w:ilvl w:val="0"/>
          <w:numId w:val="2"/>
        </w:numPr>
        <w:spacing w:after="90" w:line="290"/>
      </w:pPr>
      <w:r>
        <w:rPr>
          <w:rFonts w:ascii="IBM Plex Sans" w:cs="IBM Plex Sans" w:eastAsia="IBM Plex Sans" w:hAnsi="IBM Plex Sans"/>
          <w:color w:val="1E293B"/>
          <w:sz w:val="21"/>
          <w:szCs w:val="21"/>
        </w:rPr>
        <w:t xml:space="preserve">Kecurigaan cedera neurogenik kandung kemih (defisit sensorik/motorik menetap di luar durasi efek anestesi)</w:t>
      </w:r>
    </w:p>
    <w:p>
      <w:pPr>
        <w:pStyle w:val="ListParagraph"/>
        <w:numPr>
          <w:ilvl w:val="0"/>
          <w:numId w:val="2"/>
        </w:numPr>
        <w:spacing w:after="90" w:line="290"/>
      </w:pPr>
      <w:r>
        <w:rPr>
          <w:rFonts w:ascii="IBM Plex Sans" w:cs="IBM Plex Sans" w:eastAsia="IBM Plex Sans" w:hAnsi="IBM Plex Sans"/>
          <w:color w:val="1E293B"/>
          <w:sz w:val="21"/>
          <w:szCs w:val="21"/>
        </w:rPr>
        <w:t xml:space="preserve">Kecurigaan komplikasi struktural (fistula, striktur uretra, cedera traktus urinarius intrapartum)</w:t>
      </w:r>
    </w:p>
    <w:p>
      <w:pPr>
        <w:pStyle w:val="ListParagraph"/>
        <w:numPr>
          <w:ilvl w:val="0"/>
          <w:numId w:val="2"/>
        </w:numPr>
        <w:spacing w:after="90" w:line="290"/>
      </w:pPr>
      <w:r>
        <w:rPr>
          <w:rFonts w:ascii="IBM Plex Sans" w:cs="IBM Plex Sans" w:eastAsia="IBM Plex Sans" w:hAnsi="IBM Plex Sans"/>
          <w:color w:val="1E293B"/>
          <w:sz w:val="21"/>
          <w:szCs w:val="21"/>
        </w:rPr>
        <w:t xml:space="preserve">Kebutuhan evaluasi urodinamik formal untuk perencanaan tata laksana jangka panjang</w:t>
      </w:r>
    </w:p>
    <w:p>
      <w:pPr>
        <w:pStyle w:val="Heading1"/>
        <w:spacing w:after="140" w:before="300"/>
      </w:pPr>
      <w:r>
        <w:rPr>
          <w:rFonts w:ascii="Source Serif 4" w:cs="Source Serif 4" w:eastAsia="Source Serif 4" w:hAnsi="Source Serif 4"/>
          <w:color w:val="111827"/>
        </w:rPr>
        <w:t xml:space="preserve">8. Edukasi Pasien dan Keluarga</w:t>
      </w:r>
    </w:p>
    <w:p>
      <w:pPr>
        <w:spacing w:after="160" w:line="300"/>
      </w:pPr>
      <w:r>
        <w:rPr>
          <w:rFonts w:ascii="IBM Plex Sans" w:cs="IBM Plex Sans" w:eastAsia="IBM Plex Sans" w:hAnsi="IBM Plex Sans"/>
          <w:color w:val="1E293B"/>
          <w:sz w:val="21"/>
          <w:szCs w:val="21"/>
        </w:rPr>
        <w:t xml:space="preserve">Edukasi diberikan sejak persalinan untuk menurunkan kecemasan dan meningkatkan kepatuhan pemantauan berkemih. Pasien dan keluarga perlu memahami bahwa retensio urin pascapersalinan umumnya bersifat sementara dan dapat pulih sepenuhnya dengan tata laksana yang tepat waktu, namun memerlukan pemantauan aktif agar tidak berkembang menjadi disfungsi berkemih menetap.</w:t>
      </w:r>
    </w:p>
    <w:p>
      <w:pPr>
        <w:spacing w:after="80" w:before="80"/>
      </w:pPr>
      <w:r>
        <w:rPr>
          <w:rFonts w:ascii="IBM Plex Sans" w:cs="IBM Plex Sans" w:eastAsia="IBM Plex Sans" w:hAnsi="IBM Plex Sans"/>
          <w:b/>
          <w:bCs/>
          <w:color w:val="334155"/>
          <w:sz w:val="21"/>
          <w:szCs w:val="21"/>
        </w:rPr>
        <w:t xml:space="preserve">Poin edukasi kunci</w:t>
      </w:r>
    </w:p>
    <w:p>
      <w:pPr>
        <w:pStyle w:val="ListParagraph"/>
        <w:numPr>
          <w:ilvl w:val="0"/>
          <w:numId w:val="2"/>
        </w:numPr>
        <w:spacing w:after="90" w:line="290"/>
      </w:pPr>
      <w:r>
        <w:rPr>
          <w:rFonts w:ascii="IBM Plex Sans" w:cs="IBM Plex Sans" w:eastAsia="IBM Plex Sans" w:hAnsi="IBM Plex Sans"/>
          <w:color w:val="1E293B"/>
          <w:sz w:val="21"/>
          <w:szCs w:val="21"/>
        </w:rPr>
        <w:t xml:space="preserve">Pentingnya melaporkan segera bila tidak dapat berkemih dalam 6 jam pascapersalinan atau pascalepas kateter</w:t>
      </w:r>
    </w:p>
    <w:p>
      <w:pPr>
        <w:pStyle w:val="ListParagraph"/>
        <w:numPr>
          <w:ilvl w:val="0"/>
          <w:numId w:val="2"/>
        </w:numPr>
        <w:spacing w:after="90" w:line="290"/>
      </w:pPr>
      <w:r>
        <w:rPr>
          <w:rFonts w:ascii="IBM Plex Sans" w:cs="IBM Plex Sans" w:eastAsia="IBM Plex Sans" w:hAnsi="IBM Plex Sans"/>
          <w:color w:val="1E293B"/>
          <w:sz w:val="21"/>
          <w:szCs w:val="21"/>
        </w:rPr>
        <w:t xml:space="preserve">Tanda bahaya yang harus dilaporkan: nyeri perut bawah hebat, tidak berkemih sama sekali, demam, atau urin keruh/berdarah</w:t>
      </w:r>
    </w:p>
    <w:p>
      <w:pPr>
        <w:pStyle w:val="ListParagraph"/>
        <w:numPr>
          <w:ilvl w:val="0"/>
          <w:numId w:val="2"/>
        </w:numPr>
        <w:spacing w:after="90" w:line="290"/>
      </w:pPr>
      <w:r>
        <w:rPr>
          <w:rFonts w:ascii="IBM Plex Sans" w:cs="IBM Plex Sans" w:eastAsia="IBM Plex Sans" w:hAnsi="IBM Plex Sans"/>
          <w:color w:val="1E293B"/>
          <w:sz w:val="21"/>
          <w:szCs w:val="21"/>
        </w:rPr>
        <w:t xml:space="preserve">Tujuan dan cara kerja kateterisasi intermiten/indwelling bila diperlukan, termasuk kemungkinan pemasangan berulang</w:t>
      </w:r>
    </w:p>
    <w:p>
      <w:pPr>
        <w:pStyle w:val="ListParagraph"/>
        <w:numPr>
          <w:ilvl w:val="0"/>
          <w:numId w:val="2"/>
        </w:numPr>
        <w:spacing w:after="90" w:line="290"/>
      </w:pPr>
      <w:r>
        <w:rPr>
          <w:rFonts w:ascii="IBM Plex Sans" w:cs="IBM Plex Sans" w:eastAsia="IBM Plex Sans" w:hAnsi="IBM Plex Sans"/>
          <w:color w:val="1E293B"/>
          <w:sz w:val="21"/>
          <w:szCs w:val="21"/>
        </w:rPr>
        <w:t xml:space="preserve">Anjuran mobilisasi dini dan pola berkemih terjadwal selama masa pemulihan</w:t>
      </w:r>
    </w:p>
    <w:p>
      <w:pPr>
        <w:pStyle w:val="ListParagraph"/>
        <w:numPr>
          <w:ilvl w:val="0"/>
          <w:numId w:val="2"/>
        </w:numPr>
        <w:spacing w:after="90" w:line="290"/>
      </w:pPr>
      <w:r>
        <w:rPr>
          <w:rFonts w:ascii="IBM Plex Sans" w:cs="IBM Plex Sans" w:eastAsia="IBM Plex Sans" w:hAnsi="IBM Plex Sans"/>
          <w:color w:val="1E293B"/>
          <w:sz w:val="21"/>
          <w:szCs w:val="21"/>
        </w:rPr>
        <w:t xml:space="preserve">Jadwal kontrol pascapersalinan untuk evaluasi ulang fungsi berkemih bila retensio sempat terjadi</w:t>
      </w:r>
    </w:p>
    <w:p>
      <w:pPr>
        <w:pStyle w:val="Heading1"/>
        <w:spacing w:after="140" w:before="300"/>
      </w:pPr>
      <w:r>
        <w:rPr>
          <w:rFonts w:ascii="Source Serif 4" w:cs="Source Serif 4" w:eastAsia="Source Serif 4" w:hAnsi="Source Serif 4"/>
          <w:color w:val="111827"/>
        </w:rPr>
        <w:t xml:space="preserve">9. Prognosis</w:t>
      </w:r>
    </w:p>
    <w:p>
      <w:pPr>
        <w:spacing w:after="160" w:line="300"/>
      </w:pPr>
      <w:r>
        <w:rPr>
          <w:rFonts w:ascii="IBM Plex Sans" w:cs="IBM Plex Sans" w:eastAsia="IBM Plex Sans" w:hAnsi="IBM Plex Sans"/>
          <w:color w:val="1E293B"/>
          <w:sz w:val="21"/>
          <w:szCs w:val="21"/>
        </w:rPr>
        <w:t xml:space="preserve">Prognosis retensio urin akut pascapersalinan pada umumnya baik apabila dikenali dan ditangani segera; sebagian besar kasus pulih sepenuhnya dalam beberapa hari dengan dekompresi kandung kemih yang adekuat. Keterlambatan diagnosis atau dekompresi yang tertunda meningkatkan risiko cedera detrusor akibat overdistensi, yang dapat bermanifestasi sebagai disfungsi berkemih kronik, peningkatan risiko infeksi saluran kemih berulang, dan pada kasus jarang, memerlukan kateterisasi intermiten bersih jangka panjang. Pada kepustakaan urogenikologi internasional, komplikasi berat seperti ruptur kandung kemih dilaporkan sangat jarang namun berpotensi fatal apabila distensi berat tidak dikenali, sehingga menegaskan pentingnya kewaspadaan klinis dan pemantauan berkemih yang konsisten pada setiap pasien pascapersalinan.</w:t>
      </w:r>
    </w:p>
    <w:p>
      <w:pPr>
        <w:pStyle w:val="Heading1"/>
        <w:spacing w:after="140" w:before="300"/>
      </w:pPr>
      <w:r>
        <w:rPr>
          <w:rFonts w:ascii="Source Serif 4" w:cs="Source Serif 4" w:eastAsia="Source Serif 4" w:hAnsi="Source Serif 4"/>
          <w:color w:val="111827"/>
        </w:rPr>
        <w:t xml:space="preserve">10. Tingkat Evidens dan Rekomendasi</w:t>
      </w:r>
    </w:p>
    <w:p>
      <w:pPr>
        <w:spacing w:after="160" w:line="300"/>
      </w:pPr>
      <w:r>
        <w:rPr>
          <w:rFonts w:ascii="IBM Plex Sans" w:cs="IBM Plex Sans" w:eastAsia="IBM Plex Sans" w:hAnsi="IBM Plex Sans"/>
          <w:color w:val="1E293B"/>
          <w:sz w:val="21"/>
          <w:szCs w:val="21"/>
        </w:rPr>
        <w:t xml:space="preserve">Tingkat evidens dan grade rekomendasi pada PPK ini menggunakan skala evidens standar yang lazim dipakai pada Pedoman Nasional Pelayanan Kedokteran (PNPK), yaitu gradasi tingkat bukti I–IV dan grade rekomendasi A–C.</w:t>
      </w:r>
    </w:p>
    <w:tbl>
      <w:tblPr>
        <w:tblW w:type="dxa" w:w="9020"/>
        <w:tblBorders>
          <w:top w:val="single" w:color="auto" w:sz="4"/>
          <w:left w:val="single" w:color="auto" w:sz="4"/>
          <w:bottom w:val="single" w:color="auto" w:sz="4"/>
          <w:right w:val="single" w:color="auto" w:sz="4"/>
          <w:insideH w:val="single" w:color="auto" w:sz="4"/>
          <w:insideV w:val="single" w:color="auto" w:sz="4"/>
        </w:tblBorders>
      </w:tblPr>
      <w:tblGrid>
        <w:gridCol w:w="2255"/>
        <w:gridCol w:w="2255"/>
        <w:gridCol w:w="2255"/>
        <w:gridCol w:w="2255"/>
      </w:tblGrid>
      <w:tr>
        <w:trPr>
          <w:cantSplit/>
          <w:tblHeader/>
        </w:trPr>
        <w:tc>
          <w:tcPr>
            <w:tcW w:type="dxa" w:w="2255"/>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Komponen Tata Laksana</w:t>
            </w:r>
          </w:p>
        </w:tc>
        <w:tc>
          <w:tcPr>
            <w:tcW w:type="dxa" w:w="2255"/>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Tingkat Evidens</w:t>
            </w:r>
          </w:p>
        </w:tc>
        <w:tc>
          <w:tcPr>
            <w:tcW w:type="dxa" w:w="2255"/>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Grade Rekomendasi</w:t>
            </w:r>
          </w:p>
        </w:tc>
        <w:tc>
          <w:tcPr>
            <w:tcW w:type="dxa" w:w="2255"/>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Sumber</w:t>
            </w:r>
          </w:p>
        </w:tc>
      </w:tr>
      <w:tr>
        <w:trPr>
          <w:cantSplit/>
        </w:trPr>
        <w:tc>
          <w:tcPr>
            <w:tcW w:type="dxa" w:w="2255"/>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Ambang PVR ≥150 mL untuk diagnosis retensio urin covert</w:t>
            </w:r>
          </w:p>
        </w:tc>
        <w:tc>
          <w:tcPr>
            <w:tcW w:type="dxa" w:w="2255"/>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II</w:t>
            </w:r>
          </w:p>
        </w:tc>
        <w:tc>
          <w:tcPr>
            <w:tcW w:type="dxa" w:w="2255"/>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A</w:t>
            </w:r>
          </w:p>
        </w:tc>
        <w:tc>
          <w:tcPr>
            <w:tcW w:type="dxa" w:w="2255"/>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Kepkonsil Tabel 7 No. 62; tinjauan sistematis Mulder dkk. (2014); tinjauan pakar Nutaitis dkk. (2023)</w:t>
            </w:r>
          </w:p>
        </w:tc>
      </w:tr>
      <w:tr>
        <w:trPr>
          <w:cantSplit/>
        </w:trPr>
        <w:tc>
          <w:tcPr>
            <w:tcW w:type="dxa" w:w="2255"/>
            <w:shd w:fill="F8FAFC"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Bladder scan sebagai modalitas pengukuran PVR non-invasif lini pertama</w:t>
            </w:r>
          </w:p>
        </w:tc>
        <w:tc>
          <w:tcPr>
            <w:tcW w:type="dxa" w:w="2255"/>
            <w:shd w:fill="F8FAFC"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II</w:t>
            </w:r>
          </w:p>
        </w:tc>
        <w:tc>
          <w:tcPr>
            <w:tcW w:type="dxa" w:w="2255"/>
            <w:shd w:fill="F8FAFC"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B</w:t>
            </w:r>
          </w:p>
        </w:tc>
        <w:tc>
          <w:tcPr>
            <w:tcW w:type="dxa" w:w="2255"/>
            <w:shd w:fill="F8FAFC"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Tinjauan pakar Nutaitis dkk. (2023)</w:t>
            </w:r>
          </w:p>
        </w:tc>
      </w:tr>
      <w:tr>
        <w:trPr>
          <w:cantSplit/>
        </w:trPr>
        <w:tc>
          <w:tcPr>
            <w:tcW w:type="dxa" w:w="2255"/>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Kateterisasi intermiten bersih sebagai lini pertama dekompresi pada retensio overt</w:t>
            </w:r>
          </w:p>
        </w:tc>
        <w:tc>
          <w:tcPr>
            <w:tcW w:type="dxa" w:w="2255"/>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II</w:t>
            </w:r>
          </w:p>
        </w:tc>
        <w:tc>
          <w:tcPr>
            <w:tcW w:type="dxa" w:w="2255"/>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B</w:t>
            </w:r>
          </w:p>
        </w:tc>
        <w:tc>
          <w:tcPr>
            <w:tcW w:type="dxa" w:w="2255"/>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Tinjauan sistematis Mulder dkk. (2014)</w:t>
            </w:r>
          </w:p>
        </w:tc>
      </w:tr>
      <w:tr>
        <w:trPr>
          <w:cantSplit/>
        </w:trPr>
        <w:tc>
          <w:tcPr>
            <w:tcW w:type="dxa" w:w="2255"/>
            <w:shd w:fill="F8FAFC"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Kateter indwelling pascapersalinan instrumental dengan analgesia regional untuk mencegah retensio covert</w:t>
            </w:r>
          </w:p>
        </w:tc>
        <w:tc>
          <w:tcPr>
            <w:tcW w:type="dxa" w:w="2255"/>
            <w:shd w:fill="F8FAFC"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II</w:t>
            </w:r>
          </w:p>
        </w:tc>
        <w:tc>
          <w:tcPr>
            <w:tcW w:type="dxa" w:w="2255"/>
            <w:shd w:fill="F8FAFC"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B</w:t>
            </w:r>
          </w:p>
        </w:tc>
        <w:tc>
          <w:tcPr>
            <w:tcW w:type="dxa" w:w="2255"/>
            <w:shd w:fill="F8FAFC"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RCOG Green-top Guideline No. 26, Assisted Vaginal Birth (2020)</w:t>
            </w:r>
          </w:p>
        </w:tc>
      </w:tr>
      <w:tr>
        <w:trPr>
          <w:cantSplit/>
        </w:trPr>
        <w:tc>
          <w:tcPr>
            <w:tcW w:type="dxa" w:w="2255"/>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Evaluasi fungsi berkemih sebagai bagian kriteria sebelum pemulangan pascasalin</w:t>
            </w:r>
          </w:p>
        </w:tc>
        <w:tc>
          <w:tcPr>
            <w:tcW w:type="dxa" w:w="2255"/>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III</w:t>
            </w:r>
          </w:p>
        </w:tc>
        <w:tc>
          <w:tcPr>
            <w:tcW w:type="dxa" w:w="2255"/>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B</w:t>
            </w:r>
          </w:p>
        </w:tc>
        <w:tc>
          <w:tcPr>
            <w:tcW w:type="dxa" w:w="2255"/>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WHO Recommendations on Maternal and Newborn Care for a Positive Postnatal Experience (2022)</w:t>
            </w:r>
          </w:p>
        </w:tc>
      </w:tr>
      <w:tr>
        <w:trPr>
          <w:cantSplit/>
        </w:trPr>
        <w:tc>
          <w:tcPr>
            <w:tcW w:type="dxa" w:w="2255"/>
            <w:shd w:fill="F8FAFC"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Rujukan subspesialis pada retensio menetap &gt;72 jam atau berulang</w:t>
            </w:r>
          </w:p>
        </w:tc>
        <w:tc>
          <w:tcPr>
            <w:tcW w:type="dxa" w:w="2255"/>
            <w:shd w:fill="F8FAFC"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III</w:t>
            </w:r>
          </w:p>
        </w:tc>
        <w:tc>
          <w:tcPr>
            <w:tcW w:type="dxa" w:w="2255"/>
            <w:shd w:fill="F8FAFC"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C</w:t>
            </w:r>
          </w:p>
        </w:tc>
        <w:tc>
          <w:tcPr>
            <w:tcW w:type="dxa" w:w="2255"/>
            <w:shd w:fill="F8FAFC"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Konsensus pakar Uroginekologi Rekonstruksi; tinjauan pakar Nutaitis dkk. (2023)</w:t>
            </w:r>
          </w:p>
        </w:tc>
      </w:tr>
    </w:tbl>
    <w:p>
      <w:pPr>
        <w:spacing w:after="160"/>
      </w:pPr>
    </w:p>
    <w:p>
      <w:pPr>
        <w:pStyle w:val="Heading1"/>
        <w:spacing w:after="140" w:before="300"/>
      </w:pPr>
      <w:r>
        <w:rPr>
          <w:rFonts w:ascii="Source Serif 4" w:cs="Source Serif 4" w:eastAsia="Source Serif 4" w:hAnsi="Source Serif 4"/>
          <w:color w:val="111827"/>
        </w:rPr>
        <w:t xml:space="preserve">11. Indikator Medis</w:t>
      </w:r>
    </w:p>
    <w:p>
      <w:pPr>
        <w:spacing w:after="80" w:before="80"/>
      </w:pPr>
      <w:r>
        <w:rPr>
          <w:rFonts w:ascii="IBM Plex Sans" w:cs="IBM Plex Sans" w:eastAsia="IBM Plex Sans" w:hAnsi="IBM Plex Sans"/>
          <w:b/>
          <w:bCs/>
          <w:color w:val="334155"/>
          <w:sz w:val="21"/>
          <w:szCs w:val="21"/>
        </w:rPr>
        <w:t xml:space="preserve">Indikator keberhasilan tata laksana yang terukur</w:t>
      </w:r>
    </w:p>
    <w:p>
      <w:pPr>
        <w:pStyle w:val="ListParagraph"/>
        <w:numPr>
          <w:ilvl w:val="0"/>
          <w:numId w:val="2"/>
        </w:numPr>
        <w:spacing w:after="90" w:line="290"/>
      </w:pPr>
      <w:r>
        <w:rPr>
          <w:rFonts w:ascii="IBM Plex Sans" w:cs="IBM Plex Sans" w:eastAsia="IBM Plex Sans" w:hAnsi="IBM Plex Sans"/>
          <w:color w:val="1E293B"/>
          <w:sz w:val="21"/>
          <w:szCs w:val="21"/>
        </w:rPr>
        <w:t xml:space="preserve">Persentase pasien dengan pengukuran PVR terdokumentasi dalam 6 jam pascapersalinan/pascalepas kateter [DATA: rujuk laporan/registri resmi terbaru]</w:t>
      </w:r>
    </w:p>
    <w:p>
      <w:pPr>
        <w:pStyle w:val="ListParagraph"/>
        <w:numPr>
          <w:ilvl w:val="0"/>
          <w:numId w:val="2"/>
        </w:numPr>
        <w:spacing w:after="90" w:line="290"/>
      </w:pPr>
      <w:r>
        <w:rPr>
          <w:rFonts w:ascii="IBM Plex Sans" w:cs="IBM Plex Sans" w:eastAsia="IBM Plex Sans" w:hAnsi="IBM Plex Sans"/>
          <w:color w:val="1E293B"/>
          <w:sz w:val="21"/>
          <w:szCs w:val="21"/>
        </w:rPr>
        <w:t xml:space="preserve">Waktu median pemulihan berkemih spontan dengan PVR &lt;150 mL sejak diagnosis retensio ditegakkan [DATA: rujuk laporan/registri resmi terbaru]</w:t>
      </w:r>
    </w:p>
    <w:p>
      <w:pPr>
        <w:pStyle w:val="ListParagraph"/>
        <w:numPr>
          <w:ilvl w:val="0"/>
          <w:numId w:val="2"/>
        </w:numPr>
        <w:spacing w:after="90" w:line="290"/>
      </w:pPr>
      <w:r>
        <w:rPr>
          <w:rFonts w:ascii="IBM Plex Sans" w:cs="IBM Plex Sans" w:eastAsia="IBM Plex Sans" w:hAnsi="IBM Plex Sans"/>
          <w:color w:val="1E293B"/>
          <w:sz w:val="21"/>
          <w:szCs w:val="21"/>
        </w:rPr>
        <w:t xml:space="preserve">Proporsi kasus yang tertangani dengan kateterisasi intermiten dibandingkan kateter indwelling &gt;48 jam [DATA: rujuk laporan/registri resmi terbaru]</w:t>
      </w:r>
    </w:p>
    <w:p>
      <w:pPr>
        <w:pStyle w:val="ListParagraph"/>
        <w:numPr>
          <w:ilvl w:val="0"/>
          <w:numId w:val="2"/>
        </w:numPr>
        <w:spacing w:after="90" w:line="290"/>
      </w:pPr>
      <w:r>
        <w:rPr>
          <w:rFonts w:ascii="IBM Plex Sans" w:cs="IBM Plex Sans" w:eastAsia="IBM Plex Sans" w:hAnsi="IBM Plex Sans"/>
          <w:color w:val="1E293B"/>
          <w:sz w:val="21"/>
          <w:szCs w:val="21"/>
        </w:rPr>
        <w:t xml:space="preserve">Angka infeksi saluran kemih terkait kateterisasi pada pasien PPUR [DATA: rujuk laporan/registri resmi terbaru]</w:t>
      </w:r>
    </w:p>
    <w:p>
      <w:pPr>
        <w:pStyle w:val="ListParagraph"/>
        <w:numPr>
          <w:ilvl w:val="0"/>
          <w:numId w:val="2"/>
        </w:numPr>
        <w:spacing w:after="90" w:line="290"/>
      </w:pPr>
      <w:r>
        <w:rPr>
          <w:rFonts w:ascii="IBM Plex Sans" w:cs="IBM Plex Sans" w:eastAsia="IBM Plex Sans" w:hAnsi="IBM Plex Sans"/>
          <w:color w:val="1E293B"/>
          <w:sz w:val="21"/>
          <w:szCs w:val="21"/>
        </w:rPr>
        <w:t xml:space="preserve">Proporsi kasus yang dirujuk ke subspesialis Uroginekologi Rekonstruksi karena retensio persisten &gt;72 jam [DATA: rujuk laporan/registri resmi terbaru]</w:t>
      </w:r>
    </w:p>
    <w:p>
      <w:pPr>
        <w:pStyle w:val="Heading1"/>
        <w:spacing w:after="140" w:before="300"/>
      </w:pPr>
      <w:r>
        <w:rPr>
          <w:rFonts w:ascii="Source Serif 4" w:cs="Source Serif 4" w:eastAsia="Source Serif 4" w:hAnsi="Source Serif 4"/>
          <w:color w:val="111827"/>
        </w:rPr>
        <w:t xml:space="preserve">12. Perbandingan dan Pengayaan Standar Internasional</w:t>
      </w:r>
    </w:p>
    <w:p>
      <w:pPr>
        <w:spacing w:after="160" w:line="300"/>
      </w:pPr>
      <w:r>
        <w:rPr>
          <w:rFonts w:ascii="IBM Plex Sans" w:cs="IBM Plex Sans" w:eastAsia="IBM Plex Sans" w:hAnsi="IBM Plex Sans"/>
          <w:color w:val="1E293B"/>
          <w:sz w:val="21"/>
          <w:szCs w:val="21"/>
        </w:rPr>
        <w:t xml:space="preserve">Standar nasional (Kepkonsil) menetapkan ambang waktu 6 jam pascapersalinan pervaginam atau pascalepas kateter sebagai batas evaluasi ketidakmampuan berkemih spontan. Ambang waktu ini konsisten dengan definisi retensio urin overt yang dipakai secara luas pada kepustakaan urogenikologi internasional sejak diperkenalkan oleh Yip dkk. pada akhir dekade 1990-an, dan diikuti pula oleh ambang PVR ≥150 mL untuk retensio urin covert.</w:t>
      </w:r>
    </w:p>
    <w:p>
      <w:pPr>
        <w:spacing w:after="160" w:line="300"/>
      </w:pPr>
      <w:r>
        <w:rPr>
          <w:rFonts w:ascii="IBM Plex Sans" w:cs="IBM Plex Sans" w:eastAsia="IBM Plex Sans" w:hAnsi="IBM Plex Sans"/>
          <w:color w:val="1E293B"/>
          <w:sz w:val="21"/>
          <w:szCs w:val="21"/>
        </w:rPr>
        <w:t xml:space="preserve">RCOG (Royal College of Obstetricians and Gynaecologists), melalui Green-top Guideline No. 26 — Assisted Vaginal Birth, secara eksplisit merekomendasikan pemasangan kateter urin menetap (indwelling) pada perempuan yang menerima analgesia regional untuk persalinan pervaginam operatif, guna mencegah retensio urin covert. Standar nasional (Kepkonsil) belum merinci indikasi kateter indwelling profilaktik berdasarkan jenis analgesia secara spesifik; praktik di Indonesia mengikuti prinsip dasar Kepkonsil mengenai evaluasi berkemih dalam 6 jam, dengan rekomendasi RCOG di atas dapat menjadi pertimbangan tambahan pada kelompok berisiko tinggi (pascapersalinan instrumental dengan analgesia regional).</w:t>
      </w:r>
    </w:p>
    <w:p>
      <w:pPr>
        <w:spacing w:after="160" w:line="300"/>
      </w:pPr>
      <w:r>
        <w:rPr>
          <w:rFonts w:ascii="IBM Plex Sans" w:cs="IBM Plex Sans" w:eastAsia="IBM Plex Sans" w:hAnsi="IBM Plex Sans"/>
          <w:color w:val="1E293B"/>
          <w:sz w:val="21"/>
          <w:szCs w:val="21"/>
        </w:rPr>
        <w:t xml:space="preserve">WHO, dalam WHO Recommendations on Maternal and Newborn Care for a Positive Postnatal Experience (Geneva, 2022), menempatkan asesmen kondisi ibu secara rutin — termasuk pemantauan pemulihan fungsi tubuh dasar seperti berkemih — sebagai bagian dari kriteria penilaian sebelum pemulangan pascasalin, sejalan dengan prinsip deteksi dini pada standar nasional. ACOG, melalui Committee Opinion No. 736 (Optimizing Postpartum Care), menekankan bahwa asuhan pascasalin merupakan proses berkelanjutan, bukan kunjungan tunggal, sehingga pemulihan fungsi berkemih yang belum tuntas saat pemulangan tetap perlu ditindaklanjuti pada kontak pascasalin berikutnya.</w:t>
      </w:r>
    </w:p>
    <w:p>
      <w:pPr>
        <w:spacing w:after="160" w:line="300"/>
      </w:pPr>
      <w:r>
        <w:rPr>
          <w:rFonts w:ascii="IBM Plex Sans" w:cs="IBM Plex Sans" w:eastAsia="IBM Plex Sans" w:hAnsi="IBM Plex Sans"/>
          <w:color w:val="1E293B"/>
          <w:sz w:val="21"/>
          <w:szCs w:val="21"/>
        </w:rPr>
        <w:t xml:space="preserve">Untuk konteks tenaga kesehatan non-spesialis, ICM (International Confederation of Midwives) melalui Essential Competencies for Midwifery Practice (2024) mensyaratkan kompetensi bidan dalam mengenali tanda dan gejala komplikasi pascapersalinan — termasuk gangguan berkemih — serta melakukan rujukan tepat waktu ke tenaga medis berwenang. Tidak terdapat perbedaan bermakna antara standar nasional dan standar internasional pada prinsip dasar deteksi dini dan dekompresi segera; praktik di Indonesia mengikuti standar nasional (Kepkonsil) sebagai acuan utama, dengan sumber internasional di atas berfungsi memperkaya konteks operasional dan edukasi tenaga kesehatan.</w:t>
      </w:r>
    </w:p>
    <w:p>
      <w:pPr>
        <w:pStyle w:val="Heading1"/>
        <w:spacing w:after="140" w:before="300"/>
      </w:pPr>
      <w:r>
        <w:rPr>
          <w:rFonts w:ascii="Source Serif 4" w:cs="Source Serif 4" w:eastAsia="Source Serif 4" w:hAnsi="Source Serif 4"/>
          <w:color w:val="111827"/>
        </w:rPr>
        <w:t xml:space="preserve">13. Kepustakaan</w:t>
      </w:r>
    </w:p>
    <w:p>
      <w:pPr>
        <w:pStyle w:val="ListParagraph"/>
        <w:numPr>
          <w:ilvl w:val="0"/>
          <w:numId w:val="2"/>
        </w:numPr>
        <w:spacing w:after="100" w:line="290"/>
      </w:pPr>
      <w:r>
        <w:rPr>
          <w:rFonts w:ascii="IBM Plex Sans" w:cs="IBM Plex Sans" w:eastAsia="IBM Plex Sans" w:hAnsi="IBM Plex Sans"/>
          <w:color w:val="1E293B"/>
          <w:sz w:val="21"/>
          <w:szCs w:val="21"/>
        </w:rPr>
        <w:t xml:space="preserve">Keputusan Ketua Konsil Kesehatan Indonesia No. HK.01.02/KKI/1318/2026 tentang Standar Kompetensi Dokter Spesialis dan Subspesialis Bidang Obstetri dan Ginekologi, Lampiran Tabel 7 No. 62.</w:t>
      </w:r>
    </w:p>
    <w:p>
      <w:pPr>
        <w:pStyle w:val="ListParagraph"/>
        <w:numPr>
          <w:ilvl w:val="0"/>
          <w:numId w:val="2"/>
        </w:numPr>
        <w:spacing w:after="100" w:line="290"/>
      </w:pPr>
      <w:r>
        <w:rPr>
          <w:rFonts w:ascii="IBM Plex Sans" w:cs="IBM Plex Sans" w:eastAsia="IBM Plex Sans" w:hAnsi="IBM Plex Sans"/>
          <w:color w:val="1E293B"/>
          <w:sz w:val="21"/>
          <w:szCs w:val="21"/>
        </w:rPr>
        <w:t xml:space="preserve">World Health Organization. WHO Recommendations on Maternal and Newborn Care for a Positive Postnatal Experience. Geneva: WHO; 2022.  </w:t>
      </w:r>
      <w:hyperlink w:history="1" r:id="rIdrftmbvypkro0jb97am6yy">
        <w:r>
          <w:rPr>
            <w:rFonts w:ascii="IBM Plex Mono" w:cs="IBM Plex Mono" w:eastAsia="IBM Plex Mono" w:hAnsi="IBM Plex Mono"/>
            <w:color w:val="4F46E5"/>
            <w:sz w:val="17"/>
            <w:szCs w:val="17"/>
            <w:u w:val="single"/>
          </w:rPr>
          <w:t xml:space="preserve">https://www.who.int/publications/i/item/9789240045989</w:t>
        </w:r>
      </w:hyperlink>
    </w:p>
    <w:p>
      <w:pPr>
        <w:pStyle w:val="ListParagraph"/>
        <w:numPr>
          <w:ilvl w:val="0"/>
          <w:numId w:val="2"/>
        </w:numPr>
        <w:spacing w:after="100" w:line="290"/>
      </w:pPr>
      <w:r>
        <w:rPr>
          <w:rFonts w:ascii="IBM Plex Sans" w:cs="IBM Plex Sans" w:eastAsia="IBM Plex Sans" w:hAnsi="IBM Plex Sans"/>
          <w:color w:val="1E293B"/>
          <w:sz w:val="21"/>
          <w:szCs w:val="21"/>
        </w:rPr>
        <w:t xml:space="preserve">Royal College of Obstetricians and Gynaecologists. Assisted Vaginal Birth. Green-top Guideline No. 26. London: RCOG; 2020.  </w:t>
      </w:r>
      <w:hyperlink w:history="1" r:id="rIdtfcnu56hjzolm7tynqzbg">
        <w:r>
          <w:rPr>
            <w:rFonts w:ascii="IBM Plex Mono" w:cs="IBM Plex Mono" w:eastAsia="IBM Plex Mono" w:hAnsi="IBM Plex Mono"/>
            <w:color w:val="4F46E5"/>
            <w:sz w:val="17"/>
            <w:szCs w:val="17"/>
            <w:u w:val="single"/>
          </w:rPr>
          <w:t xml:space="preserve">https://www.rcog.org.uk/guidance/browse-all-guidance/green-top-guidelines/assisted-vaginal-birth-green-top-guideline-no-26/</w:t>
        </w:r>
      </w:hyperlink>
    </w:p>
    <w:p>
      <w:pPr>
        <w:pStyle w:val="ListParagraph"/>
        <w:numPr>
          <w:ilvl w:val="0"/>
          <w:numId w:val="2"/>
        </w:numPr>
        <w:spacing w:after="100" w:line="290"/>
      </w:pPr>
      <w:r>
        <w:rPr>
          <w:rFonts w:ascii="IBM Plex Sans" w:cs="IBM Plex Sans" w:eastAsia="IBM Plex Sans" w:hAnsi="IBM Plex Sans"/>
          <w:color w:val="1E293B"/>
          <w:sz w:val="21"/>
          <w:szCs w:val="21"/>
        </w:rPr>
        <w:t xml:space="preserve">American College of Obstetricians and Gynecologists. Optimizing Postpartum Care. Committee Opinion No. 736. Obstet Gynecol. 2018;131(5):e140–e150.  </w:t>
      </w:r>
      <w:hyperlink w:history="1" r:id="rIdn7wvwfc2xucseqxe7rwea">
        <w:r>
          <w:rPr>
            <w:rFonts w:ascii="IBM Plex Mono" w:cs="IBM Plex Mono" w:eastAsia="IBM Plex Mono" w:hAnsi="IBM Plex Mono"/>
            <w:color w:val="4F46E5"/>
            <w:sz w:val="17"/>
            <w:szCs w:val="17"/>
            <w:u w:val="single"/>
          </w:rPr>
          <w:t xml:space="preserve">https://journals.lww.com/greenjournal/fulltext/10.1097/aog.0000000000002633~acog-committee-opinion-no-736-optimizing-postpartum-care</w:t>
        </w:r>
      </w:hyperlink>
    </w:p>
    <w:p>
      <w:pPr>
        <w:pStyle w:val="ListParagraph"/>
        <w:numPr>
          <w:ilvl w:val="0"/>
          <w:numId w:val="2"/>
        </w:numPr>
        <w:spacing w:after="100" w:line="290"/>
      </w:pPr>
      <w:r>
        <w:rPr>
          <w:rFonts w:ascii="IBM Plex Sans" w:cs="IBM Plex Sans" w:eastAsia="IBM Plex Sans" w:hAnsi="IBM Plex Sans"/>
          <w:color w:val="1E293B"/>
          <w:sz w:val="21"/>
          <w:szCs w:val="21"/>
        </w:rPr>
        <w:t xml:space="preserve">International Confederation of Midwives. Essential Competencies for Midwifery Practice. The Hague: ICM; 2024.  </w:t>
      </w:r>
      <w:hyperlink w:history="1" r:id="rIdfdcndnvx1-kca-3uklyew">
        <w:r>
          <w:rPr>
            <w:rFonts w:ascii="IBM Plex Mono" w:cs="IBM Plex Mono" w:eastAsia="IBM Plex Mono" w:hAnsi="IBM Plex Mono"/>
            <w:color w:val="4F46E5"/>
            <w:sz w:val="17"/>
            <w:szCs w:val="17"/>
            <w:u w:val="single"/>
          </w:rPr>
          <w:t xml:space="preserve">https://internationalmidwives.org/resources/essential-competencies-for-midwifery-practice/</w:t>
        </w:r>
      </w:hyperlink>
    </w:p>
    <w:p>
      <w:pPr>
        <w:pStyle w:val="ListParagraph"/>
        <w:numPr>
          <w:ilvl w:val="0"/>
          <w:numId w:val="2"/>
        </w:numPr>
        <w:spacing w:after="100" w:line="290"/>
      </w:pPr>
      <w:r>
        <w:rPr>
          <w:rFonts w:ascii="IBM Plex Sans" w:cs="IBM Plex Sans" w:eastAsia="IBM Plex Sans" w:hAnsi="IBM Plex Sans"/>
          <w:color w:val="1E293B"/>
          <w:sz w:val="21"/>
          <w:szCs w:val="21"/>
        </w:rPr>
        <w:t xml:space="preserve">Nutaitis AC, Meckes NA, Madsen AM, Toal CT, Menhaji K, Carter-Brooks CM, Propst KA, Hickman LC. Postpartum urinary retention: an expert review. Am J Obstet Gynecol. 2023;228(1):14–21.  </w:t>
      </w:r>
      <w:hyperlink w:history="1" r:id="rIdg_hkfcngp070n1kr4cnfs">
        <w:r>
          <w:rPr>
            <w:rFonts w:ascii="IBM Plex Mono" w:cs="IBM Plex Mono" w:eastAsia="IBM Plex Mono" w:hAnsi="IBM Plex Mono"/>
            <w:color w:val="4F46E5"/>
            <w:sz w:val="17"/>
            <w:szCs w:val="17"/>
            <w:u w:val="single"/>
          </w:rPr>
          <w:t xml:space="preserve">https://pubmed.ncbi.nlm.nih.gov/35932877/</w:t>
        </w:r>
      </w:hyperlink>
    </w:p>
    <w:p>
      <w:pPr>
        <w:pStyle w:val="ListParagraph"/>
        <w:numPr>
          <w:ilvl w:val="0"/>
          <w:numId w:val="2"/>
        </w:numPr>
        <w:spacing w:after="100" w:line="290"/>
      </w:pPr>
      <w:r>
        <w:rPr>
          <w:rFonts w:ascii="IBM Plex Sans" w:cs="IBM Plex Sans" w:eastAsia="IBM Plex Sans" w:hAnsi="IBM Plex Sans"/>
          <w:color w:val="1E293B"/>
          <w:sz w:val="21"/>
          <w:szCs w:val="21"/>
        </w:rPr>
        <w:t xml:space="preserve">Mulder FEM, Hakvoort RA, Schoffelmeer MA, Limpens J, Van der Post JAM, Roovers JPWR. Postpartum urinary retention: a systematic review of adverse effects and management. Int Urogynecol J. 2014;25(12):1605–1612.  </w:t>
      </w:r>
      <w:hyperlink w:history="1" r:id="rIdtzgtj7ysbyr0uff5nrn3c">
        <w:r>
          <w:rPr>
            <w:rFonts w:ascii="IBM Plex Mono" w:cs="IBM Plex Mono" w:eastAsia="IBM Plex Mono" w:hAnsi="IBM Plex Mono"/>
            <w:color w:val="4F46E5"/>
            <w:sz w:val="17"/>
            <w:szCs w:val="17"/>
            <w:u w:val="single"/>
          </w:rPr>
          <w:t xml:space="preserve">https://pubmed.ncbi.nlm.nih.gov/24842120/</w:t>
        </w:r>
      </w:hyperlink>
    </w:p>
    <w:p>
      <w:pPr>
        <w:pStyle w:val="ListParagraph"/>
        <w:numPr>
          <w:ilvl w:val="0"/>
          <w:numId w:val="2"/>
        </w:numPr>
        <w:spacing w:after="100" w:line="290"/>
      </w:pPr>
      <w:r>
        <w:rPr>
          <w:rFonts w:ascii="IBM Plex Sans" w:cs="IBM Plex Sans" w:eastAsia="IBM Plex Sans" w:hAnsi="IBM Plex Sans"/>
          <w:color w:val="1E293B"/>
          <w:sz w:val="21"/>
          <w:szCs w:val="21"/>
        </w:rPr>
        <w:t xml:space="preserve">Buku Tematik B9 — Menopause, Uroginekologi Dasar, dan Prolaps Organ Panggul (dokumen induk PPK ini).</w:t>
      </w:r>
    </w:p>
    <w:p>
      <w:pPr>
        <w:pStyle w:val="Heading1"/>
        <w:spacing w:after="140" w:before="300"/>
      </w:pPr>
      <w:r>
        <w:rPr>
          <w:rFonts w:ascii="Source Serif 4" w:cs="Source Serif 4" w:eastAsia="Source Serif 4" w:hAnsi="Source Serif 4"/>
          <w:color w:val="111827"/>
        </w:rPr>
        <w:t xml:space="preserve">Glosarium Istilah</w:t>
      </w:r>
    </w:p>
    <w:p>
      <w:pPr>
        <w:spacing w:after="30" w:before="100"/>
      </w:pPr>
      <w:r>
        <w:rPr>
          <w:rFonts w:ascii="IBM Plex Sans" w:cs="IBM Plex Sans" w:eastAsia="IBM Plex Sans" w:hAnsi="IBM Plex Sans"/>
          <w:b/>
          <w:bCs/>
          <w:color w:val="B45309"/>
          <w:sz w:val="21"/>
          <w:szCs w:val="21"/>
        </w:rPr>
        <w:t xml:space="preserve">Retensio urin overt</w:t>
      </w:r>
    </w:p>
    <w:p>
      <w:pPr>
        <w:spacing w:after="120" w:line="280"/>
        <w:ind w:left="200"/>
      </w:pPr>
      <w:r>
        <w:rPr>
          <w:rFonts w:ascii="IBM Plex Sans" w:cs="IBM Plex Sans" w:eastAsia="IBM Plex Sans" w:hAnsi="IBM Plex Sans"/>
          <w:color w:val="1E293B"/>
          <w:sz w:val="20"/>
          <w:szCs w:val="20"/>
        </w:rPr>
        <w:t xml:space="preserve">Bentuk retensio urin pascapersalinan yang nyata secara klinis: pasien sama sekali tidak dapat berkemih spontan dalam batas waktu yang ditetapkan, disertai kandung kemih yang teraba dan/atau nyeri suprapubik.</w:t>
      </w:r>
    </w:p>
    <w:p>
      <w:pPr>
        <w:spacing w:after="30" w:before="100"/>
      </w:pPr>
      <w:r>
        <w:rPr>
          <w:rFonts w:ascii="IBM Plex Sans" w:cs="IBM Plex Sans" w:eastAsia="IBM Plex Sans" w:hAnsi="IBM Plex Sans"/>
          <w:b/>
          <w:bCs/>
          <w:color w:val="B45309"/>
          <w:sz w:val="21"/>
          <w:szCs w:val="21"/>
        </w:rPr>
        <w:t xml:space="preserve">Retensio urin covert</w:t>
      </w:r>
    </w:p>
    <w:p>
      <w:pPr>
        <w:spacing w:after="120" w:line="280"/>
        <w:ind w:left="200"/>
      </w:pPr>
      <w:r>
        <w:rPr>
          <w:rFonts w:ascii="IBM Plex Sans" w:cs="IBM Plex Sans" w:eastAsia="IBM Plex Sans" w:hAnsi="IBM Plex Sans"/>
          <w:color w:val="1E293B"/>
          <w:sz w:val="20"/>
          <w:szCs w:val="20"/>
        </w:rPr>
        <w:t xml:space="preserve">Bentuk retensio urin pascapersalinan yang tersembunyi: pasien tetap dapat berkemih spontan, namun volume residu pasca-berkemih (PVR) tetap tinggi (umumnya ≥150 mL) sehingga sering tidak disadari tanpa pengukuran khusus.</w:t>
      </w:r>
    </w:p>
    <w:p>
      <w:pPr>
        <w:spacing w:after="30" w:before="100"/>
      </w:pPr>
      <w:r>
        <w:rPr>
          <w:rFonts w:ascii="IBM Plex Sans" w:cs="IBM Plex Sans" w:eastAsia="IBM Plex Sans" w:hAnsi="IBM Plex Sans"/>
          <w:b/>
          <w:bCs/>
          <w:color w:val="B45309"/>
          <w:sz w:val="21"/>
          <w:szCs w:val="21"/>
        </w:rPr>
        <w:t xml:space="preserve">Retensio urin menetap (persistent urinary retention)</w:t>
      </w:r>
    </w:p>
    <w:p>
      <w:pPr>
        <w:spacing w:after="120" w:line="280"/>
        <w:ind w:left="200"/>
      </w:pPr>
      <w:r>
        <w:rPr>
          <w:rFonts w:ascii="IBM Plex Sans" w:cs="IBM Plex Sans" w:eastAsia="IBM Plex Sans" w:hAnsi="IBM Plex Sans"/>
          <w:color w:val="1E293B"/>
          <w:sz w:val="20"/>
          <w:szCs w:val="20"/>
        </w:rPr>
        <w:t xml:space="preserve">Retensio urin, baik overt maupun covert, yang berlanjut melampaui hari ketiga pascapersalinan dan pada sebagian kasus dapat bertahan hingga beberapa minggu.</w:t>
      </w:r>
    </w:p>
    <w:p>
      <w:pPr>
        <w:spacing w:after="30" w:before="100"/>
      </w:pPr>
      <w:r>
        <w:rPr>
          <w:rFonts w:ascii="IBM Plex Sans" w:cs="IBM Plex Sans" w:eastAsia="IBM Plex Sans" w:hAnsi="IBM Plex Sans"/>
          <w:b/>
          <w:bCs/>
          <w:color w:val="B45309"/>
          <w:sz w:val="21"/>
          <w:szCs w:val="21"/>
        </w:rPr>
        <w:t xml:space="preserve">Volume residu pasca-berkemih (post-void residual/PVR)</w:t>
      </w:r>
    </w:p>
    <w:p>
      <w:pPr>
        <w:spacing w:after="120" w:line="280"/>
        <w:ind w:left="200"/>
      </w:pPr>
      <w:r>
        <w:rPr>
          <w:rFonts w:ascii="IBM Plex Sans" w:cs="IBM Plex Sans" w:eastAsia="IBM Plex Sans" w:hAnsi="IBM Plex Sans"/>
          <w:color w:val="1E293B"/>
          <w:sz w:val="20"/>
          <w:szCs w:val="20"/>
        </w:rPr>
        <w:t xml:space="preserve">Volume urin yang tersisa di dalam kandung kemih segera setelah upaya berkemih spontan, diukur dengan bladder scan atau kateterisasi.</w:t>
      </w:r>
    </w:p>
    <w:p>
      <w:pPr>
        <w:spacing w:after="30" w:before="100"/>
      </w:pPr>
      <w:r>
        <w:rPr>
          <w:rFonts w:ascii="IBM Plex Sans" w:cs="IBM Plex Sans" w:eastAsia="IBM Plex Sans" w:hAnsi="IBM Plex Sans"/>
          <w:b/>
          <w:bCs/>
          <w:color w:val="B45309"/>
          <w:sz w:val="21"/>
          <w:szCs w:val="21"/>
        </w:rPr>
        <w:t xml:space="preserve">Bladder scan</w:t>
      </w:r>
    </w:p>
    <w:p>
      <w:pPr>
        <w:spacing w:after="120" w:line="280"/>
        <w:ind w:left="200"/>
      </w:pPr>
      <w:r>
        <w:rPr>
          <w:rFonts w:ascii="IBM Plex Sans" w:cs="IBM Plex Sans" w:eastAsia="IBM Plex Sans" w:hAnsi="IBM Plex Sans"/>
          <w:color w:val="1E293B"/>
          <w:sz w:val="20"/>
          <w:szCs w:val="20"/>
        </w:rPr>
        <w:t xml:space="preserve">Alat ultrasonografi portabel non-invasif yang digunakan untuk mengukur volume urin di dalam kandung kemih tanpa memerlukan kateterisasi.</w:t>
      </w:r>
    </w:p>
    <w:p>
      <w:pPr>
        <w:spacing w:after="30" w:before="100"/>
      </w:pPr>
      <w:r>
        <w:rPr>
          <w:rFonts w:ascii="IBM Plex Sans" w:cs="IBM Plex Sans" w:eastAsia="IBM Plex Sans" w:hAnsi="IBM Plex Sans"/>
          <w:b/>
          <w:bCs/>
          <w:color w:val="B45309"/>
          <w:sz w:val="21"/>
          <w:szCs w:val="21"/>
        </w:rPr>
        <w:t xml:space="preserve">Kateterisasi intermiten bersih (clean intermittent catheterization)</w:t>
      </w:r>
    </w:p>
    <w:p>
      <w:pPr>
        <w:spacing w:after="120" w:line="280"/>
        <w:ind w:left="200"/>
      </w:pPr>
      <w:r>
        <w:rPr>
          <w:rFonts w:ascii="IBM Plex Sans" w:cs="IBM Plex Sans" w:eastAsia="IBM Plex Sans" w:hAnsi="IBM Plex Sans"/>
          <w:color w:val="1E293B"/>
          <w:sz w:val="20"/>
          <w:szCs w:val="20"/>
        </w:rPr>
        <w:t xml:space="preserve">Teknik pemasangan kateter urin sementara secara berkala (setiap beberapa jam) untuk mengosongkan kandung kemih, kemudian dilepas kembali di antara episode kateterisasi, tanpa dibiarkan terpasang menetap.</w:t>
      </w:r>
    </w:p>
    <w:p>
      <w:pPr>
        <w:spacing w:after="30" w:before="100"/>
      </w:pPr>
      <w:r>
        <w:rPr>
          <w:rFonts w:ascii="IBM Plex Sans" w:cs="IBM Plex Sans" w:eastAsia="IBM Plex Sans" w:hAnsi="IBM Plex Sans"/>
          <w:b/>
          <w:bCs/>
          <w:color w:val="B45309"/>
          <w:sz w:val="21"/>
          <w:szCs w:val="21"/>
        </w:rPr>
        <w:t xml:space="preserve">Kateter menetap (indwelling catheter)</w:t>
      </w:r>
    </w:p>
    <w:p>
      <w:pPr>
        <w:spacing w:after="120" w:line="280"/>
        <w:ind w:left="200"/>
      </w:pPr>
      <w:r>
        <w:rPr>
          <w:rFonts w:ascii="IBM Plex Sans" w:cs="IBM Plex Sans" w:eastAsia="IBM Plex Sans" w:hAnsi="IBM Plex Sans"/>
          <w:color w:val="1E293B"/>
          <w:sz w:val="20"/>
          <w:szCs w:val="20"/>
        </w:rPr>
        <w:t xml:space="preserve">Kateter urin yang dipasang dan dibiarkan terpasang secara kontinu selama periode waktu tertentu (biasanya 24–48 jam pada tata laksana retensio urin) untuk memberikan istirahat pada otot detrusor.</w:t>
      </w:r>
    </w:p>
    <w:p>
      <w:pPr>
        <w:spacing w:after="30" w:before="100"/>
      </w:pPr>
      <w:r>
        <w:rPr>
          <w:rFonts w:ascii="IBM Plex Sans" w:cs="IBM Plex Sans" w:eastAsia="IBM Plex Sans" w:hAnsi="IBM Plex Sans"/>
          <w:b/>
          <w:bCs/>
          <w:color w:val="B45309"/>
          <w:sz w:val="21"/>
          <w:szCs w:val="21"/>
        </w:rPr>
        <w:t xml:space="preserve">Cedera distensi berlebihan (overdistension injury)</w:t>
      </w:r>
    </w:p>
    <w:p>
      <w:pPr>
        <w:spacing w:after="120" w:line="280"/>
        <w:ind w:left="200"/>
      </w:pPr>
      <w:r>
        <w:rPr>
          <w:rFonts w:ascii="IBM Plex Sans" w:cs="IBM Plex Sans" w:eastAsia="IBM Plex Sans" w:hAnsi="IBM Plex Sans"/>
          <w:color w:val="1E293B"/>
          <w:sz w:val="20"/>
          <w:szCs w:val="20"/>
        </w:rPr>
        <w:t xml:space="preserve">Kerusakan pada otot detrusor dan serabut saraf parasimpatis dinding kandung kemih akibat peregangan berlebihan karena urin yang tertahan dalam jumlah besar dan/atau dalam waktu lama.</w:t>
      </w:r>
    </w:p>
    <w:p>
      <w:pPr>
        <w:spacing w:after="30" w:before="100"/>
      </w:pPr>
      <w:r>
        <w:rPr>
          <w:rFonts w:ascii="IBM Plex Sans" w:cs="IBM Plex Sans" w:eastAsia="IBM Plex Sans" w:hAnsi="IBM Plex Sans"/>
          <w:b/>
          <w:bCs/>
          <w:color w:val="B45309"/>
          <w:sz w:val="21"/>
          <w:szCs w:val="21"/>
        </w:rPr>
        <w:t xml:space="preserve">Globus vesicae</w:t>
      </w:r>
    </w:p>
    <w:p>
      <w:pPr>
        <w:spacing w:after="120" w:line="280"/>
        <w:ind w:left="200"/>
      </w:pPr>
      <w:r>
        <w:rPr>
          <w:rFonts w:ascii="IBM Plex Sans" w:cs="IBM Plex Sans" w:eastAsia="IBM Plex Sans" w:hAnsi="IBM Plex Sans"/>
          <w:color w:val="1E293B"/>
          <w:sz w:val="20"/>
          <w:szCs w:val="20"/>
        </w:rPr>
        <w:t xml:space="preserve">Massa suprapubik yang teraba akibat distensi kandung kemih yang penuh berisi urin, sering disertai nyeri tekan.</w:t>
      </w:r>
    </w:p>
    <w:p>
      <w:pPr>
        <w:spacing w:after="30" w:before="100"/>
      </w:pPr>
      <w:r>
        <w:rPr>
          <w:rFonts w:ascii="IBM Plex Sans" w:cs="IBM Plex Sans" w:eastAsia="IBM Plex Sans" w:hAnsi="IBM Plex Sans"/>
          <w:b/>
          <w:bCs/>
          <w:color w:val="B45309"/>
          <w:sz w:val="21"/>
          <w:szCs w:val="21"/>
        </w:rPr>
        <w:t xml:space="preserve">Refleks bulbokavernosus</w:t>
      </w:r>
    </w:p>
    <w:p>
      <w:pPr>
        <w:spacing w:after="120" w:line="280"/>
        <w:ind w:left="200"/>
      </w:pPr>
      <w:r>
        <w:rPr>
          <w:rFonts w:ascii="IBM Plex Sans" w:cs="IBM Plex Sans" w:eastAsia="IBM Plex Sans" w:hAnsi="IBM Plex Sans"/>
          <w:color w:val="1E293B"/>
          <w:sz w:val="20"/>
          <w:szCs w:val="20"/>
        </w:rPr>
        <w:t xml:space="preserve">Pemeriksaan neurologis untuk menilai integritas jaras saraf sakral (S2–S4) yang berperan dalam fungsi berkemih dan kontinensia.</w:t>
      </w:r>
    </w:p>
    <w:p>
      <w:pPr>
        <w:spacing w:after="30" w:before="100"/>
      </w:pPr>
      <w:r>
        <w:rPr>
          <w:rFonts w:ascii="IBM Plex Sans" w:cs="IBM Plex Sans" w:eastAsia="IBM Plex Sans" w:hAnsi="IBM Plex Sans"/>
          <w:b/>
          <w:bCs/>
          <w:color w:val="B45309"/>
          <w:sz w:val="21"/>
          <w:szCs w:val="21"/>
        </w:rPr>
        <w:t xml:space="preserve">Trial without catheter (TWOC)</w:t>
      </w:r>
    </w:p>
    <w:p>
      <w:pPr>
        <w:spacing w:after="120" w:line="280"/>
        <w:ind w:left="200"/>
      </w:pPr>
      <w:r>
        <w:rPr>
          <w:rFonts w:ascii="IBM Plex Sans" w:cs="IBM Plex Sans" w:eastAsia="IBM Plex Sans" w:hAnsi="IBM Plex Sans"/>
          <w:color w:val="1E293B"/>
          <w:sz w:val="20"/>
          <w:szCs w:val="20"/>
        </w:rPr>
        <w:t xml:space="preserve">Uji coba pelepasan kateter urin menetap untuk menilai kemampuan berkemih spontan pasien sebelum kateter dilepas secara permanen.</w:t>
      </w:r>
    </w:p>
    <w:p>
      <w:pPr>
        <w:pBdr>
          <w:top w:val="single" w:color="CBD5E1" w:sz="6"/>
        </w:pBdr>
        <w:spacing w:before="300"/>
      </w:pPr>
    </w:p>
    <w:p>
      <w:pPr>
        <w:spacing w:before="160"/>
      </w:pPr>
      <w:r>
        <w:rPr>
          <w:rFonts w:ascii="IBM Plex Mono" w:cs="IBM Plex Mono" w:eastAsia="IBM Plex Mono" w:hAnsi="IBM Plex Mono"/>
          <w:color w:val="64748B"/>
          <w:sz w:val="18"/>
          <w:szCs w:val="18"/>
        </w:rPr>
        <w:t xml:space="preserve">← PPK No. 61: Kandung Kemih Hiperaktif (Overactive Bladder)</w:t>
      </w:r>
    </w:p>
    <w:p>
      <w:r>
        <w:rPr>
          <w:rFonts w:ascii="IBM Plex Mono" w:cs="IBM Plex Mono" w:eastAsia="IBM Plex Mono" w:hAnsi="IBM Plex Mono"/>
          <w:color w:val="64748B"/>
          <w:sz w:val="18"/>
          <w:szCs w:val="18"/>
        </w:rPr>
        <w:t xml:space="preserve">PPK No. 63: Prolaps Organ Panggul Derajat I →</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64748B"/>
        <w:sz w:val="15"/>
        <w:szCs w:val="15"/>
      </w:rPr>
      <w:t xml:space="preserve">PPK No. 62 dari 73  •  Halaman </w:t>
    </w:r>
    <w:r>
      <w:rPr>
        <w:rFonts w:ascii="IBM Plex Mono" w:cs="IBM Plex Mono" w:eastAsia="IBM Plex Mono" w:hAnsi="IBM Plex Mono"/>
        <w:color w:val="64748B"/>
        <w:sz w:val="15"/>
        <w:szCs w:val="15"/>
      </w:rPr>
      <w:fldChar w:fldCharType="begin"/>
      <w:instrText xml:space="preserve">PAGE</w:instrText>
      <w:fldChar w:fldCharType="separate"/>
      <w:fldChar w:fldCharType="end"/>
    </w:r>
    <w:r>
      <w:rPr>
        <w:rFonts w:ascii="IBM Plex Mono" w:cs="IBM Plex Mono" w:eastAsia="IBM Plex Mono" w:hAnsi="IBM Plex Mono"/>
        <w:color w:val="64748B"/>
        <w:sz w:val="15"/>
        <w:szCs w:val="15"/>
      </w:rPr>
      <w:t xml:space="preserve"> / </w:t>
    </w:r>
    <w:r>
      <w:rPr>
        <w:rFonts w:ascii="IBM Plex Mono" w:cs="IBM Plex Mono" w:eastAsia="IBM Plex Mono" w:hAnsi="IBM Plex Mono"/>
        <w:color w:val="64748B"/>
        <w:sz w:val="15"/>
        <w:szCs w:val="15"/>
      </w:rPr>
      <w:fldChar w:fldCharType="begin"/>
      <w:instrText xml:space="preserve">NUMPAGES</w:instrText>
      <w:fldChar w:fldCharType="separate"/>
      <w:fldChar w:fldCharType="end"/>
    </w:r>
  </w:p>
  <w:p>
    <w:pPr>
      <w:spacing w:before="20"/>
      <w:jc w:val="center"/>
    </w:pPr>
    <w:r>
      <w:rPr>
        <w:rFonts w:ascii="IBM Plex Mono" w:cs="IBM Plex Mono" w:eastAsia="IBM Plex Mono" w:hAnsi="IBM Plex Mono"/>
        <w:color w:val="94A3B8"/>
        <w:sz w:val="13"/>
        <w:szCs w:val="13"/>
      </w:rPr>
      <w:t xml:space="preserve">Perpustakaan Digital ABBA — Jl. Kerinci Raya No. 9, Malang 65138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IBM Plex Mono" w:cs="IBM Plex Mono" w:eastAsia="IBM Plex Mono" w:hAnsi="IBM Plex Mono"/>
        <w:color w:val="64748B"/>
        <w:sz w:val="15"/>
        <w:szCs w:val="15"/>
      </w:rPr>
      <w:t xml:space="preserve">PPK-062 — Retensio Urin Akut Pasca-persalinan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40" w:before="280"/>
    </w:pPr>
    <w:rPr>
      <w:rFonts w:ascii="Source Serif 4" w:cs="Source Serif 4" w:eastAsia="Source Serif 4" w:hAnsi="Source Serif 4"/>
      <w:b/>
      <w:bCs/>
      <w:color w:val="111827"/>
      <w:sz w:val="30"/>
      <w:szCs w:val="30"/>
    </w:rPr>
  </w:style>
  <w:style w:type="paragraph" w:styleId="Heading2">
    <w:name w:val="Heading 2"/>
    <w:basedOn w:val="Normal"/>
    <w:next w:val="Normal"/>
    <w:qFormat/>
    <w:pPr>
      <w:spacing w:after="100" w:before="200"/>
    </w:pPr>
    <w:rPr>
      <w:rFonts w:ascii="Source Serif 4" w:cs="Source Serif 4" w:eastAsia="Source Serif 4" w:hAnsi="Source Serif 4"/>
      <w:b/>
      <w:bCs/>
      <w:color w:val="B45309"/>
      <w:sz w:val="24"/>
      <w:szCs w:val="24"/>
    </w:rPr>
  </w:style>
  <w:style w:type="paragraph" w:styleId="Heading3">
    <w:name w:val="Heading 3"/>
    <w:basedOn w:val="Normal"/>
    <w:next w:val="Normal"/>
    <w:qFormat/>
    <w:pPr>
      <w:spacing w:after="80" w:before="160"/>
    </w:pPr>
    <w:rPr>
      <w:rFonts w:ascii="Source Serif 4" w:cs="Source Serif 4" w:eastAsia="Source Serif 4" w:hAnsi="Source Serif 4"/>
      <w:b/>
      <w:bCs/>
      <w:color w:val="334155"/>
      <w:sz w:val="21"/>
      <w:szCs w:val="21"/>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rftmbvypkro0jb97am6yy" Type="http://schemas.openxmlformats.org/officeDocument/2006/relationships/hyperlink" Target="https://www.who.int/publications/i/item/9789240045989" TargetMode="External"/><Relationship Id="rIdtfcnu56hjzolm7tynqzbg" Type="http://schemas.openxmlformats.org/officeDocument/2006/relationships/hyperlink" Target="https://www.rcog.org.uk/guidance/browse-all-guidance/green-top-guidelines/assisted-vaginal-birth-green-top-guideline-no-26/" TargetMode="External"/><Relationship Id="rIdn7wvwfc2xucseqxe7rwea" Type="http://schemas.openxmlformats.org/officeDocument/2006/relationships/hyperlink" Target="https://journals.lww.com/greenjournal/fulltext/10.1097/aog.0000000000002633~acog-committee-opinion-no-736-optimizing-postpartum-care" TargetMode="External"/><Relationship Id="rIdfdcndnvx1-kca-3uklyew" Type="http://schemas.openxmlformats.org/officeDocument/2006/relationships/hyperlink" Target="https://internationalmidwives.org/resources/essential-competencies-for-midwifery-practice/" TargetMode="External"/><Relationship Id="rIdg_hkfcngp070n1kr4cnfs" Type="http://schemas.openxmlformats.org/officeDocument/2006/relationships/hyperlink" Target="https://pubmed.ncbi.nlm.nih.gov/35932877/" TargetMode="External"/><Relationship Id="rIdtzgtj7ysbyr0uff5nrn3c" Type="http://schemas.openxmlformats.org/officeDocument/2006/relationships/hyperlink" Target="https://pubmed.ncbi.nlm.nih.gov/24842120/" TargetMode="Externa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2026-08-18T04:46:21.225Z</dcterms:created>
  <dcterms:modified xsi:type="dcterms:W3CDTF">2026-08-18T04:46:21.225Z</dcterms:modified>
</cp:coreProperties>
</file>

<file path=docProps/custom.xml><?xml version="1.0" encoding="utf-8"?>
<Properties xmlns="http://schemas.openxmlformats.org/officeDocument/2006/custom-properties" xmlns:vt="http://schemas.openxmlformats.org/officeDocument/2006/docPropsVTypes"/>
</file>