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400"/>
        <w:jc w:val="center"/>
      </w:pPr>
      <w:r>
        <w:rPr>
          <w:b/>
          <w:bCs/>
          <w:caps/>
          <w:color w:val="B45309"/>
          <w:sz w:val="22"/>
          <w:szCs w:val="22"/>
        </w:rPr>
        <w:t xml:space="preserve">PANDUAN PRAKTIK KLINIS</w:t>
      </w:r>
    </w:p>
    <w:p>
      <w:pPr>
        <w:spacing w:after="40"/>
        <w:jc w:val="center"/>
      </w:pPr>
      <w:r>
        <w:rPr>
          <w:color w:val="334155"/>
          <w:sz w:val="20"/>
          <w:szCs w:val="20"/>
        </w:rPr>
        <w:t xml:space="preserve">PPK No. 64 dari 73</w:t>
      </w:r>
    </w:p>
    <w:p>
      <w:pPr>
        <w:spacing w:after="60" w:before="300"/>
        <w:jc w:val="center"/>
      </w:pPr>
      <w:r>
        <w:rPr>
          <w:rFonts w:ascii="Source Serif 4" w:cs="Source Serif 4" w:eastAsia="Source Serif 4" w:hAnsi="Source Serif 4"/>
          <w:b/>
          <w:bCs/>
          <w:color w:val="4F46E5"/>
          <w:sz w:val="40"/>
          <w:szCs w:val="40"/>
        </w:rPr>
        <w:t xml:space="preserve">Himen Imperforata</w:t>
      </w:r>
    </w:p>
    <w:p>
      <w:pPr>
        <w:spacing w:after="300"/>
        <w:jc w:val="center"/>
      </w:pPr>
      <w:r>
        <w:rPr>
          <w:i/>
          <w:iCs/>
          <w:color w:val="334155"/>
          <w:sz w:val="26"/>
          <w:szCs w:val="26"/>
        </w:rPr>
        <w:t xml:space="preserve">Imperforate Hymen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IDENTITAS UNIT</w:t>
            </w:r>
          </w:p>
          <w:p>
            <w:r>
              <w:rPr>
                <w:color w:val="334155"/>
                <w:sz w:val="20"/>
                <w:szCs w:val="20"/>
              </w:rPr>
              <w:t xml:space="preserve">Kode Unit: PPK-064  ·  Kategori: Panduan Praktik Klinis (Individu)  ·  Divisi Pengampu: Uroginekologi Rekonstruksi  ·  Rujukan Induk: Buku Tematik B9 — Menopause, Uroginekologi Dasar, dan Prolaps Organ Panggul</w:t>
            </w:r>
          </w:p>
        </w:tc>
      </w:tr>
    </w:tbl>
    <w:p>
      <w:pPr>
        <w:spacing w:after="60" w:before="300"/>
      </w:pPr>
      <w:r>
        <w:rPr>
          <w:b/>
          <w:bCs/>
          <w:color w:val="B45309"/>
          <w:sz w:val="19"/>
          <w:szCs w:val="19"/>
        </w:rPr>
        <w:t xml:space="preserve">ICD-10</w:t>
      </w:r>
    </w:p>
    <w:p>
      <w:pPr>
        <w:spacing w:after="100"/>
      </w:pPr>
      <w:r>
        <w:rPr>
          <w:rFonts w:ascii="IBM Plex Mono" w:cs="IBM Plex Mono" w:eastAsia="IBM Plex Mono" w:hAnsi="IBM Plex Mono"/>
          <w:color w:val="334155"/>
          <w:sz w:val="22"/>
          <w:szCs w:val="22"/>
        </w:rPr>
        <w:t xml:space="preserve">Q52.3 — Himen imperforata (Imperforate hymen)</w:t>
      </w:r>
    </w:p>
    <w:p>
      <w:pPr>
        <w:spacing w:after="60"/>
      </w:pPr>
      <w:r>
        <w:rPr>
          <w:b/>
          <w:bCs/>
          <w:color w:val="B45309"/>
          <w:sz w:val="19"/>
          <w:szCs w:val="19"/>
        </w:rPr>
        <w:t xml:space="preserve">ICD-11</w:t>
      </w:r>
    </w:p>
    <w:p>
      <w:pPr>
        <w:spacing w:after="300"/>
      </w:pPr>
      <w:r>
        <w:rPr>
          <w:rFonts w:ascii="IBM Plex Mono" w:cs="IBM Plex Mono" w:eastAsia="IBM Plex Mono" w:hAnsi="IBM Plex Mono"/>
          <w:color w:val="334155"/>
          <w:sz w:val="22"/>
          <w:szCs w:val="22"/>
        </w:rPr>
        <w:t xml:space="preserve">LB42.4 — Himen imperforata (Imperforate hymen)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HUKUM</w:t>
            </w:r>
          </w:p>
          <w:p>
            <w:r>
              <w:rPr>
                <w:color w:val="334155"/>
                <w:sz w:val="20"/>
                <w:szCs w:val="20"/>
              </w:rPr>
              <w:t xml:space="preserve">Keputusan Ketua Konsil Kesehatan Indonesia No. HK.01.02/KKI/1318/2026 tentang Standar Kompetensi Dokter Spesialis dan Subspesialis Bidang Obstetri dan Ginekologi, Tabel 7, entri No. 64.</w:t>
            </w:r>
          </w:p>
        </w:tc>
      </w:tr>
    </w:tbl>
    <w:p>
      <w:pPr>
        <w:spacing w:after="40" w:before="260"/>
      </w:pPr>
      <w:r>
        <w:rPr>
          <w:b/>
          <w:bCs/>
          <w:color w:val="334155"/>
          <w:sz w:val="19"/>
          <w:szCs w:val="19"/>
        </w:rPr>
        <w:t xml:space="preserve">Dr.dr. Budi Siswanto, Sp.OG., Subsp.Obginsos., SH., S.Kom.</w:t>
      </w:r>
    </w:p>
    <w:p>
      <w:pPr>
        <w:spacing w:after="20"/>
      </w:pPr>
      <w:r>
        <w:rPr>
          <w:color w:val="64748B"/>
          <w:sz w:val="17"/>
          <w:szCs w:val="17"/>
        </w:rPr>
        <w:t xml:space="preserve">Perpustakaan Digital ABBA · Jl. Kerinci Raya No. 9, Malang 65138</w:t>
      </w:r>
    </w:p>
    <w:p>
      <w:pPr>
        <w:spacing w:after="300"/>
      </w:pPr>
      <w:r>
        <w:rPr>
          <w:i/>
          <w:iCs/>
          <w:color w:val="64748B"/>
          <w:sz w:val="17"/>
          <w:szCs w:val="17"/>
        </w:rPr>
        <w:t xml:space="preserve">Edisi 1, Agustus 2026</w:t>
      </w:r>
    </w:p>
    <w:p>
      <w:r>
        <w:br w:type="page"/>
      </w:r>
    </w:p>
    <w:p>
      <w:pPr>
        <w:pStyle w:val="Heading1"/>
        <w:spacing w:after="200" w:before="0"/>
      </w:pPr>
      <w:r>
        <w:rPr>
          <w:color w:val="4F46E5"/>
        </w:rPr>
        <w:t xml:space="preserve">Ringkasan Dokumen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KARTU RINGKASAN</w:t>
            </w:r>
          </w:p>
          <w:p>
            <w:r>
              <w:rPr>
                <w:color w:val="334155"/>
                <w:sz w:val="20"/>
                <w:szCs w:val="20"/>
              </w:rPr>
              <w:t xml:space="preserve">Himen Imperforata (Imperforate Hymen) — ICD-10 Q52.3 / ICD-11 LB42.4. Populasi sasaran: kelainan kongenital himen, umumnya terdeteksi pada anak/remaja putri pascamenarke. Unit analisis: 1 pasien, 1 episode layanan (anak/remaja putri dengan himen imperforata). Divisi pengampu: Uroginekologi Rekonstruksi.</w:t>
            </w:r>
          </w:p>
        </w:tc>
      </w:tr>
    </w:tbl>
    <w:p>
      <w:pPr>
        <w:spacing w:after="200" w:before="200"/>
      </w:pPr>
    </w:p>
    <w:p>
      <w:pPr>
        <w:pStyle w:val="Heading1"/>
        <w:spacing w:after="160" w:before="300"/>
      </w:pPr>
      <w:r>
        <w:rPr>
          <w:color w:val="4F46E5"/>
        </w:rPr>
        <w:t xml:space="preserve">1. Pengertian / Definisi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Kepkonsil Tabel 7 No. 64 (nomenklatur, kode ICD-10/ICD-11, populasi sasaran); Kepkonsil Daftar Istilah — entri “Himen imperforata”.</w:t>
            </w:r>
          </w:p>
        </w:tc>
      </w:tr>
    </w:tbl>
    <w:p>
      <w:pPr>
        <w:spacing w:after="160"/>
      </w:pPr>
    </w:p>
    <w:p>
      <w:pPr>
        <w:spacing w:after="160" w:line="276"/>
      </w:pPr>
      <w:r>
        <w:rPr>
          <w:color w:val="334155"/>
          <w:sz w:val="21"/>
          <w:szCs w:val="21"/>
        </w:rPr>
        <w:t xml:space="preserve">PPK ini merupakan turunan operasional dari Bab “Kelainan Kongenital dan Obstruksi Traktus Genitalia Bawah”, Buku Tematik B9 — Menopause, Uroginekologi Dasar, dan Prolaps Organ Panggul.</w:t>
      </w:r>
    </w:p>
    <w:p>
      <w:pPr>
        <w:spacing w:after="160" w:line="276"/>
      </w:pPr>
      <w:r>
        <w:rPr>
          <w:color w:val="334155"/>
          <w:sz w:val="21"/>
          <w:szCs w:val="21"/>
        </w:rPr>
        <w:t xml:space="preserve">Himen imperforata (imperforate hymen) adalah kelainan kongenital pada himen berupa membran yang tidak mengalami perforasi sehingga menutup total introitus vagina. Secara embriologis, kondisi ini timbul akibat kegagalan kanalisasi lempeng vagina pada pertemuan sinus urogenital dengan kanalis uterovaginalis, disertai kegagalan degenerasi sel epitel himen pada masa perkembangan janin. Himen imperforata merupakan bentuk obstruksi vagina kongenital yang paling sering dijumpai.</w:t>
      </w:r>
    </w:p>
    <w:p>
      <w:pPr>
        <w:spacing w:after="160" w:line="276"/>
      </w:pPr>
      <w:r>
        <w:rPr>
          <w:color w:val="334155"/>
          <w:sz w:val="21"/>
          <w:szCs w:val="21"/>
        </w:rPr>
        <w:t xml:space="preserve">Kondisi ini paling sering terdeteksi saat menarke, ketika darah haid tidak dapat mengalir keluar dan terkumpul di dalam vagina (hematokolpos); bila berlanjut tanpa tata laksana, akumulasi dapat meluas menjadi hematometra dan hematosalpinks. Pada sebagian kecil kasus, himen imperforata juga dapat dikenali lebih awal, yaitu pada masa neonatal (akibat mukokolpos akibat stimulasi estrogen maternal) atau secara insidental pada masa prapubertas sebelum ada akumulasi cairan.</w:t>
      </w:r>
    </w:p>
    <w:p>
      <w:pPr>
        <w:spacing w:after="160" w:line="276"/>
      </w:pPr>
      <w:r>
        <w:rPr>
          <w:color w:val="334155"/>
          <w:sz w:val="21"/>
          <w:szCs w:val="21"/>
        </w:rPr>
        <w:t xml:space="preserve">Kepustakaan internasional memperkirakan angka kejadian berkisar 1 dari 1.000 hingga 1 dari 2.000 kelahiran perempuan, dengan variasi antarstudi karena keterbatasan data populasi berbasis registri; angka ini berasal dari tinjauan sistematis dan laporan seri kasus internasional, bukan dari registri nasional Indonesia (lihat Bagian 12).</w:t>
      </w:r>
    </w:p>
    <w:p>
      <w:pPr>
        <w:spacing w:after="160" w:line="276"/>
      </w:pPr>
      <w:r>
        <w:rPr>
          <w:color w:val="334155"/>
          <w:sz w:val="21"/>
          <w:szCs w:val="21"/>
        </w:rPr>
        <w:t xml:space="preserve">Kepkonsil membedakan dua bentuk kompetensi terkait diagnosis ini: (1) himen imperforata sebagai entri diagnosis tunggal pada Tabel 7 No. 64 dengan populasi sasaran “kelainan kongenital himen”, dan (2) pada daftar keterampilan prosedural, tindakan pembedahan himen dicantumkan sebagai kompetensi wajib bagi peserta didik dengan variasi tingkat kompleksitas — mulai dari kasus sederhana hingga “himen imperforata dengan gangguan berkemih/berulang” pada populasi anak/remaja putri, yang menuntut penguasaan teknik pembedahan serta penanganan komplikasi pascatindakan secara lebih mendalam.</w:t>
      </w:r>
    </w:p>
    <w:p>
      <w:pPr>
        <w:spacing w:after="160" w:line="276"/>
      </w:pPr>
      <w:r>
        <w:rPr>
          <w:color w:val="334155"/>
          <w:sz w:val="21"/>
          <w:szCs w:val="21"/>
        </w:rPr>
        <w:t xml:space="preserve">Himen imperforata perlu dibedakan dari varian himen lain yang secara anatomis berbeda meski sama-sama tergolong kelainan kongenital himen, yaitu himen mikroperforata (lubang sangat kecil), himen septata (terdapat septum membagi orifisium), dan himen kribriformis (banyak lubang kecil menyerupai saringan) — ketiganya masih memungkinkan aliran darah haid meski tidak lancar, sehingga presentasi klinisnya berbeda dari obstruksi total pada himen imperforata (lihat Bagian 5).</w:t>
      </w:r>
    </w:p>
    <w:p>
      <w:pPr>
        <w:spacing w:after="160" w:line="276"/>
      </w:pPr>
      <w:r>
        <w:rPr>
          <w:color w:val="334155"/>
          <w:sz w:val="21"/>
          <w:szCs w:val="21"/>
        </w:rPr>
        <w:t xml:space="preserve">Sebagian besar kasus bersifat terisolasi (nonsindromik); pada sebagian kecil kasus, himen imperforata dapat menyertai anomali duktus Müller lain, sehingga kewaspadaan terhadap anomali penyerta perlu dipertahankan sepanjang alur diagnosis.</w:t>
      </w:r>
    </w:p>
    <w:p>
      <w:pPr>
        <w:pStyle w:val="Heading1"/>
        <w:spacing w:after="160" w:before="300"/>
      </w:pPr>
      <w:r>
        <w:rPr>
          <w:color w:val="4F46E5"/>
        </w:rPr>
        <w:t xml:space="preserve">2. Anamnesis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Kepkonsil Tabel 7 No. 64 (Keterangan/Populasi: “kelainan kongenital himen”) dan Tabel Kompetensi Prosedural No. 34 (populasi: “anak/remaja putri dengan himen imperforata”).</w:t>
            </w:r>
          </w:p>
        </w:tc>
      </w:tr>
    </w:tbl>
    <w:p>
      <w:pPr>
        <w:spacing w:after="160"/>
      </w:pPr>
    </w:p>
    <w:p>
      <w:pPr>
        <w:spacing w:after="160" w:line="276"/>
      </w:pPr>
      <w:r>
        <w:rPr>
          <w:color w:val="334155"/>
          <w:sz w:val="21"/>
          <w:szCs w:val="21"/>
        </w:rPr>
        <w:t xml:space="preserve">Presentasi klinis berbeda menurut usia saat terdeteksi.</w:t>
      </w:r>
    </w:p>
    <w:p>
      <w:pPr>
        <w:pStyle w:val="ListParagraph"/>
        <w:numPr>
          <w:ilvl w:val="0"/>
          <w:numId w:val="1"/>
        </w:numPr>
        <w:spacing w:after="100" w:line="276"/>
      </w:pPr>
      <w:r>
        <w:rPr>
          <w:color w:val="334155"/>
          <w:sz w:val="21"/>
          <w:szCs w:val="21"/>
        </w:rPr>
        <w:t xml:space="preserve">Periode neonatal: dapat ditemukan insidental sebagai benjolan menonjol pada perineum akibat mukokolpos, terbentuk dari sekresi mukus serviks yang terstimulasi estrogen maternal.</w:t>
      </w:r>
    </w:p>
    <w:p>
      <w:pPr>
        <w:pStyle w:val="ListParagraph"/>
        <w:numPr>
          <w:ilvl w:val="0"/>
          <w:numId w:val="1"/>
        </w:numPr>
        <w:spacing w:after="100" w:line="276"/>
      </w:pPr>
      <w:r>
        <w:rPr>
          <w:color w:val="334155"/>
          <w:sz w:val="21"/>
          <w:szCs w:val="21"/>
        </w:rPr>
        <w:t xml:space="preserve">Periode prapubertas (asimtomatik): sering baru diketahui pada pemeriksaan genitalia rutin tanpa keluhan, karena belum ada akumulasi cairan menstruasi.</w:t>
      </w:r>
    </w:p>
    <w:p>
      <w:pPr>
        <w:pStyle w:val="ListParagraph"/>
        <w:numPr>
          <w:ilvl w:val="0"/>
          <w:numId w:val="1"/>
        </w:numPr>
        <w:spacing w:after="100" w:line="276"/>
      </w:pPr>
      <w:r>
        <w:rPr>
          <w:color w:val="334155"/>
          <w:sz w:val="21"/>
          <w:szCs w:val="21"/>
        </w:rPr>
        <w:t xml:space="preserve">Periode pascamenarke/pubertas (presentasi tersering): amenore primer siklik disertai nyeri perut bagian bawah/panggul yang berulang setiap bulan tanpa disertai perdarahan pervaginam — pola nyeri ini yang membedakannya dari amenore primer penyebab lain.</w:t>
      </w:r>
    </w:p>
    <w:p>
      <w:pPr>
        <w:pStyle w:val="ListParagraph"/>
        <w:numPr>
          <w:ilvl w:val="0"/>
          <w:numId w:val="1"/>
        </w:numPr>
        <w:spacing w:after="100" w:line="276"/>
      </w:pPr>
      <w:r>
        <w:rPr>
          <w:color w:val="334155"/>
          <w:sz w:val="21"/>
          <w:szCs w:val="21"/>
        </w:rPr>
        <w:t xml:space="preserve">Keluhan penyerta akibat efek desak ruang hematokolpos: rasa penuh/tertekan pada panggul, retensio urin atau pancaran urin melemah, frekuensi/urgensi berkemih, konstipasi atau nyeri saat defekasi (dyschezia), serta nyeri punggung bawah.</w:t>
      </w:r>
    </w:p>
    <w:p>
      <w:pPr>
        <w:pStyle w:val="ListParagraph"/>
        <w:numPr>
          <w:ilvl w:val="0"/>
          <w:numId w:val="1"/>
        </w:numPr>
        <w:spacing w:after="100" w:line="276"/>
      </w:pPr>
      <w:r>
        <w:rPr>
          <w:color w:val="334155"/>
          <w:sz w:val="21"/>
          <w:szCs w:val="21"/>
        </w:rPr>
        <w:t xml:space="preserve">Perlu ditanyakan: usia menarke teman sebaya/riwayat perkembangan pubertas (telarke, pubarke) untuk memastikan pubertas sudah berlangsung normal; durasi dan pola siklik keluhan; riwayat anomali kongenital traktus urogenital pada keluarga.</w:t>
      </w:r>
    </w:p>
    <w:p>
      <w:pPr>
        <w:spacing w:after="160" w:line="276"/>
      </w:pPr>
      <w:r>
        <w:rPr>
          <w:color w:val="334155"/>
          <w:sz w:val="21"/>
          <w:szCs w:val="21"/>
        </w:rPr>
        <w:t xml:space="preserve">Tinjauan sistematis atas 253 kasus terpublikasi oleh Lee dkk. (2019) mendapati distribusi keluhan saat presentasi sebagai berikut: nyeri perut (54,2%), retensio urin (20,3%), gangguan pola haid (14,0%), disuria (9,7%), peningkatan frekuensi berkemih (5,1%), serta presentasi berat berupa gagal ginjal akut akibat obstruksi (2,1%) dan infeksi saluran kemih (0,4%). Proporsi ini berasal dari kumpulan laporan kasus internasional dan bukan angka epidemiologi populasi umum, namun bermanfaat sebagai peta kewaspadaan klinis.</w:t>
      </w:r>
    </w:p>
    <w:p>
      <w:pPr>
        <w:spacing w:after="160" w:line="276"/>
      </w:pPr>
      <w:r>
        <w:rPr>
          <w:color w:val="334155"/>
          <w:sz w:val="21"/>
          <w:szCs w:val="21"/>
        </w:rPr>
        <w:t xml:space="preserve">Keluhan retensio urin berat, nyeri pinggang disertai penurunan produksi urin, atau tanda gagal ginjal akut merupakan tanda bahaya (red flag) yang menuntut evaluasi dan tata laksana segera, mengingat obstruksi berkepanjangan dapat menekan ureter distal melalui efek desak ruang hematokolpos masif.</w:t>
      </w:r>
    </w:p>
    <w:p>
      <w:pPr>
        <w:pStyle w:val="Heading1"/>
        <w:spacing w:after="160" w:before="300"/>
      </w:pPr>
      <w:r>
        <w:rPr>
          <w:color w:val="4F46E5"/>
        </w:rPr>
        <w:t xml:space="preserve">3. Pemeriksaan Fisik</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Kepkonsil Area Kompetensi Klinis — keterampilan pemeriksaan genitalia anak dan remaja; ACOG Committee Opinion No. 780 (lihat Bagian 12).</w:t>
            </w:r>
          </w:p>
        </w:tc>
      </w:tr>
    </w:tbl>
    <w:p>
      <w:pPr>
        <w:spacing w:after="160"/>
      </w:pPr>
    </w:p>
    <w:p>
      <w:pPr>
        <w:spacing w:after="160" w:line="276"/>
      </w:pPr>
      <w:r>
        <w:rPr>
          <w:color w:val="334155"/>
          <w:sz w:val="21"/>
          <w:szCs w:val="21"/>
        </w:rPr>
        <w:t xml:space="preserve">Pemeriksaan status generalis meliputi penilaian tahap kematangan seksual (Tanner staging) payudara dan rambut pubis — pada umumnya normal sesuai usia, menegaskan bahwa estrogenisasi pubertas telah terjadi meski menstruasi tidak tampak keluar.</w:t>
      </w:r>
    </w:p>
    <w:p>
      <w:pPr>
        <w:pStyle w:val="ListParagraph"/>
        <w:numPr>
          <w:ilvl w:val="0"/>
          <w:numId w:val="1"/>
        </w:numPr>
        <w:spacing w:after="100" w:line="276"/>
      </w:pPr>
      <w:r>
        <w:rPr>
          <w:color w:val="334155"/>
          <w:sz w:val="21"/>
          <w:szCs w:val="21"/>
        </w:rPr>
        <w:t xml:space="preserve">Inspeksi abdomen: dapat teraba massa suprapubik akibat distensi vagina/uterus oleh darah tertahan (hematokolpos/hematometra), kadang menyerupai retensi urin akut.</w:t>
      </w:r>
    </w:p>
    <w:p>
      <w:pPr>
        <w:pStyle w:val="ListParagraph"/>
        <w:numPr>
          <w:ilvl w:val="0"/>
          <w:numId w:val="1"/>
        </w:numPr>
        <w:spacing w:after="100" w:line="276"/>
      </w:pPr>
      <w:r>
        <w:rPr>
          <w:color w:val="334155"/>
          <w:sz w:val="21"/>
          <w:szCs w:val="21"/>
        </w:rPr>
        <w:t xml:space="preserve">Inspeksi genitalia eksterna (tanpa spekulum — tindakan spekulum umumnya tidak diperlukan dan dapat menimbulkan trauma serta nyeri pada pasien remaja): tampak membran himen yang menonjol (bulging), tegang, berwarna kebiruan atau keunguan gelap akibat darah yang terperangkap di baliknya, tanpa lubang/perforasi yang terlihat.</w:t>
      </w:r>
    </w:p>
    <w:p>
      <w:pPr>
        <w:pStyle w:val="ListParagraph"/>
        <w:numPr>
          <w:ilvl w:val="0"/>
          <w:numId w:val="1"/>
        </w:numPr>
        <w:spacing w:after="100" w:line="276"/>
      </w:pPr>
      <w:r>
        <w:rPr>
          <w:color w:val="334155"/>
          <w:sz w:val="21"/>
          <w:szCs w:val="21"/>
        </w:rPr>
        <w:t xml:space="preserve">Colok dubur (rectal toucher) dapat dipertimbangkan sebagai alternatif yang lebih dapat ditoleransi dibanding pemeriksaan vagina pada remaja, untuk mengonfirmasi keberadaan serviks dan menilai jarak massa hematokolpos terhadap perineum.</w:t>
      </w:r>
    </w:p>
    <w:p>
      <w:pPr>
        <w:pStyle w:val="ListParagraph"/>
        <w:numPr>
          <w:ilvl w:val="0"/>
          <w:numId w:val="1"/>
        </w:numPr>
        <w:spacing w:after="100" w:line="276"/>
      </w:pPr>
      <w:r>
        <w:rPr>
          <w:color w:val="334155"/>
          <w:sz w:val="21"/>
          <w:szCs w:val="21"/>
        </w:rPr>
        <w:t xml:space="preserve">Tujuan utama pemeriksaan fisik adalah membedakan himen imperforata dari penyebab obstruksi lain (adhesi labia, septum vagina transversal, atresia vagina distal, sinus urogenital) — lihat Bagian 5.</w:t>
      </w:r>
    </w:p>
    <w:p>
      <w:pPr>
        <w:spacing w:after="160" w:line="276"/>
      </w:pPr>
      <w:r>
        <w:rPr>
          <w:color w:val="334155"/>
          <w:sz w:val="21"/>
          <w:szCs w:val="21"/>
        </w:rPr>
        <w:t xml:space="preserve">Bila pemeriksaan abdomen dan perineum sudah menunjukkan gambaran khas (bulging hymen kebiruan) dan dikonfirmasi hematokolpos pada ultrasonografi, pencitraan tambahan umumnya tidak diperlukan lagi untuk menegakkan diagnosis.</w:t>
      </w:r>
    </w:p>
    <w:p>
      <w:pPr>
        <w:pStyle w:val="Heading1"/>
        <w:spacing w:after="160" w:before="300"/>
      </w:pPr>
      <w:r>
        <w:rPr>
          <w:color w:val="4F46E5"/>
        </w:rPr>
        <w:t xml:space="preserve">4. Kriteria Diagnosis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Kepkonsil Tabel 7 No. 64 — kode ICD-10: Q52.3; kode ICD-11: LB42.4 (hasil verifikasi ulang terhadap dokumen sumber asli).</w:t>
            </w:r>
          </w:p>
        </w:tc>
      </w:tr>
    </w:tbl>
    <w:p>
      <w:pPr>
        <w:spacing w:after="160"/>
      </w:pP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KODE DIAGNOSIS (TERVERIFIKASI)</w:t>
            </w:r>
          </w:p>
          <w:p>
            <w:r>
              <w:rPr>
                <w:color w:val="334155"/>
                <w:sz w:val="20"/>
                <w:szCs w:val="20"/>
              </w:rPr>
              <w:t xml:space="preserve">ICD-10 Q52.3 — Himen imperforata (Imperforate hymen) · ICD-11 LB42.4 — Himen imperforata (Imperforate hymen). Kedua sistem klasifikasi memberi nomenklatur identik untuk entitas diagnosis ini.</w:t>
            </w:r>
          </w:p>
        </w:tc>
      </w:tr>
    </w:tbl>
    <w:p>
      <w:pPr>
        <w:spacing w:after="160"/>
      </w:pPr>
    </w:p>
    <w:p>
      <w:pPr>
        <w:spacing w:after="160" w:line="276"/>
      </w:pPr>
      <w:r>
        <w:rPr>
          <w:color w:val="334155"/>
          <w:sz w:val="21"/>
          <w:szCs w:val="21"/>
        </w:rPr>
        <w:t xml:space="preserve">Diagnosis himen imperforata ditegakkan berdasarkan kombinasi tiga elemen berikut:</w:t>
      </w:r>
    </w:p>
    <w:p>
      <w:pPr>
        <w:pStyle w:val="ListParagraph"/>
        <w:numPr>
          <w:ilvl w:val="0"/>
          <w:numId w:val="2"/>
        </w:numPr>
        <w:spacing w:after="100" w:line="276"/>
      </w:pPr>
      <w:r>
        <w:rPr>
          <w:color w:val="334155"/>
          <w:sz w:val="21"/>
          <w:szCs w:val="21"/>
        </w:rPr>
        <w:t xml:space="preserve">Klinis — gambaran khas membran himen yang menonjol, tegang, dan berwarna kebiruan/gelap pada inspeksi genitalia eksterna, tanpa orifisium vagina yang tampak.</w:t>
      </w:r>
    </w:p>
    <w:p>
      <w:pPr>
        <w:pStyle w:val="ListParagraph"/>
        <w:numPr>
          <w:ilvl w:val="0"/>
          <w:numId w:val="2"/>
        </w:numPr>
        <w:spacing w:after="100" w:line="276"/>
      </w:pPr>
      <w:r>
        <w:rPr>
          <w:color w:val="334155"/>
          <w:sz w:val="21"/>
          <w:szCs w:val="21"/>
        </w:rPr>
        <w:t xml:space="preserve">Kontekstual — amenore primer siklik pada remaja pascamenarke dengan tahap perkembangan pubertas (Tanner) yang normal, disertai nyeri panggul berulang setiap bulan.</w:t>
      </w:r>
    </w:p>
    <w:p>
      <w:pPr>
        <w:pStyle w:val="ListParagraph"/>
        <w:numPr>
          <w:ilvl w:val="0"/>
          <w:numId w:val="2"/>
        </w:numPr>
        <w:spacing w:after="100" w:line="276"/>
      </w:pPr>
      <w:r>
        <w:rPr>
          <w:color w:val="334155"/>
          <w:sz w:val="21"/>
          <w:szCs w:val="21"/>
        </w:rPr>
        <w:t xml:space="preserve">Radiologis (konfirmasi) — ultrasonografi menunjukkan distensi vagina (dan uterus bila sudah meluas) oleh cairan heterogen/berdensitas darah (hematokolpos ± hematometra ± hematosalpinks); lihat Bagian 6.</w:t>
      </w:r>
    </w:p>
    <w:p>
      <w:pPr>
        <w:spacing w:after="160" w:line="276"/>
      </w:pPr>
      <w:r>
        <w:rPr>
          <w:color w:val="334155"/>
          <w:sz w:val="21"/>
          <w:szCs w:val="21"/>
        </w:rPr>
        <w:t xml:space="preserve">Bila gambaran klinis sudah khas dan USG mengonfirmasi hematokolpos tanpa kecurigaan anomali kompleks lain, pencitraan lanjutan umumnya tidak diperlukan lagi untuk menegakkan diagnosis.</w:t>
      </w:r>
    </w:p>
    <w:p>
      <w:pPr>
        <w:pStyle w:val="Heading1"/>
        <w:spacing w:after="160" w:before="300"/>
      </w:pPr>
      <w:r>
        <w:rPr>
          <w:color w:val="4F46E5"/>
        </w:rPr>
        <w:t xml:space="preserve">5. Diagnosis Kerja dan Diagnosis Banding</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Kepkonsil Tabel 7 No. 64; pengayaan alur banding mengacu ACOG Committee Opinion No. 779 (lihat Bagian 12).</w:t>
            </w:r>
          </w:p>
        </w:tc>
      </w:tr>
    </w:tbl>
    <w:p>
      <w:pPr>
        <w:spacing w:after="160"/>
      </w:pPr>
    </w:p>
    <w:p>
      <w:pPr>
        <w:spacing w:after="160" w:line="276"/>
      </w:pPr>
      <w:r>
        <w:rPr>
          <w:color w:val="334155"/>
          <w:sz w:val="21"/>
          <w:szCs w:val="21"/>
        </w:rPr>
        <w:t xml:space="preserve">Diagnosis kerja: Himen imperforata (Q52.3 / LB42.4).</w:t>
      </w:r>
    </w:p>
    <w:p>
      <w:pPr>
        <w:spacing w:after="160" w:line="276"/>
      </w:pPr>
      <w:r>
        <w:rPr>
          <w:color w:val="334155"/>
          <w:sz w:val="21"/>
          <w:szCs w:val="21"/>
        </w:rPr>
        <w:t xml:space="preserve">Diagnosis banding utama yang wajib disingkirkan melalui pemeriksaan fisik dan pencitraan: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4F46E5" w:val="clear"/>
            <w:tcMar>
              <w:top w:type="dxa" w:w="100"/>
              <w:left w:type="dxa" w:w="120"/>
              <w:bottom w:type="dxa" w:w="100"/>
              <w:right w:type="dxa" w:w="120"/>
            </w:tcMar>
          </w:tcPr>
          <w:p>
            <w:r>
              <w:rPr>
                <w:b/>
                <w:bCs/>
                <w:color w:val="FFFFFF"/>
                <w:sz w:val="19"/>
                <w:szCs w:val="19"/>
              </w:rPr>
              <w:t xml:space="preserve">Diagnosis Banding</w:t>
            </w:r>
          </w:p>
        </w:tc>
        <w:tc>
          <w:tcPr>
            <w:tcW w:type="dxa" w:w="4500"/>
            <w:shd w:fill="4F46E5" w:val="clear"/>
            <w:tcMar>
              <w:top w:type="dxa" w:w="100"/>
              <w:left w:type="dxa" w:w="120"/>
              <w:bottom w:type="dxa" w:w="100"/>
              <w:right w:type="dxa" w:w="120"/>
            </w:tcMar>
          </w:tcPr>
          <w:p>
            <w:r>
              <w:rPr>
                <w:b/>
                <w:bCs/>
                <w:color w:val="FFFFFF"/>
                <w:sz w:val="19"/>
                <w:szCs w:val="19"/>
              </w:rPr>
              <w:t xml:space="preserve">Pembeda Kunci</w:t>
            </w:r>
          </w:p>
        </w:tc>
      </w:tr>
      <w:tr>
        <w:tc>
          <w:tcPr>
            <w:tcW w:type="dxa" w:w="4500"/>
            <w:shd w:fill="FFFFFF" w:val="clear"/>
            <w:tcMar>
              <w:top w:type="dxa" w:w="100"/>
              <w:left w:type="dxa" w:w="120"/>
              <w:bottom w:type="dxa" w:w="100"/>
              <w:right w:type="dxa" w:w="120"/>
            </w:tcMar>
          </w:tcPr>
          <w:p>
            <w:r>
              <w:rPr>
                <w:color w:val="334155"/>
                <w:sz w:val="19"/>
                <w:szCs w:val="19"/>
              </w:rPr>
              <w:t xml:space="preserve">Varian himen lain (mikroperforata, septata, kribriformis)</w:t>
            </w:r>
          </w:p>
        </w:tc>
        <w:tc>
          <w:tcPr>
            <w:tcW w:type="dxa" w:w="4500"/>
            <w:shd w:fill="FFFFFF" w:val="clear"/>
            <w:tcMar>
              <w:top w:type="dxa" w:w="100"/>
              <w:left w:type="dxa" w:w="120"/>
              <w:bottom w:type="dxa" w:w="100"/>
              <w:right w:type="dxa" w:w="120"/>
            </w:tcMar>
          </w:tcPr>
          <w:p>
            <w:r>
              <w:rPr>
                <w:color w:val="334155"/>
                <w:sz w:val="19"/>
                <w:szCs w:val="19"/>
              </w:rPr>
              <w:t xml:space="preserve">Masih terdapat celah/lubang meski sempit sehingga darah haid tetap dapat mengalir sebagian; amenore total dan hematokolpos masif jarang terjadi dibanding himen imperforata sejati.</w:t>
            </w:r>
          </w:p>
        </w:tc>
      </w:tr>
      <w:tr>
        <w:tc>
          <w:tcPr>
            <w:tcW w:type="dxa" w:w="4500"/>
            <w:shd w:fill="F1F5F9" w:val="clear"/>
            <w:tcMar>
              <w:top w:type="dxa" w:w="100"/>
              <w:left w:type="dxa" w:w="120"/>
              <w:bottom w:type="dxa" w:w="100"/>
              <w:right w:type="dxa" w:w="120"/>
            </w:tcMar>
          </w:tcPr>
          <w:p>
            <w:r>
              <w:rPr>
                <w:color w:val="334155"/>
                <w:sz w:val="19"/>
                <w:szCs w:val="19"/>
              </w:rPr>
              <w:t xml:space="preserve">Adhesi labia (labial adhesion)</w:t>
            </w:r>
          </w:p>
        </w:tc>
        <w:tc>
          <w:tcPr>
            <w:tcW w:type="dxa" w:w="4500"/>
            <w:shd w:fill="F1F5F9" w:val="clear"/>
            <w:tcMar>
              <w:top w:type="dxa" w:w="100"/>
              <w:left w:type="dxa" w:w="120"/>
              <w:bottom w:type="dxa" w:w="100"/>
              <w:right w:type="dxa" w:w="120"/>
            </w:tcMar>
          </w:tcPr>
          <w:p>
            <w:r>
              <w:rPr>
                <w:color w:val="334155"/>
                <w:sz w:val="19"/>
                <w:szCs w:val="19"/>
              </w:rPr>
              <w:t xml:space="preserve">Garis fusi labia minora di garis tengah tanpa massa/bulging kebiruan; umumnya pada anak prapubertas, bukan pascamenarke.</w:t>
            </w:r>
          </w:p>
        </w:tc>
      </w:tr>
      <w:tr>
        <w:tc>
          <w:tcPr>
            <w:tcW w:type="dxa" w:w="4500"/>
            <w:shd w:fill="FFFFFF" w:val="clear"/>
            <w:tcMar>
              <w:top w:type="dxa" w:w="100"/>
              <w:left w:type="dxa" w:w="120"/>
              <w:bottom w:type="dxa" w:w="100"/>
              <w:right w:type="dxa" w:w="120"/>
            </w:tcMar>
          </w:tcPr>
          <w:p>
            <w:r>
              <w:rPr>
                <w:color w:val="334155"/>
                <w:sz w:val="19"/>
                <w:szCs w:val="19"/>
              </w:rPr>
              <w:t xml:space="preserve">Septum vagina transversal</w:t>
            </w:r>
          </w:p>
        </w:tc>
        <w:tc>
          <w:tcPr>
            <w:tcW w:type="dxa" w:w="4500"/>
            <w:shd w:fill="FFFFFF" w:val="clear"/>
            <w:tcMar>
              <w:top w:type="dxa" w:w="100"/>
              <w:left w:type="dxa" w:w="120"/>
              <w:bottom w:type="dxa" w:w="100"/>
              <w:right w:type="dxa" w:w="120"/>
            </w:tcMar>
          </w:tcPr>
          <w:p>
            <w:r>
              <w:rPr>
                <w:color w:val="334155"/>
                <w:sz w:val="19"/>
                <w:szCs w:val="19"/>
              </w:rPr>
              <w:t xml:space="preserve">Tidak selalu tampak bulging kebiruan pada introitus; letak obstruksi dapat lebih proksimal; memerlukan MRI untuk memastikan lokasi dan ketebalan septum.</w:t>
            </w:r>
          </w:p>
        </w:tc>
      </w:tr>
      <w:tr>
        <w:tc>
          <w:tcPr>
            <w:tcW w:type="dxa" w:w="4500"/>
            <w:shd w:fill="F1F5F9" w:val="clear"/>
            <w:tcMar>
              <w:top w:type="dxa" w:w="100"/>
              <w:left w:type="dxa" w:w="120"/>
              <w:bottom w:type="dxa" w:w="100"/>
              <w:right w:type="dxa" w:w="120"/>
            </w:tcMar>
          </w:tcPr>
          <w:p>
            <w:r>
              <w:rPr>
                <w:color w:val="334155"/>
                <w:sz w:val="19"/>
                <w:szCs w:val="19"/>
              </w:rPr>
              <w:t xml:space="preserve">Atresia vagina distal</w:t>
            </w:r>
          </w:p>
        </w:tc>
        <w:tc>
          <w:tcPr>
            <w:tcW w:type="dxa" w:w="4500"/>
            <w:shd w:fill="F1F5F9" w:val="clear"/>
            <w:tcMar>
              <w:top w:type="dxa" w:w="100"/>
              <w:left w:type="dxa" w:w="120"/>
              <w:bottom w:type="dxa" w:w="100"/>
              <w:right w:type="dxa" w:w="120"/>
            </w:tcMar>
          </w:tcPr>
          <w:p>
            <w:r>
              <w:rPr>
                <w:color w:val="334155"/>
                <w:sz w:val="19"/>
                <w:szCs w:val="19"/>
              </w:rPr>
              <w:t xml:space="preserve">Segmen vagina distal tidak terbentuk (bukan sekadar membran tertutup); pada masa prapubertas sulit dibedakan dari himen imperforata tanpa hematokolpos — tata laksana bedah karenanya ditunda sampai pubertas bila belum simtomatik.</w:t>
            </w:r>
          </w:p>
        </w:tc>
      </w:tr>
      <w:tr>
        <w:tc>
          <w:tcPr>
            <w:tcW w:type="dxa" w:w="4500"/>
            <w:shd w:fill="FFFFFF" w:val="clear"/>
            <w:tcMar>
              <w:top w:type="dxa" w:w="100"/>
              <w:left w:type="dxa" w:w="120"/>
              <w:bottom w:type="dxa" w:w="100"/>
              <w:right w:type="dxa" w:w="120"/>
            </w:tcMar>
          </w:tcPr>
          <w:p>
            <w:r>
              <w:rPr>
                <w:color w:val="334155"/>
                <w:sz w:val="19"/>
                <w:szCs w:val="19"/>
              </w:rPr>
              <w:t xml:space="preserve">Anomali sinus urogenital</w:t>
            </w:r>
          </w:p>
        </w:tc>
        <w:tc>
          <w:tcPr>
            <w:tcW w:type="dxa" w:w="4500"/>
            <w:shd w:fill="FFFFFF" w:val="clear"/>
            <w:tcMar>
              <w:top w:type="dxa" w:w="100"/>
              <w:left w:type="dxa" w:w="120"/>
              <w:bottom w:type="dxa" w:w="100"/>
              <w:right w:type="dxa" w:w="120"/>
            </w:tcMar>
          </w:tcPr>
          <w:p>
            <w:r>
              <w:rPr>
                <w:color w:val="334155"/>
                <w:sz w:val="19"/>
                <w:szCs w:val="19"/>
              </w:rPr>
              <w:t xml:space="preserve">Muara uretra dan vagina menyatu pada satu kanal; sering disertai kelainan genitalia eksterna ambigu — memerlukan evaluasi endokrin/genetik tambahan.</w:t>
            </w:r>
          </w:p>
        </w:tc>
      </w:tr>
      <w:tr>
        <w:tc>
          <w:tcPr>
            <w:tcW w:type="dxa" w:w="4500"/>
            <w:shd w:fill="F1F5F9" w:val="clear"/>
            <w:tcMar>
              <w:top w:type="dxa" w:w="100"/>
              <w:left w:type="dxa" w:w="120"/>
              <w:bottom w:type="dxa" w:w="100"/>
              <w:right w:type="dxa" w:w="120"/>
            </w:tcMar>
          </w:tcPr>
          <w:p>
            <w:r>
              <w:rPr>
                <w:color w:val="334155"/>
                <w:sz w:val="19"/>
                <w:szCs w:val="19"/>
              </w:rPr>
              <w:t xml:space="preserve">Sindrom OHVIRA (uterus didelfis dengan hemivagina terobstruksi)</w:t>
            </w:r>
          </w:p>
        </w:tc>
        <w:tc>
          <w:tcPr>
            <w:tcW w:type="dxa" w:w="4500"/>
            <w:shd w:fill="F1F5F9" w:val="clear"/>
            <w:tcMar>
              <w:top w:type="dxa" w:w="100"/>
              <w:left w:type="dxa" w:w="120"/>
              <w:bottom w:type="dxa" w:w="100"/>
              <w:right w:type="dxa" w:w="120"/>
            </w:tcMar>
          </w:tcPr>
          <w:p>
            <w:r>
              <w:rPr>
                <w:color w:val="334155"/>
                <w:sz w:val="19"/>
                <w:szCs w:val="19"/>
              </w:rPr>
              <w:t xml:space="preserve">Ditemukan dua serviks/uterus didelfis pada USG, hemivagina yang paten tetap dapat mengalirkan haid sehingga siklus menstruasi biasanya tetap muncul (tidak amenore total); sering disertai anomali renal ipsilateral — wajib USG ginjal.</w:t>
            </w:r>
          </w:p>
        </w:tc>
      </w:tr>
      <w:tr>
        <w:tc>
          <w:tcPr>
            <w:tcW w:type="dxa" w:w="4500"/>
            <w:shd w:fill="FFFFFF" w:val="clear"/>
            <w:tcMar>
              <w:top w:type="dxa" w:w="100"/>
              <w:left w:type="dxa" w:w="120"/>
              <w:bottom w:type="dxa" w:w="100"/>
              <w:right w:type="dxa" w:w="120"/>
            </w:tcMar>
          </w:tcPr>
          <w:p>
            <w:r>
              <w:rPr>
                <w:color w:val="334155"/>
                <w:sz w:val="19"/>
                <w:szCs w:val="19"/>
              </w:rPr>
              <w:t xml:space="preserve">Agenesis Müller / Sindrom Mayer-Rokitansky-Küster-Hauser</w:t>
            </w:r>
          </w:p>
        </w:tc>
        <w:tc>
          <w:tcPr>
            <w:tcW w:type="dxa" w:w="4500"/>
            <w:shd w:fill="FFFFFF" w:val="clear"/>
            <w:tcMar>
              <w:top w:type="dxa" w:w="100"/>
              <w:left w:type="dxa" w:w="120"/>
              <w:bottom w:type="dxa" w:w="100"/>
              <w:right w:type="dxa" w:w="120"/>
            </w:tcMar>
          </w:tcPr>
          <w:p>
            <w:r>
              <w:rPr>
                <w:color w:val="334155"/>
                <w:sz w:val="19"/>
                <w:szCs w:val="19"/>
              </w:rPr>
              <w:t xml:space="preserve">Tidak ada bulging himen; USG/MRI menunjukkan uterus rudimenter atau tidak terbentuk, bukan sekadar obstruksi outflow.</w:t>
            </w:r>
          </w:p>
        </w:tc>
      </w:tr>
    </w:tbl>
    <w:p>
      <w:pPr>
        <w:spacing w:after="160"/>
      </w:pPr>
    </w:p>
    <w:p>
      <w:pPr>
        <w:pStyle w:val="Heading1"/>
        <w:spacing w:after="160" w:before="300"/>
      </w:pPr>
      <w:r>
        <w:rPr>
          <w:color w:val="4F46E5"/>
        </w:rPr>
        <w:t xml:space="preserve">6. Pemeriksaan Penunjang</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Pengayaan berbasis ACOG Committee Opinion No. 779 (lihat Bagian 12); tidak terdapat rincian modalitas pencitraan pada Kepkonsil Tabel 7, sehingga bagian ini disusun mengikuti standar internasional yang diadopsi sebagai praktik nasional.</w:t>
            </w:r>
          </w:p>
        </w:tc>
      </w:tr>
    </w:tbl>
    <w:p>
      <w:pPr>
        <w:spacing w:after="160"/>
      </w:pPr>
    </w:p>
    <w:p>
      <w:pPr>
        <w:pStyle w:val="ListParagraph"/>
        <w:numPr>
          <w:ilvl w:val="0"/>
          <w:numId w:val="1"/>
        </w:numPr>
        <w:spacing w:after="100" w:line="276"/>
      </w:pPr>
      <w:r>
        <w:rPr>
          <w:color w:val="334155"/>
          <w:sz w:val="21"/>
          <w:szCs w:val="21"/>
        </w:rPr>
        <w:t xml:space="preserve">Ultrasonografi transabdominal/transperineal — modalitas pencitraan lini pertama yang direkomendasikan untuk pasien dengan nyeri siklik dan amenore, bersifat non-invasif: memperlihatkan distensi vagina (dan uterus bila meluas) oleh koleksi cairan heterogen/berdensitas darah; sekaligus menilai adanya hematometra dan hematosalpinks.</w:t>
      </w:r>
    </w:p>
    <w:p>
      <w:pPr>
        <w:pStyle w:val="ListParagraph"/>
        <w:numPr>
          <w:ilvl w:val="0"/>
          <w:numId w:val="1"/>
        </w:numPr>
        <w:spacing w:after="100" w:line="276"/>
      </w:pPr>
      <w:r>
        <w:rPr>
          <w:color w:val="334155"/>
          <w:sz w:val="21"/>
          <w:szCs w:val="21"/>
        </w:rPr>
        <w:t xml:space="preserve">Ultrasonografi ginjal — dipertimbangkan bila dicurigai anomali Müller kompleks (mis. kecurigaan uterus didelfis/OHVIRA), mengingat asosiasi dengan anomali renal ipsilateral.</w:t>
      </w:r>
    </w:p>
    <w:p>
      <w:pPr>
        <w:pStyle w:val="ListParagraph"/>
        <w:numPr>
          <w:ilvl w:val="0"/>
          <w:numId w:val="1"/>
        </w:numPr>
        <w:spacing w:after="100" w:line="276"/>
      </w:pPr>
      <w:r>
        <w:rPr>
          <w:color w:val="334155"/>
          <w:sz w:val="21"/>
          <w:szCs w:val="21"/>
        </w:rPr>
        <w:t xml:space="preserve">MRI panggul — diindikasikan bila diagnosis meragukan atau dicurigai anomali lebih kompleks (atresia vagina distal, atresia serviks, septum vagina transversal, obstruksi kornu uteri unilateral) yang tidak dapat dipastikan dengan USG saja.</w:t>
      </w:r>
    </w:p>
    <w:p>
      <w:pPr>
        <w:pStyle w:val="ListParagraph"/>
        <w:numPr>
          <w:ilvl w:val="0"/>
          <w:numId w:val="1"/>
        </w:numPr>
        <w:spacing w:after="100" w:line="276"/>
      </w:pPr>
      <w:r>
        <w:rPr>
          <w:color w:val="334155"/>
          <w:sz w:val="21"/>
          <w:szCs w:val="21"/>
        </w:rPr>
        <w:t xml:space="preserve">Pemeriksaan urin (urinalisis/kultur) — bila terdapat gejala retensio urin atau kecurigaan infeksi saluran kemih sekunder akibat efek desak ruang.</w:t>
      </w:r>
    </w:p>
    <w:p>
      <w:pPr>
        <w:pStyle w:val="ListParagraph"/>
        <w:numPr>
          <w:ilvl w:val="0"/>
          <w:numId w:val="1"/>
        </w:numPr>
        <w:spacing w:after="100" w:line="276"/>
      </w:pPr>
      <w:r>
        <w:rPr>
          <w:color w:val="334155"/>
          <w:sz w:val="21"/>
          <w:szCs w:val="21"/>
        </w:rPr>
        <w:t xml:space="preserve">Fungsi ginjal (ureum/kreatinin) — dipertimbangkan bila terdapat tanda retensio urin berat atau kecurigaan obstruksi ureter, mengingat gagal ginjal akut merupakan komplikasi berat yang telah dilaporkan pada kasus dengan keterlambatan diagnosis.</w:t>
      </w:r>
    </w:p>
    <w:p>
      <w:pPr>
        <w:pStyle w:val="ListParagraph"/>
        <w:numPr>
          <w:ilvl w:val="0"/>
          <w:numId w:val="1"/>
        </w:numPr>
        <w:spacing w:after="100" w:line="276"/>
      </w:pPr>
      <w:r>
        <w:rPr>
          <w:color w:val="334155"/>
          <w:sz w:val="21"/>
          <w:szCs w:val="21"/>
        </w:rPr>
        <w:t xml:space="preserve">Darah perifer lengkap — bila dicurigai anemia akibat hematokolpos kronik atau sebagai persiapan praoperatif.</w:t>
      </w:r>
    </w:p>
    <w:p>
      <w:pPr>
        <w:pStyle w:val="Heading1"/>
        <w:spacing w:after="160" w:before="300"/>
      </w:pPr>
      <w:r>
        <w:rPr>
          <w:color w:val="4F46E5"/>
        </w:rPr>
        <w:t xml:space="preserve">7. Tata Laksana</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Kepkonsil Area Kompetensi Prosedural No. 47 (“tindakan pembedahan himen”) dan entri Kompetensi Klinis terkait “tindakan pembedahan himen imperforata dengan gangguan berkemih”/“himen imperforata (kompleks)”; pengayaan alur waktu tindakan mengacu ACOG Committee Opinion No. 780.</w:t>
            </w:r>
          </w:p>
        </w:tc>
      </w:tr>
    </w:tbl>
    <w:p>
      <w:pPr>
        <w:spacing w:after="160"/>
      </w:pPr>
    </w:p>
    <w:p>
      <w:pPr>
        <w:pStyle w:val="Heading2"/>
        <w:spacing w:after="120" w:before="200"/>
      </w:pPr>
      <w:r>
        <w:rPr>
          <w:color w:val="B45309"/>
        </w:rPr>
        <w:t xml:space="preserve">7.1 Tata Laksana Non-Farmakologis</w:t>
      </w:r>
    </w:p>
    <w:p>
      <w:pPr>
        <w:pStyle w:val="ListParagraph"/>
        <w:numPr>
          <w:ilvl w:val="0"/>
          <w:numId w:val="1"/>
        </w:numPr>
        <w:spacing w:after="100" w:line="276"/>
      </w:pPr>
      <w:r>
        <w:rPr>
          <w:color w:val="334155"/>
          <w:sz w:val="21"/>
          <w:szCs w:val="21"/>
        </w:rPr>
        <w:t xml:space="preserve">Observasi terjadwal pada kasus prapubertas yang asimtomatik dan belum ada hematokolpos — tindakan bedah definitif ditunda hingga estrogenisasi pubertas tercapai, karena himen imperforata dapat membuka secara spontan seiring pubertas dan jaringan yang telah terestrogenisasi lebih baik penyembuhannya pascatindakan.</w:t>
      </w:r>
    </w:p>
    <w:p>
      <w:pPr>
        <w:pStyle w:val="ListParagraph"/>
        <w:numPr>
          <w:ilvl w:val="0"/>
          <w:numId w:val="1"/>
        </w:numPr>
        <w:spacing w:after="100" w:line="276"/>
      </w:pPr>
      <w:r>
        <w:rPr>
          <w:color w:val="334155"/>
          <w:sz w:val="21"/>
          <w:szCs w:val="21"/>
        </w:rPr>
        <w:t xml:space="preserve">Tata laksana suportif pada presentasi akut: kateterisasi kandung kemih sementara bila terjadi retensio urin akut, tirah baring dan posisi nyaman bila nyeri hebat, dukungan psikologis awal bagi pasien remaja dan keluarga.</w:t>
      </w:r>
    </w:p>
    <w:p>
      <w:pPr>
        <w:pStyle w:val="ListParagraph"/>
        <w:numPr>
          <w:ilvl w:val="0"/>
          <w:numId w:val="1"/>
        </w:numPr>
        <w:spacing w:after="100" w:line="276"/>
      </w:pPr>
      <w:r>
        <w:rPr>
          <w:color w:val="334155"/>
          <w:sz w:val="21"/>
          <w:szCs w:val="21"/>
        </w:rPr>
        <w:t xml:space="preserve">Persiapan praoperatif standar bila direncanakan tindakan definitif: konseling pasien dan wali, informed consent, evaluasi anestesi.</w:t>
      </w:r>
    </w:p>
    <w:p>
      <w:pPr>
        <w:pStyle w:val="Heading2"/>
        <w:spacing w:after="120" w:before="200"/>
      </w:pPr>
      <w:r>
        <w:rPr>
          <w:color w:val="B45309"/>
        </w:rPr>
        <w:t xml:space="preserve">7.2 Tata Laksana Farmakologis</w:t>
      </w:r>
    </w:p>
    <w:p>
      <w:pPr>
        <w:pStyle w:val="ListParagraph"/>
        <w:numPr>
          <w:ilvl w:val="0"/>
          <w:numId w:val="1"/>
        </w:numPr>
        <w:spacing w:after="100" w:line="276"/>
      </w:pPr>
      <w:r>
        <w:rPr>
          <w:color w:val="334155"/>
          <w:sz w:val="21"/>
          <w:szCs w:val="21"/>
        </w:rPr>
        <w:t xml:space="preserve">Analgesia — antiinflamasi nonsteroid (AINS) untuk nyeri panggul siklik maupun nyeri pascatindakan, sesuai berat badan dan usia.</w:t>
      </w:r>
    </w:p>
    <w:p>
      <w:pPr>
        <w:pStyle w:val="ListParagraph"/>
        <w:numPr>
          <w:ilvl w:val="0"/>
          <w:numId w:val="1"/>
        </w:numPr>
        <w:spacing w:after="100" w:line="276"/>
      </w:pPr>
      <w:r>
        <w:rPr>
          <w:color w:val="334155"/>
          <w:sz w:val="21"/>
          <w:szCs w:val="21"/>
        </w:rPr>
        <w:t xml:space="preserve">Antibiotik profilaksis perioperatif sesuai kebijakan pengendalian infeksi rumah sakit untuk tindakan pembedahan himen.</w:t>
      </w:r>
    </w:p>
    <w:p>
      <w:pPr>
        <w:pStyle w:val="ListParagraph"/>
        <w:numPr>
          <w:ilvl w:val="0"/>
          <w:numId w:val="1"/>
        </w:numPr>
        <w:spacing w:after="100" w:line="276"/>
      </w:pPr>
      <w:r>
        <w:rPr>
          <w:color w:val="334155"/>
          <w:sz w:val="21"/>
          <w:szCs w:val="21"/>
        </w:rPr>
        <w:t xml:space="preserve">Supresi menstruasi sementara (kontrasepsi hormonal kombinasi atau progestin kontinu) dapat dipertimbangkan bila tindakan definitif tertunda karena alasan logistik/kesiapan pasien, untuk mengurangi akumulasi darah lebih lanjut — bersifat terapi jembatan (bridging), bukan pengganti tata laksana bedah definitif.</w:t>
      </w:r>
    </w:p>
    <w:p>
      <w:pPr>
        <w:pStyle w:val="Heading2"/>
        <w:spacing w:after="120" w:before="200"/>
      </w:pPr>
      <w:r>
        <w:rPr>
          <w:color w:val="B45309"/>
        </w:rPr>
        <w:t xml:space="preserve">7.3 Tata Laksana Bedah/Prosedural</w:t>
      </w:r>
    </w:p>
    <w:p>
      <w:pPr>
        <w:pStyle w:val="ListParagraph"/>
        <w:numPr>
          <w:ilvl w:val="0"/>
          <w:numId w:val="1"/>
        </w:numPr>
        <w:spacing w:after="100" w:line="276"/>
      </w:pPr>
      <w:r>
        <w:rPr>
          <w:color w:val="334155"/>
          <w:sz w:val="21"/>
          <w:szCs w:val="21"/>
        </w:rPr>
        <w:t xml:space="preserve">Indikasi tindakan segera: retensio urin akut, nyeri hebat tidak tertahankan, atau tanda infeksi (piokolpos) pada pasien simtomatik — tanpa menunggu waktu tunggu tambahan.</w:t>
      </w:r>
    </w:p>
    <w:p>
      <w:pPr>
        <w:pStyle w:val="ListParagraph"/>
        <w:numPr>
          <w:ilvl w:val="0"/>
          <w:numId w:val="1"/>
        </w:numPr>
        <w:spacing w:after="100" w:line="276"/>
      </w:pPr>
      <w:r>
        <w:rPr>
          <w:color w:val="334155"/>
          <w:sz w:val="21"/>
          <w:szCs w:val="21"/>
        </w:rPr>
        <w:t xml:space="preserve">Indikasi tindakan terjadwal (elektif): pasien pascamenarke dengan hematokolpos terkonfirmasi tanpa tanda kegawatan — dijadwalkan segera setelah diagnosis dan kesiapan pasien tercapai.</w:t>
      </w:r>
    </w:p>
    <w:p>
      <w:pPr>
        <w:pStyle w:val="ListParagraph"/>
        <w:numPr>
          <w:ilvl w:val="0"/>
          <w:numId w:val="1"/>
        </w:numPr>
        <w:spacing w:after="100" w:line="276"/>
      </w:pPr>
      <w:r>
        <w:rPr>
          <w:color w:val="334155"/>
          <w:sz w:val="21"/>
          <w:szCs w:val="21"/>
        </w:rPr>
        <w:t xml:space="preserve">Dua teknik operatif dikenal secara luas: himenotomi — insisi krusiatum (silang) pada membran himen untuk drainase; dan himenektomi — eksisi marginal sirkumferensial membran himen disertai marsupialisasi tepi mukosa. Berdasarkan tinjauan pustaka internasional, kedua teknik memiliki angka penggunaan yang hampir seimbang (masing-masing sekitar sepertiga dari seluruh kasus yang dilaporkan) tanpa perbedaan luaran bermakna, sehingga pemilihan teknik ditentukan oleh preferensi operator dan kondisi anatomi.</w:t>
      </w:r>
    </w:p>
    <w:p>
      <w:pPr>
        <w:pStyle w:val="ListParagraph"/>
        <w:numPr>
          <w:ilvl w:val="0"/>
          <w:numId w:val="1"/>
        </w:numPr>
        <w:spacing w:after="100" w:line="276"/>
      </w:pPr>
      <w:r>
        <w:rPr>
          <w:color w:val="334155"/>
          <w:sz w:val="21"/>
          <w:szCs w:val="21"/>
        </w:rPr>
        <w:t xml:space="preserve">Pada kedua teknik, tindakan dilanjutkan dengan evakuasi bertahap cairan hematokolpos (untuk menghindari dekompresi mendadak yang dapat memicu perdarahan retrograde atau nyeri hebat), irigasi, dan hemostasis adekuat pada tepi insisi.</w:t>
      </w:r>
    </w:p>
    <w:p>
      <w:pPr>
        <w:pStyle w:val="ListParagraph"/>
        <w:numPr>
          <w:ilvl w:val="0"/>
          <w:numId w:val="1"/>
        </w:numPr>
        <w:spacing w:after="100" w:line="276"/>
      </w:pPr>
      <w:r>
        <w:rPr>
          <w:color w:val="334155"/>
          <w:sz w:val="21"/>
          <w:szCs w:val="21"/>
        </w:rPr>
        <w:t xml:space="preserve">Himenotomi berupa insisi silang sederhana tanpa eksisi tepi membran memiliki risiko reformasi/stenosis yang secara teoritis lebih tinggi dibanding himenektomi dengan eksisi marginal; pada kasus dengan risiko reformasi lebih tinggi (mis. jaringan himen tebal, riwayat tindakan sebelumnya), himenektomi dengan marsupialisasi tepi lebih dianjurkan.</w:t>
      </w:r>
    </w:p>
    <w:p>
      <w:pPr>
        <w:pStyle w:val="ListParagraph"/>
        <w:numPr>
          <w:ilvl w:val="0"/>
          <w:numId w:val="1"/>
        </w:numPr>
        <w:spacing w:after="100" w:line="276"/>
      </w:pPr>
      <w:r>
        <w:rPr>
          <w:color w:val="334155"/>
          <w:sz w:val="21"/>
          <w:szCs w:val="21"/>
        </w:rPr>
        <w:t xml:space="preserve">Perawatan pascabedah: analgesia adekuat, higiene genital, sitz bath, edukasi tanda bahaya (demam, nyeri memberat, perdarahan aktif) dan jadwal kontrol luka pada minggu ke-1 dan ke-6–12 pascatindakan.</w:t>
      </w:r>
    </w:p>
    <w:p>
      <w:pPr>
        <w:pStyle w:val="Heading2"/>
        <w:spacing w:after="120" w:before="200"/>
      </w:pPr>
      <w:r>
        <w:rPr>
          <w:color w:val="B45309"/>
        </w:rPr>
        <w:t xml:space="preserve">7.4 Kriteria Rujukan ke Subspesialis Uroginekologi Rekonstruksi</w:t>
      </w:r>
    </w:p>
    <w:p>
      <w:pPr>
        <w:pStyle w:val="ListParagraph"/>
        <w:numPr>
          <w:ilvl w:val="0"/>
          <w:numId w:val="1"/>
        </w:numPr>
        <w:spacing w:after="100" w:line="276"/>
      </w:pPr>
      <w:r>
        <w:rPr>
          <w:color w:val="334155"/>
          <w:sz w:val="21"/>
          <w:szCs w:val="21"/>
        </w:rPr>
        <w:t xml:space="preserve">Kecurigaan anomali Müller kompleks penyerta (mis. uterus didelfis dengan hemivagina terobstruksi/OHVIRA, atresia vagina distal, atresia serviks) yang memerlukan rekonstruksi lebih dari tindakan pembedahan himen sederhana.</w:t>
      </w:r>
    </w:p>
    <w:p>
      <w:pPr>
        <w:pStyle w:val="ListParagraph"/>
        <w:numPr>
          <w:ilvl w:val="0"/>
          <w:numId w:val="1"/>
        </w:numPr>
        <w:spacing w:after="100" w:line="276"/>
      </w:pPr>
      <w:r>
        <w:rPr>
          <w:color w:val="334155"/>
          <w:sz w:val="21"/>
          <w:szCs w:val="21"/>
        </w:rPr>
        <w:t xml:space="preserve">Reformasi atau stenosis himen berulang pascatindakan sebelumnya.</w:t>
      </w:r>
    </w:p>
    <w:p>
      <w:pPr>
        <w:pStyle w:val="ListParagraph"/>
        <w:numPr>
          <w:ilvl w:val="0"/>
          <w:numId w:val="1"/>
        </w:numPr>
        <w:spacing w:after="100" w:line="276"/>
      </w:pPr>
      <w:r>
        <w:rPr>
          <w:color w:val="334155"/>
          <w:sz w:val="21"/>
          <w:szCs w:val="21"/>
        </w:rPr>
        <w:t xml:space="preserve">Diagnosis meragukan pada pencitraan awal yang memerlukan evaluasi dan perencanaan bedah lanjutan.</w:t>
      </w:r>
    </w:p>
    <w:p>
      <w:pPr>
        <w:pStyle w:val="ListParagraph"/>
        <w:numPr>
          <w:ilvl w:val="0"/>
          <w:numId w:val="1"/>
        </w:numPr>
        <w:spacing w:after="100" w:line="276"/>
      </w:pPr>
      <w:r>
        <w:rPr>
          <w:color w:val="334155"/>
          <w:sz w:val="21"/>
          <w:szCs w:val="21"/>
        </w:rPr>
        <w:t xml:space="preserve">Kebutuhan tindakan drainase bertahap/temporisasi pada hematometrokolpos masif sebelum rekonstruksi definitif.</w:t>
      </w:r>
    </w:p>
    <w:p>
      <w:pPr>
        <w:pStyle w:val="Heading1"/>
        <w:spacing w:after="160" w:before="300"/>
      </w:pPr>
      <w:r>
        <w:rPr>
          <w:color w:val="4F46E5"/>
        </w:rPr>
        <w:t xml:space="preserve">8. Edukasi Pasien dan Keluarga</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Kepkonsil Area Kompetensi Interpersonal dan Komunikasi.</w:t>
            </w:r>
          </w:p>
        </w:tc>
      </w:tr>
    </w:tbl>
    <w:p>
      <w:pPr>
        <w:spacing w:after="160"/>
      </w:pPr>
    </w:p>
    <w:p>
      <w:pPr>
        <w:pStyle w:val="ListParagraph"/>
        <w:numPr>
          <w:ilvl w:val="0"/>
          <w:numId w:val="1"/>
        </w:numPr>
        <w:spacing w:after="100" w:line="276"/>
      </w:pPr>
      <w:r>
        <w:rPr>
          <w:color w:val="334155"/>
          <w:sz w:val="21"/>
          <w:szCs w:val="21"/>
        </w:rPr>
        <w:t xml:space="preserve">Jelaskan bahwa himen imperforata merupakan kelainan kongenital jinak yang umum ditemukan, bukan disebabkan oleh aktivitas seksual maupun cedera — penting untuk meluruskan kekhawatiran terkait keperawanan/virginitas, terutama pada budaya yang sensitif terhadap topik ini.</w:t>
      </w:r>
    </w:p>
    <w:p>
      <w:pPr>
        <w:pStyle w:val="ListParagraph"/>
        <w:numPr>
          <w:ilvl w:val="0"/>
          <w:numId w:val="1"/>
        </w:numPr>
        <w:spacing w:after="100" w:line="276"/>
      </w:pPr>
      <w:r>
        <w:rPr>
          <w:color w:val="334155"/>
          <w:sz w:val="21"/>
          <w:szCs w:val="21"/>
        </w:rPr>
        <w:t xml:space="preserve">Jelaskan bahwa tindakan pembedahan himen merupakan prosedur definitif yang relatif sederhana dengan prognosis baik, dan siklus haid umumnya akan menjadi teratur dalam beberapa siklus pascatindakan.</w:t>
      </w:r>
    </w:p>
    <w:p>
      <w:pPr>
        <w:pStyle w:val="ListParagraph"/>
        <w:numPr>
          <w:ilvl w:val="0"/>
          <w:numId w:val="1"/>
        </w:numPr>
        <w:spacing w:after="100" w:line="276"/>
      </w:pPr>
      <w:r>
        <w:rPr>
          <w:color w:val="334155"/>
          <w:sz w:val="21"/>
          <w:szCs w:val="21"/>
        </w:rPr>
        <w:t xml:space="preserve">Berikan ruang privasi dan pendampingan psikologis bagi pasien remaja saat pemeriksaan maupun konseling; libatkan orang tua/wali sesuai kebutuhan dengan tetap menjaga kenyamanan pasien.</w:t>
      </w:r>
    </w:p>
    <w:p>
      <w:pPr>
        <w:pStyle w:val="ListParagraph"/>
        <w:numPr>
          <w:ilvl w:val="0"/>
          <w:numId w:val="1"/>
        </w:numPr>
        <w:spacing w:after="100" w:line="276"/>
      </w:pPr>
      <w:r>
        <w:rPr>
          <w:color w:val="334155"/>
          <w:sz w:val="21"/>
          <w:szCs w:val="21"/>
        </w:rPr>
        <w:t xml:space="preserve">Edukasi tanda bahaya pascatindakan yang memerlukan kunjungan segera: demam, nyeri memberat progresif, perdarahan aktif, atau retensio urin berulang.</w:t>
      </w:r>
    </w:p>
    <w:p>
      <w:pPr>
        <w:pStyle w:val="ListParagraph"/>
        <w:numPr>
          <w:ilvl w:val="0"/>
          <w:numId w:val="1"/>
        </w:numPr>
        <w:spacing w:after="100" w:line="276"/>
      </w:pPr>
      <w:r>
        <w:rPr>
          <w:color w:val="334155"/>
          <w:sz w:val="21"/>
          <w:szCs w:val="21"/>
        </w:rPr>
        <w:t xml:space="preserve">Jelaskan bahwa dengan tata laksana tepat waktu, potensi kesuburan di masa depan pada umumnya tidak terganggu.</w:t>
      </w:r>
    </w:p>
    <w:p>
      <w:pPr>
        <w:pStyle w:val="Heading1"/>
        <w:spacing w:after="160" w:before="300"/>
      </w:pPr>
      <w:r>
        <w:rPr>
          <w:color w:val="4F46E5"/>
        </w:rPr>
        <w:t xml:space="preserve">9. Prognosis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Pengayaan berbasis ACOG Committee Opinion No. 779/No. 780 dan tinjauan sistematis Lee dkk. (2019) (lihat Bagian 12).</w:t>
            </w:r>
          </w:p>
        </w:tc>
      </w:tr>
    </w:tbl>
    <w:p>
      <w:pPr>
        <w:spacing w:after="160"/>
      </w:pPr>
    </w:p>
    <w:p>
      <w:pPr>
        <w:spacing w:after="160" w:line="276"/>
      </w:pPr>
      <w:r>
        <w:rPr>
          <w:color w:val="334155"/>
          <w:sz w:val="21"/>
          <w:szCs w:val="21"/>
        </w:rPr>
        <w:t xml:space="preserve">Prognosis umumnya baik bila diagnosis ditegakkan dan tata laksana bedah dilakukan tepat waktu; fungsi menstruasi dan potensi kesuburan pada umumnya kembali normal pascatindakan. Tinjauan sistematis Lee dkk. (2019) atas 253 kasus terpublikasi melaporkan perbaikan klinis pada 59,7% pasien pascatindakan, dengan komplikasi berupa adhesi vagina hanya pada 6,6% kasus.</w:t>
      </w:r>
    </w:p>
    <w:p>
      <w:pPr>
        <w:spacing w:after="160" w:line="276"/>
      </w:pPr>
      <w:r>
        <w:rPr>
          <w:color w:val="334155"/>
          <w:sz w:val="21"/>
          <w:szCs w:val="21"/>
        </w:rPr>
        <w:t xml:space="preserve">Keterlambatan diagnosis atau tata laksana dapat meningkatkan risiko komplikasi: endometriosis akibat menstruasi retrograde berkepanjangan, infeksi asendens (piokolpos/piometra), serta kerusakan tuba akibat hematosalpinks kronik yang berpotensi menurunkan fertilitas di kemudian hari. Pada kasus yang sangat terlambat terdiagnosis, hematokolpos masif dapat menekan traktus urinarius hingga menimbulkan hidronefrosis dan gagal ginjal akut obstruktif, sebagaimana dilaporkan pada sejumlah kasus di literatur. Teknik bedah yang tidak adekuat (himenotomi tanpa eksisi marginal pada jaringan berisiko tinggi) meningkatkan risiko reformasi/stenosis himen yang memerlukan tindakan ulang.</w:t>
      </w:r>
    </w:p>
    <w:p>
      <w:pPr>
        <w:pStyle w:val="Heading1"/>
        <w:spacing w:after="160" w:before="300"/>
      </w:pPr>
      <w:r>
        <w:rPr>
          <w:color w:val="4F46E5"/>
        </w:rPr>
        <w:t xml:space="preserve">10. Tingkat Evidens dan Rekomendasi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Skala evidens dan rekomendasi mengikuti format standar PNPK (adaptasi skala U.S. Preventive Services Task Force: Level I/II-1/II-2/II-3/III; Grade A–C), dipadankan dengan sumber yang dikutip pada Bagian 12.</w:t>
            </w:r>
          </w:p>
        </w:tc>
      </w:tr>
    </w:tbl>
    <w:p>
      <w:pPr>
        <w:spacing w:after="1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20"/>
              <w:bottom w:type="dxa" w:w="100"/>
              <w:right w:type="dxa" w:w="120"/>
            </w:tcMar>
          </w:tcPr>
          <w:p>
            <w:r>
              <w:rPr>
                <w:b/>
                <w:bCs/>
                <w:color w:val="FFFFFF"/>
                <w:sz w:val="19"/>
                <w:szCs w:val="19"/>
              </w:rPr>
              <w:t xml:space="preserve">Aspek Tata Laksana</w:t>
            </w:r>
          </w:p>
        </w:tc>
        <w:tc>
          <w:tcPr>
            <w:tcW w:type="dxa" w:w="2250"/>
            <w:shd w:fill="4F46E5" w:val="clear"/>
            <w:tcMar>
              <w:top w:type="dxa" w:w="100"/>
              <w:left w:type="dxa" w:w="120"/>
              <w:bottom w:type="dxa" w:w="100"/>
              <w:right w:type="dxa" w:w="120"/>
            </w:tcMar>
          </w:tcPr>
          <w:p>
            <w:r>
              <w:rPr>
                <w:b/>
                <w:bCs/>
                <w:color w:val="FFFFFF"/>
                <w:sz w:val="19"/>
                <w:szCs w:val="19"/>
              </w:rPr>
              <w:t xml:space="preserve">Tingkat Evidens</w:t>
            </w:r>
          </w:p>
        </w:tc>
        <w:tc>
          <w:tcPr>
            <w:tcW w:type="dxa" w:w="2250"/>
            <w:shd w:fill="4F46E5" w:val="clear"/>
            <w:tcMar>
              <w:top w:type="dxa" w:w="100"/>
              <w:left w:type="dxa" w:w="120"/>
              <w:bottom w:type="dxa" w:w="100"/>
              <w:right w:type="dxa" w:w="120"/>
            </w:tcMar>
          </w:tcPr>
          <w:p>
            <w:r>
              <w:rPr>
                <w:b/>
                <w:bCs/>
                <w:color w:val="FFFFFF"/>
                <w:sz w:val="19"/>
                <w:szCs w:val="19"/>
              </w:rPr>
              <w:t xml:space="preserve">Grade Rekomendasi</w:t>
            </w:r>
          </w:p>
        </w:tc>
        <w:tc>
          <w:tcPr>
            <w:tcW w:type="dxa" w:w="2250"/>
            <w:shd w:fill="4F46E5" w:val="clear"/>
            <w:tcMar>
              <w:top w:type="dxa" w:w="100"/>
              <w:left w:type="dxa" w:w="120"/>
              <w:bottom w:type="dxa" w:w="100"/>
              <w:right w:type="dxa" w:w="120"/>
            </w:tcMar>
          </w:tcPr>
          <w:p>
            <w:r>
              <w:rPr>
                <w:b/>
                <w:bCs/>
                <w:color w:val="FFFFFF"/>
                <w:sz w:val="19"/>
                <w:szCs w:val="19"/>
              </w:rPr>
              <w:t xml:space="preserve">Sumber</w:t>
            </w:r>
          </w:p>
        </w:tc>
      </w:tr>
      <w:tr>
        <w:tc>
          <w:tcPr>
            <w:tcW w:type="dxa" w:w="2250"/>
            <w:shd w:fill="FFFFFF" w:val="clear"/>
            <w:tcMar>
              <w:top w:type="dxa" w:w="100"/>
              <w:left w:type="dxa" w:w="120"/>
              <w:bottom w:type="dxa" w:w="100"/>
              <w:right w:type="dxa" w:w="120"/>
            </w:tcMar>
          </w:tcPr>
          <w:p>
            <w:r>
              <w:rPr>
                <w:color w:val="334155"/>
                <w:sz w:val="19"/>
                <w:szCs w:val="19"/>
              </w:rPr>
              <w:t xml:space="preserve">USG panggul sebagai pencitraan lini pertama untuk kecurigaan hematokolpos</w:t>
            </w:r>
          </w:p>
        </w:tc>
        <w:tc>
          <w:tcPr>
            <w:tcW w:type="dxa" w:w="2250"/>
            <w:shd w:fill="FFFFFF" w:val="clear"/>
            <w:tcMar>
              <w:top w:type="dxa" w:w="100"/>
              <w:left w:type="dxa" w:w="120"/>
              <w:bottom w:type="dxa" w:w="100"/>
              <w:right w:type="dxa" w:w="120"/>
            </w:tcMar>
          </w:tcPr>
          <w:p>
            <w:r>
              <w:rPr>
                <w:color w:val="334155"/>
                <w:sz w:val="19"/>
                <w:szCs w:val="19"/>
              </w:rPr>
              <w:t xml:space="preserve">III</w:t>
            </w:r>
          </w:p>
        </w:tc>
        <w:tc>
          <w:tcPr>
            <w:tcW w:type="dxa" w:w="2250"/>
            <w:shd w:fill="FFFFFF" w:val="clear"/>
            <w:tcMar>
              <w:top w:type="dxa" w:w="100"/>
              <w:left w:type="dxa" w:w="120"/>
              <w:bottom w:type="dxa" w:w="100"/>
              <w:right w:type="dxa" w:w="120"/>
            </w:tcMar>
          </w:tcPr>
          <w:p>
            <w:r>
              <w:rPr>
                <w:color w:val="334155"/>
                <w:sz w:val="19"/>
                <w:szCs w:val="19"/>
              </w:rPr>
              <w:t xml:space="preserve">C</w:t>
            </w:r>
          </w:p>
        </w:tc>
        <w:tc>
          <w:tcPr>
            <w:tcW w:type="dxa" w:w="2250"/>
            <w:shd w:fill="FFFFFF" w:val="clear"/>
            <w:tcMar>
              <w:top w:type="dxa" w:w="100"/>
              <w:left w:type="dxa" w:w="120"/>
              <w:bottom w:type="dxa" w:w="100"/>
              <w:right w:type="dxa" w:w="120"/>
            </w:tcMar>
          </w:tcPr>
          <w:p>
            <w:r>
              <w:rPr>
                <w:color w:val="334155"/>
                <w:sz w:val="19"/>
                <w:szCs w:val="19"/>
              </w:rPr>
              <w:t xml:space="preserve">ACOG Committee Opinion No. 779 (2019)</w:t>
            </w:r>
          </w:p>
        </w:tc>
      </w:tr>
      <w:tr>
        <w:tc>
          <w:tcPr>
            <w:tcW w:type="dxa" w:w="2250"/>
            <w:shd w:fill="F1F5F9" w:val="clear"/>
            <w:tcMar>
              <w:top w:type="dxa" w:w="100"/>
              <w:left w:type="dxa" w:w="120"/>
              <w:bottom w:type="dxa" w:w="100"/>
              <w:right w:type="dxa" w:w="120"/>
            </w:tcMar>
          </w:tcPr>
          <w:p>
            <w:r>
              <w:rPr>
                <w:color w:val="334155"/>
                <w:sz w:val="19"/>
                <w:szCs w:val="19"/>
              </w:rPr>
              <w:t xml:space="preserve">MRI panggul bila diagnosis meragukan/kecurigaan anomali kompleks</w:t>
            </w:r>
          </w:p>
        </w:tc>
        <w:tc>
          <w:tcPr>
            <w:tcW w:type="dxa" w:w="2250"/>
            <w:shd w:fill="F1F5F9" w:val="clear"/>
            <w:tcMar>
              <w:top w:type="dxa" w:w="100"/>
              <w:left w:type="dxa" w:w="120"/>
              <w:bottom w:type="dxa" w:w="100"/>
              <w:right w:type="dxa" w:w="120"/>
            </w:tcMar>
          </w:tcPr>
          <w:p>
            <w:r>
              <w:rPr>
                <w:color w:val="334155"/>
                <w:sz w:val="19"/>
                <w:szCs w:val="19"/>
              </w:rPr>
              <w:t xml:space="preserve">III</w:t>
            </w:r>
          </w:p>
        </w:tc>
        <w:tc>
          <w:tcPr>
            <w:tcW w:type="dxa" w:w="2250"/>
            <w:shd w:fill="F1F5F9" w:val="clear"/>
            <w:tcMar>
              <w:top w:type="dxa" w:w="100"/>
              <w:left w:type="dxa" w:w="120"/>
              <w:bottom w:type="dxa" w:w="100"/>
              <w:right w:type="dxa" w:w="120"/>
            </w:tcMar>
          </w:tcPr>
          <w:p>
            <w:r>
              <w:rPr>
                <w:color w:val="334155"/>
                <w:sz w:val="19"/>
                <w:szCs w:val="19"/>
              </w:rPr>
              <w:t xml:space="preserve">C</w:t>
            </w:r>
          </w:p>
        </w:tc>
        <w:tc>
          <w:tcPr>
            <w:tcW w:type="dxa" w:w="2250"/>
            <w:shd w:fill="F1F5F9" w:val="clear"/>
            <w:tcMar>
              <w:top w:type="dxa" w:w="100"/>
              <w:left w:type="dxa" w:w="120"/>
              <w:bottom w:type="dxa" w:w="100"/>
              <w:right w:type="dxa" w:w="120"/>
            </w:tcMar>
          </w:tcPr>
          <w:p>
            <w:r>
              <w:rPr>
                <w:color w:val="334155"/>
                <w:sz w:val="19"/>
                <w:szCs w:val="19"/>
              </w:rPr>
              <w:t xml:space="preserve">ACOG Committee Opinion No. 779 (2019)</w:t>
            </w:r>
          </w:p>
        </w:tc>
      </w:tr>
      <w:tr>
        <w:tc>
          <w:tcPr>
            <w:tcW w:type="dxa" w:w="2250"/>
            <w:shd w:fill="FFFFFF" w:val="clear"/>
            <w:tcMar>
              <w:top w:type="dxa" w:w="100"/>
              <w:left w:type="dxa" w:w="120"/>
              <w:bottom w:type="dxa" w:w="100"/>
              <w:right w:type="dxa" w:w="120"/>
            </w:tcMar>
          </w:tcPr>
          <w:p>
            <w:r>
              <w:rPr>
                <w:color w:val="334155"/>
                <w:sz w:val="19"/>
                <w:szCs w:val="19"/>
              </w:rPr>
              <w:t xml:space="preserve">Tindakan pembedahan himen (himenotomi/himenektomi) sebagai tata laksana definitif</w:t>
            </w:r>
          </w:p>
        </w:tc>
        <w:tc>
          <w:tcPr>
            <w:tcW w:type="dxa" w:w="2250"/>
            <w:shd w:fill="FFFFFF" w:val="clear"/>
            <w:tcMar>
              <w:top w:type="dxa" w:w="100"/>
              <w:left w:type="dxa" w:w="120"/>
              <w:bottom w:type="dxa" w:w="100"/>
              <w:right w:type="dxa" w:w="120"/>
            </w:tcMar>
          </w:tcPr>
          <w:p>
            <w:r>
              <w:rPr>
                <w:color w:val="334155"/>
                <w:sz w:val="19"/>
                <w:szCs w:val="19"/>
              </w:rPr>
              <w:t xml:space="preserve">III</w:t>
            </w:r>
          </w:p>
        </w:tc>
        <w:tc>
          <w:tcPr>
            <w:tcW w:type="dxa" w:w="2250"/>
            <w:shd w:fill="FFFFFF" w:val="clear"/>
            <w:tcMar>
              <w:top w:type="dxa" w:w="100"/>
              <w:left w:type="dxa" w:w="120"/>
              <w:bottom w:type="dxa" w:w="100"/>
              <w:right w:type="dxa" w:w="120"/>
            </w:tcMar>
          </w:tcPr>
          <w:p>
            <w:r>
              <w:rPr>
                <w:color w:val="334155"/>
                <w:sz w:val="19"/>
                <w:szCs w:val="19"/>
              </w:rPr>
              <w:t xml:space="preserve">C</w:t>
            </w:r>
          </w:p>
        </w:tc>
        <w:tc>
          <w:tcPr>
            <w:tcW w:type="dxa" w:w="2250"/>
            <w:shd w:fill="FFFFFF" w:val="clear"/>
            <w:tcMar>
              <w:top w:type="dxa" w:w="100"/>
              <w:left w:type="dxa" w:w="120"/>
              <w:bottom w:type="dxa" w:w="100"/>
              <w:right w:type="dxa" w:w="120"/>
            </w:tcMar>
          </w:tcPr>
          <w:p>
            <w:r>
              <w:rPr>
                <w:color w:val="334155"/>
                <w:sz w:val="19"/>
                <w:szCs w:val="19"/>
              </w:rPr>
              <w:t xml:space="preserve">ACOG Committee Opinion No. 780 (2019); Lee dkk., J Clin Med 2019; Kepkonsil Tabel Kompetensi Prosedural No. 47</w:t>
            </w:r>
          </w:p>
        </w:tc>
      </w:tr>
      <w:tr>
        <w:tc>
          <w:tcPr>
            <w:tcW w:type="dxa" w:w="2250"/>
            <w:shd w:fill="F1F5F9" w:val="clear"/>
            <w:tcMar>
              <w:top w:type="dxa" w:w="100"/>
              <w:left w:type="dxa" w:w="120"/>
              <w:bottom w:type="dxa" w:w="100"/>
              <w:right w:type="dxa" w:w="120"/>
            </w:tcMar>
          </w:tcPr>
          <w:p>
            <w:r>
              <w:rPr>
                <w:color w:val="334155"/>
                <w:sz w:val="19"/>
                <w:szCs w:val="19"/>
              </w:rPr>
              <w:t xml:space="preserve">Penundaan tindakan bedah pada kasus asimtomatik prapubertas hingga estrogenisasi pubertas</w:t>
            </w:r>
          </w:p>
        </w:tc>
        <w:tc>
          <w:tcPr>
            <w:tcW w:type="dxa" w:w="2250"/>
            <w:shd w:fill="F1F5F9" w:val="clear"/>
            <w:tcMar>
              <w:top w:type="dxa" w:w="100"/>
              <w:left w:type="dxa" w:w="120"/>
              <w:bottom w:type="dxa" w:w="100"/>
              <w:right w:type="dxa" w:w="120"/>
            </w:tcMar>
          </w:tcPr>
          <w:p>
            <w:r>
              <w:rPr>
                <w:color w:val="334155"/>
                <w:sz w:val="19"/>
                <w:szCs w:val="19"/>
              </w:rPr>
              <w:t xml:space="preserve">III</w:t>
            </w:r>
          </w:p>
        </w:tc>
        <w:tc>
          <w:tcPr>
            <w:tcW w:type="dxa" w:w="2250"/>
            <w:shd w:fill="F1F5F9" w:val="clear"/>
            <w:tcMar>
              <w:top w:type="dxa" w:w="100"/>
              <w:left w:type="dxa" w:w="120"/>
              <w:bottom w:type="dxa" w:w="100"/>
              <w:right w:type="dxa" w:w="120"/>
            </w:tcMar>
          </w:tcPr>
          <w:p>
            <w:r>
              <w:rPr>
                <w:color w:val="334155"/>
                <w:sz w:val="19"/>
                <w:szCs w:val="19"/>
              </w:rPr>
              <w:t xml:space="preserve">C</w:t>
            </w:r>
          </w:p>
        </w:tc>
        <w:tc>
          <w:tcPr>
            <w:tcW w:type="dxa" w:w="2250"/>
            <w:shd w:fill="F1F5F9" w:val="clear"/>
            <w:tcMar>
              <w:top w:type="dxa" w:w="100"/>
              <w:left w:type="dxa" w:w="120"/>
              <w:bottom w:type="dxa" w:w="100"/>
              <w:right w:type="dxa" w:w="120"/>
            </w:tcMar>
          </w:tcPr>
          <w:p>
            <w:r>
              <w:rPr>
                <w:color w:val="334155"/>
                <w:sz w:val="19"/>
                <w:szCs w:val="19"/>
              </w:rPr>
              <w:t xml:space="preserve">ACOG Committee Opinion No. 780 (2019)</w:t>
            </w:r>
          </w:p>
        </w:tc>
      </w:tr>
    </w:tbl>
    <w:p>
      <w:pPr>
        <w:spacing w:after="160"/>
      </w:pPr>
    </w:p>
    <w:p>
      <w:pPr>
        <w:spacing w:after="160" w:line="276"/>
      </w:pPr>
      <w:r>
        <w:rPr>
          <w:color w:val="334155"/>
          <w:sz w:val="21"/>
          <w:szCs w:val="21"/>
        </w:rPr>
        <w:t xml:space="preserve">Seluruh rekomendasi di atas bersumber dari pendapat komite ahli (committee opinion) serta kumpulan laporan/seri kasus observasional, bukan uji klinis acak terkontrol berskala besar. Kelangkaan kondisi ini secara inheren membatasi ketersediaan bukti beringkat tinggi (Level I/II), sehingga tingkat evidens III dengan grade rekomendasi C — konsisten dengan praktik kedokteran berbasis bukti internasional untuk kondisi kongenital langka — mencerminkan kekuatan bukti yang tersedia saat ini secara jujur, bukan kelemahan penyusunan PPK ini.</w:t>
      </w:r>
    </w:p>
    <w:p>
      <w:pPr>
        <w:pStyle w:val="Heading1"/>
        <w:spacing w:after="160" w:before="300"/>
      </w:pPr>
      <w:r>
        <w:rPr>
          <w:color w:val="4F46E5"/>
        </w:rPr>
        <w:t xml:space="preserve">11. Indikator Medis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Kepkonsil Tabel Kompetensi Prosedural No. 47 (kriteria capaian: “tindakan sesuai standar; komplikasi minimal”).</w:t>
            </w:r>
          </w:p>
        </w:tc>
      </w:tr>
    </w:tbl>
    <w:p>
      <w:pPr>
        <w:spacing w:after="160"/>
      </w:pPr>
    </w:p>
    <w:p>
      <w:pPr>
        <w:pStyle w:val="ListParagraph"/>
        <w:numPr>
          <w:ilvl w:val="0"/>
          <w:numId w:val="1"/>
        </w:numPr>
        <w:spacing w:after="100" w:line="276"/>
      </w:pPr>
      <w:r>
        <w:rPr>
          <w:color w:val="334155"/>
          <w:sz w:val="21"/>
          <w:szCs w:val="21"/>
        </w:rPr>
        <w:t xml:space="preserve">Keberhasilan evakuasi hematokolpos secara tuntas pada tindakan pembedahan himen, tanpa komplikasi mayor (perdarahan aktif, cedera organ sekitar, infeksi pascatindakan).</w:t>
      </w:r>
    </w:p>
    <w:p>
      <w:pPr>
        <w:pStyle w:val="ListParagraph"/>
        <w:numPr>
          <w:ilvl w:val="0"/>
          <w:numId w:val="1"/>
        </w:numPr>
        <w:spacing w:after="100" w:line="276"/>
      </w:pPr>
      <w:r>
        <w:rPr>
          <w:color w:val="334155"/>
          <w:sz w:val="21"/>
          <w:szCs w:val="21"/>
        </w:rPr>
        <w:t xml:space="preserve">Tidak ditemukan retensio urin berulang pascatindakan dalam masa pemantauan.</w:t>
      </w:r>
    </w:p>
    <w:p>
      <w:pPr>
        <w:pStyle w:val="ListParagraph"/>
        <w:numPr>
          <w:ilvl w:val="0"/>
          <w:numId w:val="1"/>
        </w:numPr>
        <w:spacing w:after="100" w:line="276"/>
      </w:pPr>
      <w:r>
        <w:rPr>
          <w:color w:val="334155"/>
          <w:sz w:val="21"/>
          <w:szCs w:val="21"/>
        </w:rPr>
        <w:t xml:space="preserve">Siklus haid menjadi teratur dalam 1–3 siklus pascatindakan.</w:t>
      </w:r>
    </w:p>
    <w:p>
      <w:pPr>
        <w:pStyle w:val="ListParagraph"/>
        <w:numPr>
          <w:ilvl w:val="0"/>
          <w:numId w:val="1"/>
        </w:numPr>
        <w:spacing w:after="100" w:line="276"/>
      </w:pPr>
      <w:r>
        <w:rPr>
          <w:color w:val="334155"/>
          <w:sz w:val="21"/>
          <w:szCs w:val="21"/>
        </w:rPr>
        <w:t xml:space="preserve">Tidak terjadi reformasi atau stenosis himen pada evaluasi kontrol 6–12 minggu pascatindakan.</w:t>
      </w:r>
    </w:p>
    <w:p>
      <w:pPr>
        <w:pStyle w:val="ListParagraph"/>
        <w:numPr>
          <w:ilvl w:val="0"/>
          <w:numId w:val="1"/>
        </w:numPr>
        <w:spacing w:after="100" w:line="276"/>
      </w:pPr>
      <w:r>
        <w:rPr>
          <w:color w:val="334155"/>
          <w:sz w:val="21"/>
          <w:szCs w:val="21"/>
        </w:rPr>
        <w:t xml:space="preserve">Sebagai pembanding, tinjauan sistematis internasional (Lee dkk., 2019) melaporkan perbaikan klinis pada 59,7% dan komplikasi adhesi vagina pada 6,6% dari seluruh kasus terpublikasi — dapat dipakai sebagai acuan sementara sambil menunggu registri capaian nasional. Data insidensi dan capaian tata laksana himen imperforata tingkat nasional Indonesia belum terpublikasi secara resmi hingga naskah ini disusun; pembaruan data sebaiknya dirujuk dari Kementerian Kesehatan RI atau Perkumpulan Obstetri dan Ginekologi Indonesia (POGI) bila telah tersedia.</w:t>
      </w:r>
    </w:p>
    <w:p>
      <w:pPr>
        <w:pStyle w:val="Heading1"/>
        <w:spacing w:after="160" w:before="300"/>
      </w:pPr>
      <w:r>
        <w:rPr>
          <w:color w:val="4F46E5"/>
        </w:rPr>
        <w:t xml:space="preserve">12. Perbandingan dan Pengayaan Standar Internasional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b/>
                <w:bCs/>
                <w:color w:val="B45309"/>
                <w:sz w:val="18"/>
                <w:szCs w:val="18"/>
              </w:rPr>
              <w:t xml:space="preserve">DASAR REGULASI</w:t>
            </w:r>
          </w:p>
          <w:p>
            <w:r>
              <w:rPr>
                <w:color w:val="334155"/>
                <w:sz w:val="20"/>
                <w:szCs w:val="20"/>
              </w:rPr>
              <w:t xml:space="preserve">Aturan Umum No. 2 — wajib memuat minimal 2 sumber internasional non-superior.</w:t>
            </w:r>
          </w:p>
        </w:tc>
      </w:tr>
    </w:tbl>
    <w:p>
      <w:pPr>
        <w:spacing w:after="160"/>
      </w:pPr>
    </w:p>
    <w:p>
      <w:pPr>
        <w:spacing w:after="160" w:line="276"/>
      </w:pPr>
      <w:r>
        <w:rPr>
          <w:color w:val="334155"/>
          <w:sz w:val="21"/>
          <w:szCs w:val="21"/>
        </w:rPr>
        <w:t xml:space="preserve">Kepkonsil Tabel 7 No. 64 menetapkan nomenklatur diagnosis, kode ICD-10/ICD-11, dan populasi sasaran (“kelainan kongenital himen”) sebagai kompetensi wajib spesialis; namun tidak merinci algoritma diagnostik maupun waktu optimal tindakan bedah. Untuk kedua aspek tersebut, PPK ini mengadopsi standar internasional berikut sebagai pengayaan yang selaras, bukan bertentangan, dengan Kepkonsil.</w:t>
      </w:r>
    </w:p>
    <w:p>
      <w:pPr>
        <w:pStyle w:val="ListParagraph"/>
        <w:numPr>
          <w:ilvl w:val="0"/>
          <w:numId w:val="1"/>
        </w:numPr>
        <w:spacing w:after="100" w:line="276"/>
      </w:pPr>
      <w:r>
        <w:rPr>
          <w:color w:val="334155"/>
          <w:sz w:val="21"/>
          <w:szCs w:val="21"/>
        </w:rPr>
        <w:t xml:space="preserve">American College of Obstetricians and Gynecologists (ACOG), Committee Opinion No. 780 — “Diagnosis and Management of Hymenal Variants” (2019): menekankan bahwa evaluasi genitalia eksterna cukup untuk menegakkan diagnosis pada presentasi khas, spekulum umumnya tidak diperlukan, dan tindakan bedah definitif sebaiknya ditunda hingga estrogenisasi pubertas tercapai pada kasus asimtomatik prapubertas karena potensi membuka spontan.</w:t>
      </w:r>
    </w:p>
    <w:p>
      <w:pPr>
        <w:pStyle w:val="ListParagraph"/>
        <w:numPr>
          <w:ilvl w:val="0"/>
          <w:numId w:val="1"/>
        </w:numPr>
        <w:spacing w:after="100" w:line="276"/>
      </w:pPr>
      <w:r>
        <w:rPr>
          <w:color w:val="334155"/>
          <w:sz w:val="21"/>
          <w:szCs w:val="21"/>
        </w:rPr>
        <w:t xml:space="preserve">American College of Obstetricians and Gynecologists (ACOG), Committee Opinion No. 779 — “Management of Acute Obstructive Uterovaginal Anomalies” (2019): merekomendasikan ultrasonografi panggul sebagai pencitraan awal lini pertama pada pasien dengan nyeri siklik dan amenore, dengan MRI dicadangkan untuk kasus yang diagnosisnya meragukan atau dicurigai anomali Müller kompleks.</w:t>
      </w:r>
    </w:p>
    <w:p>
      <w:pPr>
        <w:spacing w:after="160" w:line="276"/>
      </w:pPr>
      <w:r>
        <w:rPr>
          <w:color w:val="334155"/>
          <w:sz w:val="21"/>
          <w:szCs w:val="21"/>
        </w:rPr>
        <w:t xml:space="preserve">Sebagai pelengkap non-wajib, tinjauan sistematis multinasional oleh Lee dkk. (J Clin Med, 2019) atas 253 kasus terpublikasi memberikan gambaran epidemiologi dan luaran klinis yang lebih terperinci sebagaimana dikutip pada Bagian 2, 9, dan 11, meski bersumber dari kumpulan laporan kasus dan bukan registri populasi.</w:t>
      </w:r>
    </w:p>
    <w:p>
      <w:pPr>
        <w:spacing w:after="160" w:line="276"/>
      </w:pPr>
      <w:r>
        <w:rPr>
          <w:color w:val="334155"/>
          <w:sz w:val="21"/>
          <w:szCs w:val="21"/>
        </w:rPr>
        <w:t xml:space="preserve">Standar nasional (Kepkonsil) menetapkan tindakan pembedahan himen sebagai kompetensi prosedural wajib tanpa merinci alur waktu tindakan; standar internasional (ACOG No. 780) merekomendasikan penundaan tindakan bedah pada kasus prapubertas asimtomatik hingga pubertas tercapai, dengan pengecualian pada kasus simtomatik yang memerlukan tindakan segera. Praktik di Indonesia pada PPK ini mengikuti pendekatan waktu tindakan tersebut sebagai pengayaan yang konsisten dengan prinsip kehati-hatian dan tidak bertentangan dengan ketentuan Kepkonsil.</w:t>
      </w:r>
    </w:p>
    <w:p>
      <w:pPr>
        <w:pStyle w:val="Heading1"/>
        <w:spacing w:after="160" w:before="300"/>
      </w:pPr>
      <w:r>
        <w:rPr>
          <w:color w:val="4F46E5"/>
        </w:rPr>
        <w:t xml:space="preserve">13. Kepustakaan</w:t>
      </w:r>
    </w:p>
    <w:p>
      <w:pPr>
        <w:pStyle w:val="ListParagraph"/>
        <w:numPr>
          <w:ilvl w:val="0"/>
          <w:numId w:val="3"/>
        </w:numPr>
        <w:spacing w:after="100" w:line="276"/>
      </w:pPr>
      <w:r>
        <w:rPr>
          <w:color w:val="334155"/>
          <w:sz w:val="21"/>
          <w:szCs w:val="21"/>
        </w:rPr>
        <w:t xml:space="preserve">Konsil Kesehatan Indonesia. Keputusan Ketua Konsil Kesehatan Indonesia Nomor HK.01.02/KKI/1318/2026 tentang Standar Kompetensi Dokter Spesialis dan Subspesialis Bidang Obstetri dan Ginekologi. Tabel 7 No. 64; Tabel Kompetensi Prosedural No. 34, No. 47; Daftar Istilah entri “Himen imperforata”.</w:t>
      </w:r>
    </w:p>
    <w:p>
      <w:pPr>
        <w:pStyle w:val="ListParagraph"/>
        <w:numPr>
          <w:ilvl w:val="0"/>
          <w:numId w:val="3"/>
        </w:numPr>
        <w:spacing w:after="100" w:line="276"/>
      </w:pPr>
      <w:hyperlink w:history="1" r:id="rIdtg9uu7bgho9wezdxbpcmt">
        <w:r>
          <w:rPr>
            <w:color w:val="4F46E5"/>
            <w:sz w:val="21"/>
            <w:szCs w:val="21"/>
            <w:u w:val="single"/>
          </w:rPr>
          <w:t xml:space="preserve">American College of Obstetricians and Gynecologists' Committee on Adolescent Health Care. Diagnosis and Management of Hymenal Variants. ACOG Committee Opinion No. 780. Obstet Gynecol. 2019;133(6):e372–e376. doi: 10.1097/AOG.0000000000003283.</w:t>
        </w:r>
      </w:hyperlink>
    </w:p>
    <w:p>
      <w:pPr>
        <w:pStyle w:val="ListParagraph"/>
        <w:numPr>
          <w:ilvl w:val="0"/>
          <w:numId w:val="3"/>
        </w:numPr>
        <w:spacing w:after="100" w:line="276"/>
      </w:pPr>
      <w:hyperlink w:history="1" r:id="rIdv6xveivvrzvlew5xxipzg">
        <w:r>
          <w:rPr>
            <w:color w:val="4F46E5"/>
            <w:sz w:val="21"/>
            <w:szCs w:val="21"/>
            <w:u w:val="single"/>
          </w:rPr>
          <w:t xml:space="preserve">American College of Obstetricians and Gynecologists' Committee on Adolescent Health Care. Management of Acute Obstructive Uterovaginal Anomalies. ACOG Committee Opinion No. 779. Obstet Gynecol. 2019;133(6):e363–e371. doi: 10.1097/AOG.0000000000003281.</w:t>
        </w:r>
      </w:hyperlink>
    </w:p>
    <w:p>
      <w:pPr>
        <w:pStyle w:val="ListParagraph"/>
        <w:numPr>
          <w:ilvl w:val="0"/>
          <w:numId w:val="3"/>
        </w:numPr>
        <w:spacing w:after="100" w:line="276"/>
      </w:pPr>
      <w:hyperlink w:history="1" r:id="rIdl1yz_vd7dwvi32fss8ez5">
        <w:r>
          <w:rPr>
            <w:color w:val="4F46E5"/>
            <w:sz w:val="21"/>
            <w:szCs w:val="21"/>
            <w:u w:val="single"/>
          </w:rPr>
          <w:t xml:space="preserve">Lee KH, Hong JS, Jung HJ, Jeong HK, Moon SJ, Park WH, Jeong YM, Song SW, Suk Y, Son MJ, Lim JJ, Shin JI. Imperforate Hymen: A Comprehensive Systematic Review. J Clin Med. 2019;8(1):56. doi: 10.3390/jcm8010056.</w:t>
        </w:r>
      </w:hyperlink>
    </w:p>
    <w:p>
      <w:pPr>
        <w:pStyle w:val="ListParagraph"/>
        <w:numPr>
          <w:ilvl w:val="0"/>
          <w:numId w:val="3"/>
        </w:numPr>
        <w:spacing w:after="100" w:line="276"/>
      </w:pPr>
      <w:hyperlink w:history="1" r:id="rIdyr-k7iybrrauss_9nfnxm">
        <w:r>
          <w:rPr>
            <w:color w:val="4F46E5"/>
            <w:sz w:val="21"/>
            <w:szCs w:val="21"/>
            <w:u w:val="single"/>
          </w:rPr>
          <w:t xml:space="preserve">Gueye M, Seck SM, Ndiaye-Guèye MD, Thiam O, Gueye L, Diouf M. Imperforate hymen complicated by obstructive acute renal failure. Niger J Paediatr. 2024;40(1):79–81.</w:t>
        </w:r>
      </w:hyperlink>
    </w:p>
    <w:p>
      <w:pPr>
        <w:pStyle w:val="ListParagraph"/>
        <w:numPr>
          <w:ilvl w:val="0"/>
          <w:numId w:val="3"/>
        </w:numPr>
        <w:spacing w:after="100" w:line="276"/>
      </w:pPr>
      <w:r>
        <w:rPr>
          <w:color w:val="334155"/>
          <w:sz w:val="21"/>
          <w:szCs w:val="21"/>
        </w:rPr>
        <w:t xml:space="preserve">Buku Tematik B9 — Menopause, Uroginekologi Dasar, dan Prolaps Organ Panggul (rujukan induk PPK ini).</w:t>
      </w:r>
    </w:p>
    <w:p>
      <w:pPr>
        <w:pStyle w:val="Heading1"/>
        <w:spacing w:after="160" w:before="300"/>
      </w:pPr>
      <w:r>
        <w:rPr>
          <w:color w:val="4F46E5"/>
        </w:rPr>
        <w:t xml:space="preserve">14. Glosarium</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4F46E5" w:val="clear"/>
            <w:tcMar>
              <w:top w:type="dxa" w:w="100"/>
              <w:left w:type="dxa" w:w="120"/>
              <w:bottom w:type="dxa" w:w="100"/>
              <w:right w:type="dxa" w:w="120"/>
            </w:tcMar>
          </w:tcPr>
          <w:p>
            <w:r>
              <w:rPr>
                <w:b/>
                <w:bCs/>
                <w:color w:val="FFFFFF"/>
                <w:sz w:val="19"/>
                <w:szCs w:val="19"/>
              </w:rPr>
              <w:t xml:space="preserve">Istilah</w:t>
            </w:r>
          </w:p>
        </w:tc>
        <w:tc>
          <w:tcPr>
            <w:tcW w:type="dxa" w:w="4500"/>
            <w:shd w:fill="4F46E5" w:val="clear"/>
            <w:tcMar>
              <w:top w:type="dxa" w:w="100"/>
              <w:left w:type="dxa" w:w="120"/>
              <w:bottom w:type="dxa" w:w="100"/>
              <w:right w:type="dxa" w:w="120"/>
            </w:tcMar>
          </w:tcPr>
          <w:p>
            <w:r>
              <w:rPr>
                <w:b/>
                <w:bCs/>
                <w:color w:val="FFFFFF"/>
                <w:sz w:val="19"/>
                <w:szCs w:val="19"/>
              </w:rPr>
              <w:t xml:space="preserve">Penjelasan</w:t>
            </w:r>
          </w:p>
        </w:tc>
      </w:tr>
      <w:tr>
        <w:tc>
          <w:tcPr>
            <w:tcW w:type="dxa" w:w="4500"/>
            <w:shd w:fill="FFFFFF" w:val="clear"/>
            <w:tcMar>
              <w:top w:type="dxa" w:w="100"/>
              <w:left w:type="dxa" w:w="120"/>
              <w:bottom w:type="dxa" w:w="100"/>
              <w:right w:type="dxa" w:w="120"/>
            </w:tcMar>
          </w:tcPr>
          <w:p>
            <w:r>
              <w:rPr>
                <w:color w:val="334155"/>
                <w:sz w:val="19"/>
                <w:szCs w:val="19"/>
              </w:rPr>
              <w:t xml:space="preserve">Himen (hymen)</w:t>
            </w:r>
          </w:p>
        </w:tc>
        <w:tc>
          <w:tcPr>
            <w:tcW w:type="dxa" w:w="4500"/>
            <w:shd w:fill="FFFFFF" w:val="clear"/>
            <w:tcMar>
              <w:top w:type="dxa" w:w="100"/>
              <w:left w:type="dxa" w:w="120"/>
              <w:bottom w:type="dxa" w:w="100"/>
              <w:right w:type="dxa" w:w="120"/>
            </w:tcMar>
          </w:tcPr>
          <w:p>
            <w:r>
              <w:rPr>
                <w:color w:val="334155"/>
                <w:sz w:val="19"/>
                <w:szCs w:val="19"/>
              </w:rPr>
              <w:t xml:space="preserve">Lipatan membran mukosa tipis yang mengelilingi atau menutup sebagian muara vagina (introitus).</w:t>
            </w:r>
          </w:p>
        </w:tc>
      </w:tr>
      <w:tr>
        <w:tc>
          <w:tcPr>
            <w:tcW w:type="dxa" w:w="4500"/>
            <w:shd w:fill="F1F5F9" w:val="clear"/>
            <w:tcMar>
              <w:top w:type="dxa" w:w="100"/>
              <w:left w:type="dxa" w:w="120"/>
              <w:bottom w:type="dxa" w:w="100"/>
              <w:right w:type="dxa" w:w="120"/>
            </w:tcMar>
          </w:tcPr>
          <w:p>
            <w:r>
              <w:rPr>
                <w:color w:val="334155"/>
                <w:sz w:val="19"/>
                <w:szCs w:val="19"/>
              </w:rPr>
              <w:t xml:space="preserve">Himen imperforata (imperforate hymen)</w:t>
            </w:r>
          </w:p>
        </w:tc>
        <w:tc>
          <w:tcPr>
            <w:tcW w:type="dxa" w:w="4500"/>
            <w:shd w:fill="F1F5F9" w:val="clear"/>
            <w:tcMar>
              <w:top w:type="dxa" w:w="100"/>
              <w:left w:type="dxa" w:w="120"/>
              <w:bottom w:type="dxa" w:w="100"/>
              <w:right w:type="dxa" w:w="120"/>
            </w:tcMar>
          </w:tcPr>
          <w:p>
            <w:r>
              <w:rPr>
                <w:color w:val="334155"/>
                <w:sz w:val="19"/>
                <w:szCs w:val="19"/>
              </w:rPr>
              <w:t xml:space="preserve">Himen yang tidak berlubang sama sekali sehingga menutup total introitus vagina; ICD-10 Q52.3, ICD-11 LB42.4.</w:t>
            </w:r>
          </w:p>
        </w:tc>
      </w:tr>
      <w:tr>
        <w:tc>
          <w:tcPr>
            <w:tcW w:type="dxa" w:w="4500"/>
            <w:shd w:fill="FFFFFF" w:val="clear"/>
            <w:tcMar>
              <w:top w:type="dxa" w:w="100"/>
              <w:left w:type="dxa" w:w="120"/>
              <w:bottom w:type="dxa" w:w="100"/>
              <w:right w:type="dxa" w:w="120"/>
            </w:tcMar>
          </w:tcPr>
          <w:p>
            <w:r>
              <w:rPr>
                <w:color w:val="334155"/>
                <w:sz w:val="19"/>
                <w:szCs w:val="19"/>
              </w:rPr>
              <w:t xml:space="preserve">Introitus vagina</w:t>
            </w:r>
          </w:p>
        </w:tc>
        <w:tc>
          <w:tcPr>
            <w:tcW w:type="dxa" w:w="4500"/>
            <w:shd w:fill="FFFFFF" w:val="clear"/>
            <w:tcMar>
              <w:top w:type="dxa" w:w="100"/>
              <w:left w:type="dxa" w:w="120"/>
              <w:bottom w:type="dxa" w:w="100"/>
              <w:right w:type="dxa" w:w="120"/>
            </w:tcMar>
          </w:tcPr>
          <w:p>
            <w:r>
              <w:rPr>
                <w:color w:val="334155"/>
                <w:sz w:val="19"/>
                <w:szCs w:val="19"/>
              </w:rPr>
              <w:t xml:space="preserve">Muara luar saluran vagina.</w:t>
            </w:r>
          </w:p>
        </w:tc>
      </w:tr>
      <w:tr>
        <w:tc>
          <w:tcPr>
            <w:tcW w:type="dxa" w:w="4500"/>
            <w:shd w:fill="F1F5F9" w:val="clear"/>
            <w:tcMar>
              <w:top w:type="dxa" w:w="100"/>
              <w:left w:type="dxa" w:w="120"/>
              <w:bottom w:type="dxa" w:w="100"/>
              <w:right w:type="dxa" w:w="120"/>
            </w:tcMar>
          </w:tcPr>
          <w:p>
            <w:r>
              <w:rPr>
                <w:color w:val="334155"/>
                <w:sz w:val="19"/>
                <w:szCs w:val="19"/>
              </w:rPr>
              <w:t xml:space="preserve">Hematokolpos</w:t>
            </w:r>
          </w:p>
        </w:tc>
        <w:tc>
          <w:tcPr>
            <w:tcW w:type="dxa" w:w="4500"/>
            <w:shd w:fill="F1F5F9" w:val="clear"/>
            <w:tcMar>
              <w:top w:type="dxa" w:w="100"/>
              <w:left w:type="dxa" w:w="120"/>
              <w:bottom w:type="dxa" w:w="100"/>
              <w:right w:type="dxa" w:w="120"/>
            </w:tcMar>
          </w:tcPr>
          <w:p>
            <w:r>
              <w:rPr>
                <w:color w:val="334155"/>
                <w:sz w:val="19"/>
                <w:szCs w:val="19"/>
              </w:rPr>
              <w:t xml:space="preserve">Penumpukan darah haid di dalam rongga vagina akibat saluran keluar yang tersumbat.</w:t>
            </w:r>
          </w:p>
        </w:tc>
      </w:tr>
      <w:tr>
        <w:tc>
          <w:tcPr>
            <w:tcW w:type="dxa" w:w="4500"/>
            <w:shd w:fill="FFFFFF" w:val="clear"/>
            <w:tcMar>
              <w:top w:type="dxa" w:w="100"/>
              <w:left w:type="dxa" w:w="120"/>
              <w:bottom w:type="dxa" w:w="100"/>
              <w:right w:type="dxa" w:w="120"/>
            </w:tcMar>
          </w:tcPr>
          <w:p>
            <w:r>
              <w:rPr>
                <w:color w:val="334155"/>
                <w:sz w:val="19"/>
                <w:szCs w:val="19"/>
              </w:rPr>
              <w:t xml:space="preserve">Hematometra</w:t>
            </w:r>
          </w:p>
        </w:tc>
        <w:tc>
          <w:tcPr>
            <w:tcW w:type="dxa" w:w="4500"/>
            <w:shd w:fill="FFFFFF" w:val="clear"/>
            <w:tcMar>
              <w:top w:type="dxa" w:w="100"/>
              <w:left w:type="dxa" w:w="120"/>
              <w:bottom w:type="dxa" w:w="100"/>
              <w:right w:type="dxa" w:w="120"/>
            </w:tcMar>
          </w:tcPr>
          <w:p>
            <w:r>
              <w:rPr>
                <w:color w:val="334155"/>
                <w:sz w:val="19"/>
                <w:szCs w:val="19"/>
              </w:rPr>
              <w:t xml:space="preserve">Penumpukan darah haid di dalam rongga rahim, umumnya lanjutan dari hematokolpos yang tidak tertangani.</w:t>
            </w:r>
          </w:p>
        </w:tc>
      </w:tr>
      <w:tr>
        <w:tc>
          <w:tcPr>
            <w:tcW w:type="dxa" w:w="4500"/>
            <w:shd w:fill="F1F5F9" w:val="clear"/>
            <w:tcMar>
              <w:top w:type="dxa" w:w="100"/>
              <w:left w:type="dxa" w:w="120"/>
              <w:bottom w:type="dxa" w:w="100"/>
              <w:right w:type="dxa" w:w="120"/>
            </w:tcMar>
          </w:tcPr>
          <w:p>
            <w:r>
              <w:rPr>
                <w:color w:val="334155"/>
                <w:sz w:val="19"/>
                <w:szCs w:val="19"/>
              </w:rPr>
              <w:t xml:space="preserve">Hematosalpinks</w:t>
            </w:r>
          </w:p>
        </w:tc>
        <w:tc>
          <w:tcPr>
            <w:tcW w:type="dxa" w:w="4500"/>
            <w:shd w:fill="F1F5F9" w:val="clear"/>
            <w:tcMar>
              <w:top w:type="dxa" w:w="100"/>
              <w:left w:type="dxa" w:w="120"/>
              <w:bottom w:type="dxa" w:w="100"/>
              <w:right w:type="dxa" w:w="120"/>
            </w:tcMar>
          </w:tcPr>
          <w:p>
            <w:r>
              <w:rPr>
                <w:color w:val="334155"/>
                <w:sz w:val="19"/>
                <w:szCs w:val="19"/>
              </w:rPr>
              <w:t xml:space="preserve">Penumpukan darah di dalam tuba falopi, dapat terjadi akibat aliran haid retrograde pada obstruksi berkepanjangan.</w:t>
            </w:r>
          </w:p>
        </w:tc>
      </w:tr>
      <w:tr>
        <w:tc>
          <w:tcPr>
            <w:tcW w:type="dxa" w:w="4500"/>
            <w:shd w:fill="FFFFFF" w:val="clear"/>
            <w:tcMar>
              <w:top w:type="dxa" w:w="100"/>
              <w:left w:type="dxa" w:w="120"/>
              <w:bottom w:type="dxa" w:w="100"/>
              <w:right w:type="dxa" w:w="120"/>
            </w:tcMar>
          </w:tcPr>
          <w:p>
            <w:r>
              <w:rPr>
                <w:color w:val="334155"/>
                <w:sz w:val="19"/>
                <w:szCs w:val="19"/>
              </w:rPr>
              <w:t xml:space="preserve">Menarke</w:t>
            </w:r>
          </w:p>
        </w:tc>
        <w:tc>
          <w:tcPr>
            <w:tcW w:type="dxa" w:w="4500"/>
            <w:shd w:fill="FFFFFF" w:val="clear"/>
            <w:tcMar>
              <w:top w:type="dxa" w:w="100"/>
              <w:left w:type="dxa" w:w="120"/>
              <w:bottom w:type="dxa" w:w="100"/>
              <w:right w:type="dxa" w:w="120"/>
            </w:tcMar>
          </w:tcPr>
          <w:p>
            <w:r>
              <w:rPr>
                <w:color w:val="334155"/>
                <w:sz w:val="19"/>
                <w:szCs w:val="19"/>
              </w:rPr>
              <w:t xml:space="preserve">Periode menstruasi pertama pada seorang perempuan.</w:t>
            </w:r>
          </w:p>
        </w:tc>
      </w:tr>
      <w:tr>
        <w:tc>
          <w:tcPr>
            <w:tcW w:type="dxa" w:w="4500"/>
            <w:shd w:fill="F1F5F9" w:val="clear"/>
            <w:tcMar>
              <w:top w:type="dxa" w:w="100"/>
              <w:left w:type="dxa" w:w="120"/>
              <w:bottom w:type="dxa" w:w="100"/>
              <w:right w:type="dxa" w:w="120"/>
            </w:tcMar>
          </w:tcPr>
          <w:p>
            <w:r>
              <w:rPr>
                <w:color w:val="334155"/>
                <w:sz w:val="19"/>
                <w:szCs w:val="19"/>
              </w:rPr>
              <w:t xml:space="preserve">Amenore primer</w:t>
            </w:r>
          </w:p>
        </w:tc>
        <w:tc>
          <w:tcPr>
            <w:tcW w:type="dxa" w:w="4500"/>
            <w:shd w:fill="F1F5F9" w:val="clear"/>
            <w:tcMar>
              <w:top w:type="dxa" w:w="100"/>
              <w:left w:type="dxa" w:w="120"/>
              <w:bottom w:type="dxa" w:w="100"/>
              <w:right w:type="dxa" w:w="120"/>
            </w:tcMar>
          </w:tcPr>
          <w:p>
            <w:r>
              <w:rPr>
                <w:color w:val="334155"/>
                <w:sz w:val="19"/>
                <w:szCs w:val="19"/>
              </w:rPr>
              <w:t xml:space="preserve">Belum pernah terjadi menstruasi hingga usia 15 tahun meski tanda pubertas lain sudah muncul, atau hingga 3 tahun setelah telarke.</w:t>
            </w:r>
          </w:p>
        </w:tc>
      </w:tr>
      <w:tr>
        <w:tc>
          <w:tcPr>
            <w:tcW w:type="dxa" w:w="4500"/>
            <w:shd w:fill="FFFFFF" w:val="clear"/>
            <w:tcMar>
              <w:top w:type="dxa" w:w="100"/>
              <w:left w:type="dxa" w:w="120"/>
              <w:bottom w:type="dxa" w:w="100"/>
              <w:right w:type="dxa" w:w="120"/>
            </w:tcMar>
          </w:tcPr>
          <w:p>
            <w:r>
              <w:rPr>
                <w:color w:val="334155"/>
                <w:sz w:val="19"/>
                <w:szCs w:val="19"/>
              </w:rPr>
              <w:t xml:space="preserve">Estrogenisasi pubertas</w:t>
            </w:r>
          </w:p>
        </w:tc>
        <w:tc>
          <w:tcPr>
            <w:tcW w:type="dxa" w:w="4500"/>
            <w:shd w:fill="FFFFFF" w:val="clear"/>
            <w:tcMar>
              <w:top w:type="dxa" w:w="100"/>
              <w:left w:type="dxa" w:w="120"/>
              <w:bottom w:type="dxa" w:w="100"/>
              <w:right w:type="dxa" w:w="120"/>
            </w:tcMar>
          </w:tcPr>
          <w:p>
            <w:r>
              <w:rPr>
                <w:color w:val="334155"/>
                <w:sz w:val="19"/>
                <w:szCs w:val="19"/>
              </w:rPr>
              <w:t xml:space="preserve">Perubahan jaringan genitalia (termasuk penebalan dan pelunakan himen) akibat paparan hormon estrogen endogen saat pubertas.</w:t>
            </w:r>
          </w:p>
        </w:tc>
      </w:tr>
      <w:tr>
        <w:tc>
          <w:tcPr>
            <w:tcW w:type="dxa" w:w="4500"/>
            <w:shd w:fill="F1F5F9" w:val="clear"/>
            <w:tcMar>
              <w:top w:type="dxa" w:w="100"/>
              <w:left w:type="dxa" w:w="120"/>
              <w:bottom w:type="dxa" w:w="100"/>
              <w:right w:type="dxa" w:w="120"/>
            </w:tcMar>
          </w:tcPr>
          <w:p>
            <w:r>
              <w:rPr>
                <w:color w:val="334155"/>
                <w:sz w:val="19"/>
                <w:szCs w:val="19"/>
              </w:rPr>
              <w:t xml:space="preserve">Himenotomi</w:t>
            </w:r>
          </w:p>
        </w:tc>
        <w:tc>
          <w:tcPr>
            <w:tcW w:type="dxa" w:w="4500"/>
            <w:shd w:fill="F1F5F9" w:val="clear"/>
            <w:tcMar>
              <w:top w:type="dxa" w:w="100"/>
              <w:left w:type="dxa" w:w="120"/>
              <w:bottom w:type="dxa" w:w="100"/>
              <w:right w:type="dxa" w:w="120"/>
            </w:tcMar>
          </w:tcPr>
          <w:p>
            <w:r>
              <w:rPr>
                <w:color w:val="334155"/>
                <w:sz w:val="19"/>
                <w:szCs w:val="19"/>
              </w:rPr>
              <w:t xml:space="preserve">Tindakan insisi (biasanya berbentuk silang/krusiatum) pada membran himen untuk membuka saluran keluar tanpa mengangkat jaringan.</w:t>
            </w:r>
          </w:p>
        </w:tc>
      </w:tr>
      <w:tr>
        <w:tc>
          <w:tcPr>
            <w:tcW w:type="dxa" w:w="4500"/>
            <w:shd w:fill="FFFFFF" w:val="clear"/>
            <w:tcMar>
              <w:top w:type="dxa" w:w="100"/>
              <w:left w:type="dxa" w:w="120"/>
              <w:bottom w:type="dxa" w:w="100"/>
              <w:right w:type="dxa" w:w="120"/>
            </w:tcMar>
          </w:tcPr>
          <w:p>
            <w:r>
              <w:rPr>
                <w:color w:val="334155"/>
                <w:sz w:val="19"/>
                <w:szCs w:val="19"/>
              </w:rPr>
              <w:t xml:space="preserve">Himenektomi</w:t>
            </w:r>
          </w:p>
        </w:tc>
        <w:tc>
          <w:tcPr>
            <w:tcW w:type="dxa" w:w="4500"/>
            <w:shd w:fill="FFFFFF" w:val="clear"/>
            <w:tcMar>
              <w:top w:type="dxa" w:w="100"/>
              <w:left w:type="dxa" w:w="120"/>
              <w:bottom w:type="dxa" w:w="100"/>
              <w:right w:type="dxa" w:w="120"/>
            </w:tcMar>
          </w:tcPr>
          <w:p>
            <w:r>
              <w:rPr>
                <w:color w:val="334155"/>
                <w:sz w:val="19"/>
                <w:szCs w:val="19"/>
              </w:rPr>
              <w:t xml:space="preserve">Tindakan eksisi sebagian jaringan tepi himen secara sirkumferensial (marginal), umumnya disertai penjahitan tepi mukosa (marsupialisasi).</w:t>
            </w:r>
          </w:p>
        </w:tc>
      </w:tr>
      <w:tr>
        <w:tc>
          <w:tcPr>
            <w:tcW w:type="dxa" w:w="4500"/>
            <w:shd w:fill="F1F5F9" w:val="clear"/>
            <w:tcMar>
              <w:top w:type="dxa" w:w="100"/>
              <w:left w:type="dxa" w:w="120"/>
              <w:bottom w:type="dxa" w:w="100"/>
              <w:right w:type="dxa" w:w="120"/>
            </w:tcMar>
          </w:tcPr>
          <w:p>
            <w:r>
              <w:rPr>
                <w:color w:val="334155"/>
                <w:sz w:val="19"/>
                <w:szCs w:val="19"/>
              </w:rPr>
              <w:t xml:space="preserve">Marsupialisasi</w:t>
            </w:r>
          </w:p>
        </w:tc>
        <w:tc>
          <w:tcPr>
            <w:tcW w:type="dxa" w:w="4500"/>
            <w:shd w:fill="F1F5F9" w:val="clear"/>
            <w:tcMar>
              <w:top w:type="dxa" w:w="100"/>
              <w:left w:type="dxa" w:w="120"/>
              <w:bottom w:type="dxa" w:w="100"/>
              <w:right w:type="dxa" w:w="120"/>
            </w:tcMar>
          </w:tcPr>
          <w:p>
            <w:r>
              <w:rPr>
                <w:color w:val="334155"/>
                <w:sz w:val="19"/>
                <w:szCs w:val="19"/>
              </w:rPr>
              <w:t xml:space="preserve">Teknik menjahit tepi luka insisi/eksisi pada mukosa di sekitarnya agar tepi luka tetap terbuka dan tidak menutup kembali saat penyembuhan.</w:t>
            </w:r>
          </w:p>
        </w:tc>
      </w:tr>
      <w:tr>
        <w:tc>
          <w:tcPr>
            <w:tcW w:type="dxa" w:w="4500"/>
            <w:shd w:fill="FFFFFF" w:val="clear"/>
            <w:tcMar>
              <w:top w:type="dxa" w:w="100"/>
              <w:left w:type="dxa" w:w="120"/>
              <w:bottom w:type="dxa" w:w="100"/>
              <w:right w:type="dxa" w:w="120"/>
            </w:tcMar>
          </w:tcPr>
          <w:p>
            <w:r>
              <w:rPr>
                <w:color w:val="334155"/>
                <w:sz w:val="19"/>
                <w:szCs w:val="19"/>
              </w:rPr>
              <w:t xml:space="preserve">Anomali duktus Müller</w:t>
            </w:r>
          </w:p>
        </w:tc>
        <w:tc>
          <w:tcPr>
            <w:tcW w:type="dxa" w:w="4500"/>
            <w:shd w:fill="FFFFFF" w:val="clear"/>
            <w:tcMar>
              <w:top w:type="dxa" w:w="100"/>
              <w:left w:type="dxa" w:w="120"/>
              <w:bottom w:type="dxa" w:w="100"/>
              <w:right w:type="dxa" w:w="120"/>
            </w:tcMar>
          </w:tcPr>
          <w:p>
            <w:r>
              <w:rPr>
                <w:color w:val="334155"/>
                <w:sz w:val="19"/>
                <w:szCs w:val="19"/>
              </w:rPr>
              <w:t xml:space="preserve">Kelainan perkembangan struktur yang berasal dari duktus paramesonefros (Müller), meliputi uterus, tuba falopi, serviks, dan dua pertiga atas vagina.</w:t>
            </w:r>
          </w:p>
        </w:tc>
      </w:tr>
      <w:tr>
        <w:tc>
          <w:tcPr>
            <w:tcW w:type="dxa" w:w="4500"/>
            <w:shd w:fill="F1F5F9" w:val="clear"/>
            <w:tcMar>
              <w:top w:type="dxa" w:w="100"/>
              <w:left w:type="dxa" w:w="120"/>
              <w:bottom w:type="dxa" w:w="100"/>
              <w:right w:type="dxa" w:w="120"/>
            </w:tcMar>
          </w:tcPr>
          <w:p>
            <w:r>
              <w:rPr>
                <w:color w:val="334155"/>
                <w:sz w:val="19"/>
                <w:szCs w:val="19"/>
              </w:rPr>
              <w:t xml:space="preserve">Sindrom OHVIRA</w:t>
            </w:r>
          </w:p>
        </w:tc>
        <w:tc>
          <w:tcPr>
            <w:tcW w:type="dxa" w:w="4500"/>
            <w:shd w:fill="F1F5F9" w:val="clear"/>
            <w:tcMar>
              <w:top w:type="dxa" w:w="100"/>
              <w:left w:type="dxa" w:w="120"/>
              <w:bottom w:type="dxa" w:w="100"/>
              <w:right w:type="dxa" w:w="120"/>
            </w:tcMar>
          </w:tcPr>
          <w:p>
            <w:r>
              <w:rPr>
                <w:color w:val="334155"/>
                <w:sz w:val="19"/>
                <w:szCs w:val="19"/>
              </w:rPr>
              <w:t xml:space="preserve">Obstructed Hemivagina and Ipsilateral Renal Anomaly — kombinasi uterus didelfis, hemivagina yang terobstruksi pada satu sisi, dan tidak terbentuknya ginjal pada sisi yang sama.</w:t>
            </w:r>
          </w:p>
        </w:tc>
      </w:tr>
      <w:tr>
        <w:tc>
          <w:tcPr>
            <w:tcW w:type="dxa" w:w="4500"/>
            <w:shd w:fill="FFFFFF" w:val="clear"/>
            <w:tcMar>
              <w:top w:type="dxa" w:w="100"/>
              <w:left w:type="dxa" w:w="120"/>
              <w:bottom w:type="dxa" w:w="100"/>
              <w:right w:type="dxa" w:w="120"/>
            </w:tcMar>
          </w:tcPr>
          <w:p>
            <w:r>
              <w:rPr>
                <w:color w:val="334155"/>
                <w:sz w:val="19"/>
                <w:szCs w:val="19"/>
              </w:rPr>
              <w:t xml:space="preserve">Piokolpos</w:t>
            </w:r>
          </w:p>
        </w:tc>
        <w:tc>
          <w:tcPr>
            <w:tcW w:type="dxa" w:w="4500"/>
            <w:shd w:fill="FFFFFF" w:val="clear"/>
            <w:tcMar>
              <w:top w:type="dxa" w:w="100"/>
              <w:left w:type="dxa" w:w="120"/>
              <w:bottom w:type="dxa" w:w="100"/>
              <w:right w:type="dxa" w:w="120"/>
            </w:tcMar>
          </w:tcPr>
          <w:p>
            <w:r>
              <w:rPr>
                <w:color w:val="334155"/>
                <w:sz w:val="19"/>
                <w:szCs w:val="19"/>
              </w:rPr>
              <w:t xml:space="preserve">Penumpukan nanah di dalam rongga vagina akibat infeksi sekunder pada cairan yang tertahan.</w:t>
            </w:r>
          </w:p>
        </w:tc>
      </w:tr>
      <w:tr>
        <w:tc>
          <w:tcPr>
            <w:tcW w:type="dxa" w:w="4500"/>
            <w:shd w:fill="F1F5F9" w:val="clear"/>
            <w:tcMar>
              <w:top w:type="dxa" w:w="100"/>
              <w:left w:type="dxa" w:w="120"/>
              <w:bottom w:type="dxa" w:w="100"/>
              <w:right w:type="dxa" w:w="120"/>
            </w:tcMar>
          </w:tcPr>
          <w:p>
            <w:r>
              <w:rPr>
                <w:color w:val="334155"/>
                <w:sz w:val="19"/>
                <w:szCs w:val="19"/>
              </w:rPr>
              <w:t xml:space="preserve">Dyschezia</w:t>
            </w:r>
          </w:p>
        </w:tc>
        <w:tc>
          <w:tcPr>
            <w:tcW w:type="dxa" w:w="4500"/>
            <w:shd w:fill="F1F5F9" w:val="clear"/>
            <w:tcMar>
              <w:top w:type="dxa" w:w="100"/>
              <w:left w:type="dxa" w:w="120"/>
              <w:bottom w:type="dxa" w:w="100"/>
              <w:right w:type="dxa" w:w="120"/>
            </w:tcMar>
          </w:tcPr>
          <w:p>
            <w:r>
              <w:rPr>
                <w:color w:val="334155"/>
                <w:sz w:val="19"/>
                <w:szCs w:val="19"/>
              </w:rPr>
              <w:t xml:space="preserve">Nyeri atau kesulitan saat buang air besar.</w:t>
            </w:r>
          </w:p>
        </w:tc>
      </w:tr>
      <w:tr>
        <w:tc>
          <w:tcPr>
            <w:tcW w:type="dxa" w:w="4500"/>
            <w:shd w:fill="FFFFFF" w:val="clear"/>
            <w:tcMar>
              <w:top w:type="dxa" w:w="100"/>
              <w:left w:type="dxa" w:w="120"/>
              <w:bottom w:type="dxa" w:w="100"/>
              <w:right w:type="dxa" w:w="120"/>
            </w:tcMar>
          </w:tcPr>
          <w:p>
            <w:r>
              <w:rPr>
                <w:color w:val="334155"/>
                <w:sz w:val="19"/>
                <w:szCs w:val="19"/>
              </w:rPr>
              <w:t xml:space="preserve">Tanner staging</w:t>
            </w:r>
          </w:p>
        </w:tc>
        <w:tc>
          <w:tcPr>
            <w:tcW w:type="dxa" w:w="4500"/>
            <w:shd w:fill="FFFFFF" w:val="clear"/>
            <w:tcMar>
              <w:top w:type="dxa" w:w="100"/>
              <w:left w:type="dxa" w:w="120"/>
              <w:bottom w:type="dxa" w:w="100"/>
              <w:right w:type="dxa" w:w="120"/>
            </w:tcMar>
          </w:tcPr>
          <w:p>
            <w:r>
              <w:rPr>
                <w:color w:val="334155"/>
                <w:sz w:val="19"/>
                <w:szCs w:val="19"/>
              </w:rPr>
              <w:t xml:space="preserve">Sistem penilaian tahap kematangan seksual (payudara dan rambut pubis) yang lazim dipakai dalam evaluasi pubertas.</w:t>
            </w:r>
          </w:p>
        </w:tc>
      </w:tr>
    </w:tbl>
    <w:p>
      <w:pPr>
        <w:spacing w:after="160"/>
      </w:pPr>
    </w:p>
    <w:p>
      <w:pPr>
        <w:pStyle w:val="Heading1"/>
        <w:spacing w:after="160" w:before="300"/>
      </w:pPr>
      <w:r>
        <w:rPr>
          <w:color w:val="4F46E5"/>
        </w:rPr>
        <w:t xml:space="preserve">Kontribusi Divisi Pengampu</w:t>
      </w:r>
    </w:p>
    <w:p>
      <w:pPr>
        <w:pStyle w:val="Heading2"/>
        <w:spacing w:after="100" w:before="100"/>
      </w:pPr>
      <w:r>
        <w:rPr>
          <w:color w:val="B45309"/>
        </w:rPr>
        <w:t xml:space="preserve">Divisi: Uroginekologi Rekonstruksi</w:t>
      </w:r>
    </w:p>
    <w:p>
      <w:pPr>
        <w:spacing w:after="60"/>
      </w:pPr>
      <w:r>
        <w:rPr>
          <w:b/>
          <w:bCs/>
          <w:color w:val="334155"/>
          <w:sz w:val="20"/>
          <w:szCs w:val="20"/>
        </w:rPr>
        <w:t xml:space="preserve">A. Deskripsi</w:t>
      </w:r>
    </w:p>
    <w:p>
      <w:pPr>
        <w:spacing w:after="160" w:line="276"/>
      </w:pPr>
      <w:r>
        <w:rPr>
          <w:color w:val="334155"/>
          <w:sz w:val="21"/>
          <w:szCs w:val="21"/>
        </w:rPr>
        <w:t xml:space="preserve">Perspektif Uroginekologi Rekonstruksi relevan pada topik ini karena hematokolpos akibat himen imperforata sering bermanifestasi sebagai gejala traktus urinarius bawah (retensio urin, gangguan berkemih) akibat efek desak ruang, dan karena tindakan pembedahan himen yang tidak adekuat dapat meninggalkan sekuele struktural (stenosis, reformasi) yang memerlukan rekonstruksi lanjutan.</w:t>
      </w:r>
    </w:p>
    <w:p>
      <w:pPr>
        <w:spacing w:after="60"/>
      </w:pPr>
      <w:r>
        <w:rPr>
          <w:b/>
          <w:bCs/>
          <w:color w:val="334155"/>
          <w:sz w:val="20"/>
          <w:szCs w:val="20"/>
        </w:rPr>
        <w:t xml:space="preserve">B. Prinsip Bedah Rekonstruktif pada Tindakan Himen Kompleks</w:t>
      </w:r>
    </w:p>
    <w:p>
      <w:pPr>
        <w:spacing w:after="160" w:line="276"/>
      </w:pPr>
      <w:r>
        <w:rPr>
          <w:color w:val="334155"/>
          <w:sz w:val="21"/>
          <w:szCs w:val="21"/>
        </w:rPr>
        <w:t xml:space="preserve">Pada kasus dengan gangguan berkemih berulang atau riwayat tindakan sebelumnya yang gagal, pendekatan uroginekologi rekonstruktif menekankan tiga prinsip: (1) pemetaan anatomi praoperatif yang akurat melalui pencitraan untuk menyingkirkan anomali Müller kompleks penyerta yang dapat meniru gambaran himen imperforata sederhana; (2) himenektomi dengan eksisi marginal sirkumferensial dan marsupialisasi tepi mukosa — bukan sekadar himenotomi berupa insisi silang — untuk meminimalkan risiko reformasi jaringan parut yang menyempitkan kembali introitus, terutama pada jaringan himen yang tebal; dan (3) evaluasi fungsi berkemih pascatindakan, mengingat distensi kronik kandung kemih akibat hematokolpos masif dapat meninggalkan disfungsi berkemih sementara yang memerlukan pemantauan pascabedah tersendiri di luar penyembuhan luka operasi itu sendiri.</w:t>
      </w:r>
    </w:p>
    <w:p>
      <w:pPr>
        <w:spacing w:after="60"/>
      </w:pPr>
      <w:r>
        <w:rPr>
          <w:b/>
          <w:bCs/>
          <w:color w:val="334155"/>
          <w:sz w:val="20"/>
          <w:szCs w:val="20"/>
        </w:rPr>
        <w:t xml:space="preserve">C. Ilustrasi Kasus Lapangan</w:t>
      </w:r>
    </w:p>
    <w:p>
      <w:pPr>
        <w:spacing w:after="160" w:line="276"/>
      </w:pPr>
      <w:r>
        <w:rPr>
          <w:color w:val="334155"/>
          <w:sz w:val="21"/>
          <w:szCs w:val="21"/>
        </w:rPr>
        <w:t xml:space="preserve">Seorang remaja putri 14 tahun dirujuk dengan keluhan nyeri panggul siklik berulang selama 4 bulan disertai keluhan pancaran urin melemah dan rasa tidak tuntas berkemih. Pemeriksaan genitalia eksterna menunjukkan membran himen menonjol kebiruan; USG transabdominal menunjukkan hematokolpos dengan volume besar hingga menekan dasar kandung kemih. Setelah evakuasi bertahap secara hati-hati melalui himenektomi dengan eksisi marginal (untuk menghindari dekompresi mendadak) dan kateterisasi sementara pascatindakan, fungsi berkemih pulih sepenuhnya dalam 1 minggu dan siklus haid menjadi teratur pada bulan ketiga pascatindakan.</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45309" w:sz="6" w:space="4"/>
      </w:pBdr>
      <w:tabs>
        <w:tab w:val="right" w:pos="9026"/>
      </w:tabs>
    </w:pPr>
    <w:r>
      <w:rPr>
        <w:color w:val="334155"/>
        <w:sz w:val="14"/>
        <w:szCs w:val="14"/>
      </w:rPr>
      <w:t xml:space="preserve">Perpustakaan Digital ABBA · PPK No. 64 dari 73 · ← PPK No. 63 — Prolaps Organ Panggul Derajat I · PPK No. 65 — Lesi Prakanker Serviks →</w:t>
    </w:r>
    <w:r>
      <w:rPr>
        <w:color w:val="334155"/>
        <w:sz w:val="15"/>
        <w:szCs w:val="15"/>
      </w:rPr>
      <w:t xml:space="preserve">	Hal. </w:t>
    </w:r>
    <w:r>
      <w:rPr>
        <w:color w:val="3341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6" w:space="4"/>
      </w:pBdr>
      <w:tabs>
        <w:tab w:val="right" w:pos="9026"/>
      </w:tabs>
    </w:pPr>
    <w:r>
      <w:rPr>
        <w:b/>
        <w:bCs/>
        <w:color w:val="4F46E5"/>
        <w:sz w:val="16"/>
        <w:szCs w:val="16"/>
      </w:rPr>
      <w:t xml:space="preserve">PPK-064 · Himen Imperforata</w:t>
    </w:r>
    <w:r>
      <w:rPr>
        <w:color w:val="334155"/>
        <w:sz w:val="16"/>
        <w:szCs w:val="16"/>
      </w:rPr>
      <w:t xml:space="preserve">	Divisi Uroginekologi Rekonstruksi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04" w:hanging="288"/>
      </w:pPr>
    </w:lvl>
  </w:abstractNum>
  <w:abstractNum w:abstractNumId="3" w15:restartNumberingAfterBreak="0">
    <w:multiLevelType w:val="hybridMultilevel"/>
    <w:lvl w:ilvl="0" w15:tentative="1">
      <w:start w:val="1"/>
      <w:numFmt w:val="decimal"/>
      <w:lvlText w:val="%1."/>
      <w:lvlJc w:val="start"/>
      <w:pPr>
        <w:ind w:left="504" w:hanging="288"/>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0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00"/>
    </w:pPr>
    <w:rPr>
      <w:rFonts w:ascii="Source Serif 4" w:cs="Source Serif 4" w:eastAsia="Source Serif 4" w:hAnsi="Source Serif 4"/>
      <w:b/>
      <w:bCs/>
      <w:color w:val="B45309"/>
      <w:sz w:val="24"/>
      <w:szCs w:val="24"/>
    </w:rPr>
  </w:style>
  <w:style w:type="paragraph" w:styleId="Heading3">
    <w:name w:val="Heading 3"/>
    <w:basedOn w:val="Normal"/>
    <w:next w:val="Normal"/>
    <w:qFormat/>
    <w:pPr>
      <w:spacing w:after="100" w:before="160"/>
    </w:pPr>
    <w:rPr>
      <w:rFonts w:ascii="Source Serif 4" w:cs="Source Serif 4" w:eastAsia="Source Serif 4" w:hAnsi="Source Serif 4"/>
      <w:b/>
      <w:bCs/>
      <w:color w:val="334155"/>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tg9uu7bgho9wezdxbpcmt" Type="http://schemas.openxmlformats.org/officeDocument/2006/relationships/hyperlink" Target="https://www.acog.org/clinical/clinical-guidance/committee-opinion/articles/2019/06/diagnosis-and-management-of-hymenal-variants" TargetMode="External"/><Relationship Id="rIdv6xveivvrzvlew5xxipzg" Type="http://schemas.openxmlformats.org/officeDocument/2006/relationships/hyperlink" Target="https://www.acog.org/clinical/clinical-guidance/committee-opinion/articles/2019/06/management-of-acute-obstructive-uterovaginal-anomalies" TargetMode="External"/><Relationship Id="rIdl1yz_vd7dwvi32fss8ez5" Type="http://schemas.openxmlformats.org/officeDocument/2006/relationships/hyperlink" Target="https://doi.org/10.3390/jcm8010056" TargetMode="External"/><Relationship Id="rIdyr-k7iybrrauss_9nfnxm" Type="http://schemas.openxmlformats.org/officeDocument/2006/relationships/hyperlink" Target="https://doaj.org/article/0e3de02f04a24d95b96c71833e5dc08e"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2026-08-19T01:44:02.737Z</dcterms:created>
  <dcterms:modified xsi:type="dcterms:W3CDTF">2026-08-19T01:44:02.738Z</dcterms:modified>
</cp:coreProperties>
</file>

<file path=docProps/custom.xml><?xml version="1.0" encoding="utf-8"?>
<Properties xmlns="http://schemas.openxmlformats.org/officeDocument/2006/custom-properties" xmlns:vt="http://schemas.openxmlformats.org/officeDocument/2006/docPropsVTypes"/>
</file>