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600"/>
        <w:jc w:val="left"/>
      </w:pPr>
      <w:r>
        <w:rPr>
          <w:rFonts w:ascii="IBM Plex Sans" w:cs="IBM Plex Sans" w:eastAsia="IBM Plex Sans" w:hAnsi="IBM Plex Sans"/>
          <w:b/>
          <w:bCs/>
          <w:color w:val="B45309"/>
          <w:spacing w:val="20"/>
          <w:sz w:val="20"/>
          <w:szCs w:val="20"/>
        </w:rPr>
        <w:t xml:space="preserve">PANDUAN PRAKTIK KLINIS</w:t>
      </w:r>
    </w:p>
    <w:p>
      <w:pPr>
        <w:spacing w:after="60"/>
      </w:pPr>
      <w:r>
        <w:rPr>
          <w:rFonts w:ascii="IBM Plex Mono" w:cs="IBM Plex Mono" w:eastAsia="IBM Plex Mono" w:hAnsi="IBM Plex Mono"/>
          <w:color w:val="64748B"/>
          <w:sz w:val="18"/>
          <w:szCs w:val="18"/>
        </w:rPr>
        <w:t xml:space="preserve">PPK-067 — Dokumen 67 dari 73 (kategori PPK)</w:t>
      </w:r>
    </w:p>
    <w:p>
      <w:pPr>
        <w:spacing w:after="160" w:before="260"/>
      </w:pPr>
      <w:r>
        <w:rPr>
          <w:rFonts w:ascii="Source Serif 4" w:cs="Source Serif 4" w:eastAsia="Source Serif 4" w:hAnsi="Source Serif 4"/>
          <w:b/>
          <w:bCs/>
          <w:color w:val="4F46E5"/>
          <w:sz w:val="52"/>
          <w:szCs w:val="52"/>
        </w:rPr>
        <w:t xml:space="preserve">Kasus Mediko-Legal Potensial</w:t>
      </w:r>
    </w:p>
    <w:p>
      <w:pPr>
        <w:spacing w:after="240"/>
      </w:pPr>
      <w:r>
        <w:rPr>
          <w:rFonts w:ascii="Source Serif 4" w:cs="Source Serif 4" w:eastAsia="Source Serif 4" w:hAnsi="Source Serif 4"/>
          <w:i/>
          <w:iCs/>
          <w:color w:val="64748B"/>
          <w:sz w:val="28"/>
          <w:szCs w:val="28"/>
        </w:rPr>
        <w:t xml:space="preserve">Potential Medico-Legal Case</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RINGKASAN UNIT</w:t>
            </w:r>
          </w:p>
          <w:p>
            <w:pPr>
              <w:spacing w:after="40"/>
            </w:pPr>
            <w:r>
              <w:rPr>
                <w:rFonts w:ascii="IBM Plex Sans" w:cs="IBM Plex Sans" w:eastAsia="IBM Plex Sans" w:hAnsi="IBM Plex Sans"/>
                <w:color w:val="334155"/>
                <w:sz w:val="20"/>
                <w:szCs w:val="20"/>
              </w:rPr>
              <w:t xml:space="preserve">ICD-10: Z04.8  |  ICD-11: QA04.7</w:t>
            </w:r>
          </w:p>
          <w:p>
            <w:pPr>
              <w:spacing w:after="40"/>
            </w:pPr>
            <w:r>
              <w:rPr>
                <w:rFonts w:ascii="IBM Plex Sans" w:cs="IBM Plex Sans" w:eastAsia="IBM Plex Sans" w:hAnsi="IBM Plex Sans"/>
                <w:color w:val="334155"/>
                <w:sz w:val="20"/>
                <w:szCs w:val="20"/>
              </w:rPr>
              <w:t xml:space="preserve">Populasi Sasaran: Situasi klinis dengan implikasi hukum</w:t>
            </w:r>
          </w:p>
          <w:p>
            <w:pPr>
              <w:spacing w:after="40"/>
            </w:pPr>
            <w:r>
              <w:rPr>
                <w:rFonts w:ascii="IBM Plex Sans" w:cs="IBM Plex Sans" w:eastAsia="IBM Plex Sans" w:hAnsi="IBM Plex Sans"/>
                <w:color w:val="334155"/>
                <w:sz w:val="20"/>
                <w:szCs w:val="20"/>
              </w:rPr>
              <w:t xml:space="preserve">Divisi Pengampu: Obstetri Ginekologi Sosial</w:t>
            </w:r>
          </w:p>
          <w:p>
            <w:pPr>
              <w:spacing w:after="0"/>
            </w:pPr>
            <w:r>
              <w:rPr>
                <w:rFonts w:ascii="IBM Plex Sans" w:cs="IBM Plex Sans" w:eastAsia="IBM Plex Sans" w:hAnsi="IBM Plex Sans"/>
                <w:color w:val="334155"/>
                <w:sz w:val="20"/>
                <w:szCs w:val="20"/>
              </w:rPr>
              <w:t xml:space="preserve">Rujukan Silang: Buku Tematik B11 — Kedokteran Sosial, Mediko-Legal, Kontrasepsi, dan Kesehatan Reproduksi Remaja</w:t>
            </w:r>
          </w:p>
        </w:tc>
      </w:tr>
    </w:tbl>
    <w:p>
      <w:pPr>
        <w:spacing w:after="40" w:before="420"/>
      </w:pPr>
      <w:r>
        <w:rPr>
          <w:rFonts w:ascii="IBM Plex Sans" w:cs="IBM Plex Sans" w:eastAsia="IBM Plex Sans" w:hAnsi="IBM Plex Sans"/>
          <w:color w:val="64748B"/>
          <w:sz w:val="19"/>
          <w:szCs w:val="19"/>
        </w:rPr>
        <w:t xml:space="preserve">Penulis: Dr.dr. Budi Siswanto, Sp.OG., Subsp.Obginsos., SH., S.Kom.</w:t>
      </w:r>
    </w:p>
    <w:p>
      <w:pPr>
        <w:spacing w:after="40"/>
      </w:pPr>
      <w:r>
        <w:rPr>
          <w:rFonts w:ascii="IBM Plex Sans" w:cs="IBM Plex Sans" w:eastAsia="IBM Plex Sans" w:hAnsi="IBM Plex Sans"/>
          <w:color w:val="64748B"/>
          <w:sz w:val="19"/>
          <w:szCs w:val="19"/>
        </w:rPr>
        <w:t xml:space="preserve">Penerbit: Perpustakaan Digital ABBA — Jl. Kerinci Raya No. 9, Malang 65138</w:t>
      </w:r>
    </w:p>
    <w:p>
      <w:pPr>
        <w:spacing w:after="0"/>
      </w:pPr>
      <w:r>
        <w:rPr>
          <w:rFonts w:ascii="IBM Plex Sans" w:cs="IBM Plex Sans" w:eastAsia="IBM Plex Sans" w:hAnsi="IBM Plex Sans"/>
          <w:color w:val="64748B"/>
          <w:sz w:val="19"/>
          <w:szCs w:val="19"/>
        </w:rPr>
        <w:t xml:space="preserve">Edisi Agustus 2026</w:t>
      </w:r>
    </w:p>
    <w:p>
      <w:pPr>
        <w:spacing w:before="500"/>
      </w:pPr>
      <w:r>
        <w:br w:type="page"/>
      </w:r>
    </w:p>
    <w:p>
      <w:pPr>
        <w:pStyle w:val="Heading1"/>
        <w:spacing w:after="200"/>
      </w:pPr>
      <w:r>
        <w:rPr>
          <w:rFonts w:ascii="Source Serif 4" w:cs="Source Serif 4" w:eastAsia="Source Serif 4" w:hAnsi="Source Serif 4"/>
          <w:b/>
          <w:bCs/>
          <w:color w:val="4F46E5"/>
          <w:sz w:val="28"/>
          <w:szCs w:val="28"/>
        </w:rPr>
        <w:t xml:space="preserve">Daftar Isi</w:t>
      </w:r>
    </w:p>
    <w:sdt>
      <w:sdtPr>
        <w:alias w:val="Daftar Isi"/>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1. Pengertian/Definisi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pPr>
              <w:spacing w:after="0"/>
            </w:pPr>
            <w:r>
              <w:rPr>
                <w:rFonts w:ascii="IBM Plex Sans" w:cs="IBM Plex Sans" w:eastAsia="IBM Plex Sans" w:hAnsi="IBM Plex Sans"/>
                <w:color w:val="334155"/>
                <w:sz w:val="20"/>
                <w:szCs w:val="20"/>
              </w:rPr>
              <w:t xml:space="preserve">Tabel 7 Kepkonsil No. HK.01.02/KKI/1318/2026, baris No. 67: "Kasus mediko-legal potensial / Potential medico-legal case", ICD-10 Z04.8, ICD-11 QA04.7, Keterangan/Populasi: "Situasi klinis dengan implikasi hukum".</w:t>
            </w:r>
          </w:p>
        </w:tc>
      </w:tr>
    </w:tbl>
    <w:p>
      <w:pPr>
        <w:spacing w:after="160"/>
      </w:pPr>
    </w:p>
    <w:p>
      <w:pPr>
        <w:spacing w:after="160" w:line="276"/>
      </w:pPr>
      <w:r>
        <w:rPr>
          <w:rFonts w:ascii="IBM Plex Sans" w:cs="IBM Plex Sans" w:eastAsia="IBM Plex Sans" w:hAnsi="IBM Plex Sans"/>
          <w:color w:val="334155"/>
          <w:sz w:val="21"/>
          <w:szCs w:val="21"/>
        </w:rPr>
        <w:t xml:space="preserve">Kasus mediko-legal potensial (potential medico-legal case) adalah setiap situasi klinis dalam pelayanan obstetri dan ginekologi yang, karena sifat kejadiannya, cara penanganannya, atau konteks sosial pasien, memiliki kemungkinan berlanjut menjadi sengketa hukum, pengaduan etik-disiplin, proses pidana atau perdata, maupun permintaan pemeriksaan forensik (visum et repertum). Kasus ini tidak identik dengan malapraktik; ia mencakup setiap kejadian yang berpotensi menimbulkan konsekuensi hukum terlepas dari ada-tidaknya kesalahan medis — misalnya kekerasan seksual, kekerasan dalam rumah tangga (KDRT), kematian maternal atau perinatal yang mendadak, komplikasi berat pasca-tindakan, atau ketidaksesuaian antara persetujuan tindakan (informed consent) dengan tindakan yang benar-benar dilakukan.</w:t>
      </w:r>
    </w:p>
    <w:p>
      <w:pPr>
        <w:spacing w:after="160" w:line="276"/>
      </w:pPr>
      <w:r>
        <w:rPr>
          <w:rFonts w:ascii="IBM Plex Sans" w:cs="IBM Plex Sans" w:eastAsia="IBM Plex Sans" w:hAnsi="IBM Plex Sans"/>
          <w:color w:val="334155"/>
          <w:sz w:val="21"/>
          <w:szCs w:val="21"/>
        </w:rPr>
        <w:t xml:space="preserve">Pada klasifikasi ICD-10, kode Z04.8 (encounter for examination and observation for other specified reasons) secara eksplisit mencakup kategori pemeriksaan untuk kepentingan observasi administratif dan hukum, sehingga secara teknis tepat digunakan sebagai penanda episode pelayanan dengan status mediko-legal potensial, terlepas dari diagnosis klinis primer yang menyertainya. Padanannya pada ICD-11 adalah QA04.7, yang digunakan pada tabulasi nasional dengan makna yang setara.</w:t>
      </w:r>
    </w:p>
    <w:p>
      <w:pPr>
        <w:spacing w:after="160" w:line="276"/>
      </w:pPr>
      <w:r>
        <w:rPr>
          <w:rFonts w:ascii="IBM Plex Sans" w:cs="IBM Plex Sans" w:eastAsia="IBM Plex Sans" w:hAnsi="IBM Plex Sans"/>
          <w:color w:val="334155"/>
          <w:sz w:val="21"/>
          <w:szCs w:val="21"/>
        </w:rPr>
        <w:t xml:space="preserve">Penetapan status 'potensial' bersifat preventif: dokter mengidentifikasi sejak dini agar dokumentasi, komunikasi, dan alur pelaporan dijalankan sesuai standar, sehingga hak pasien maupun kepastian hukum bagi tenaga medis sama-sama terjaga. PPK ini mengatur pendekatan klinis-administratif tingkat pelayanan primer dan sekunder; substansi hukum acara pidana serta penerbitan visum et repertum tunduk pada Kitab Undang-Undang Hukum Acara Pidana (KUHAP) sebagaimana diatur dalam Undang-Undang Nomor 20 Tahun 2025, yang berlaku bersamaan dengan Kitab Undang-Undang Hukum Pidana Nasional (Undang-Undang Nomor 1 Tahun 2023) sejak 2 Januari 2026, serta peraturan kedokteran forensik yang berlaku — dan berada di luar cakupan teknis PPK ini.</w:t>
      </w:r>
    </w:p>
    <w:p>
      <w:pPr>
        <w:spacing w:after="160" w:line="276"/>
      </w:pPr>
      <w:r>
        <w:rPr>
          <w:rFonts w:ascii="IBM Plex Sans" w:cs="IBM Plex Sans" w:eastAsia="IBM Plex Sans" w:hAnsi="IBM Plex Sans"/>
          <w:color w:val="334155"/>
          <w:sz w:val="21"/>
          <w:szCs w:val="21"/>
        </w:rPr>
        <w:t xml:space="preserve">PPK ini merupakan turunan operasional dari Bab Etika dan Aspek Mediko-Legal dalam Pelayanan Obstetri dan Ginekologi pada Buku Tematik B11 — Kedokteran Sosial, Mediko-Legal, Kontrasepsi, dan Kesehatan Reproduksi Remaja, dan menjadi acuan tata laksana klinis lini pertama saat dokter spesialis obstetri dan ginekologi mengenali indikasi mediko-legal dalam praktik sehari-hari.</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2. Anamnesis</w:t>
      </w:r>
    </w:p>
    <w:p>
      <w:pPr>
        <w:spacing w:after="160" w:line="276"/>
      </w:pPr>
      <w:r>
        <w:rPr>
          <w:rFonts w:ascii="IBM Plex Sans" w:cs="IBM Plex Sans" w:eastAsia="IBM Plex Sans" w:hAnsi="IBM Plex Sans"/>
          <w:color w:val="334155"/>
          <w:sz w:val="21"/>
          <w:szCs w:val="21"/>
        </w:rPr>
        <w:t xml:space="preserve">Anamnesis pada kasus mediko-legal potensial menuntut kecermatan dan netralitas. Pertanyaan diajukan terbuka, tanpa menggiring jawaban (non-leading questions), dan seluruh keterangan dicatat sedekat mungkin dengan kata-kata pasien sendiri (verbatim bila memungkinkan), karena rekonstruksi kronologi yang akurat sering menjadi elemen penentu dalam proses hukum lanjutan.</w:t>
      </w:r>
    </w:p>
    <w:p>
      <w:pPr>
        <w:pStyle w:val="ListParagraph"/>
        <w:numPr>
          <w:ilvl w:val="0"/>
          <w:numId w:val="1"/>
        </w:numPr>
        <w:spacing w:after="90"/>
      </w:pPr>
      <w:r>
        <w:rPr>
          <w:rFonts w:ascii="IBM Plex Sans" w:cs="IBM Plex Sans" w:eastAsia="IBM Plex Sans" w:hAnsi="IBM Plex Sans"/>
          <w:color w:val="334155"/>
          <w:sz w:val="21"/>
          <w:szCs w:val="21"/>
        </w:rPr>
        <w:t xml:space="preserve">Kronologi kejadian: waktu, tempat, dan urutan peristiwa sesuai penuturan pasien, keluarga, atau pengantar, tanpa menambahkan interpretasi dokter ke dalam narasi pasien.</w:t>
      </w:r>
    </w:p>
    <w:p>
      <w:pPr>
        <w:pStyle w:val="ListParagraph"/>
        <w:numPr>
          <w:ilvl w:val="0"/>
          <w:numId w:val="1"/>
        </w:numPr>
        <w:spacing w:after="90"/>
      </w:pPr>
      <w:r>
        <w:rPr>
          <w:rFonts w:ascii="IBM Plex Sans" w:cs="IBM Plex Sans" w:eastAsia="IBM Plex Sans" w:hAnsi="IBM Plex Sans"/>
          <w:color w:val="334155"/>
          <w:sz w:val="21"/>
          <w:szCs w:val="21"/>
        </w:rPr>
        <w:t xml:space="preserve">Identifikasi mekanisme cedera atau komplikasi (trauma, kekerasan fisik atau seksual, reaksi pasca-tindakan, kegagalan alat kontrasepsi, dugaan kelalaian pada persalinan sebelumnya).</w:t>
      </w:r>
    </w:p>
    <w:p>
      <w:pPr>
        <w:pStyle w:val="ListParagraph"/>
        <w:numPr>
          <w:ilvl w:val="0"/>
          <w:numId w:val="1"/>
        </w:numPr>
        <w:spacing w:after="90"/>
      </w:pPr>
      <w:r>
        <w:rPr>
          <w:rFonts w:ascii="IBM Plex Sans" w:cs="IBM Plex Sans" w:eastAsia="IBM Plex Sans" w:hAnsi="IBM Plex Sans"/>
          <w:color w:val="334155"/>
          <w:sz w:val="21"/>
          <w:szCs w:val="21"/>
        </w:rPr>
        <w:t xml:space="preserve">Riwayat persetujuan tindakan (informed consent) yang telah diberikan sebelumnya, termasuk apakah pasien merasa informasi yang diterima memadai dan dipahami sepenuhnya.</w:t>
      </w:r>
    </w:p>
    <w:p>
      <w:pPr>
        <w:pStyle w:val="ListParagraph"/>
        <w:numPr>
          <w:ilvl w:val="0"/>
          <w:numId w:val="1"/>
        </w:numPr>
        <w:spacing w:after="90"/>
      </w:pPr>
      <w:r>
        <w:rPr>
          <w:rFonts w:ascii="IBM Plex Sans" w:cs="IBM Plex Sans" w:eastAsia="IBM Plex Sans" w:hAnsi="IBM Plex Sans"/>
          <w:color w:val="334155"/>
          <w:sz w:val="21"/>
          <w:szCs w:val="21"/>
        </w:rPr>
        <w:t xml:space="preserve">Skrining kekerasan dalam rumah tangga dan kekerasan berbasis gender secara rutin dan rahasia, dilakukan terpisah dari pendamping bila pendamping tersebut dicurigai sebagai pelaku.</w:t>
      </w:r>
    </w:p>
    <w:p>
      <w:pPr>
        <w:pStyle w:val="ListParagraph"/>
        <w:numPr>
          <w:ilvl w:val="0"/>
          <w:numId w:val="1"/>
        </w:numPr>
        <w:spacing w:after="90"/>
      </w:pPr>
      <w:r>
        <w:rPr>
          <w:rFonts w:ascii="IBM Plex Sans" w:cs="IBM Plex Sans" w:eastAsia="IBM Plex Sans" w:hAnsi="IBM Plex Sans"/>
          <w:color w:val="334155"/>
          <w:sz w:val="21"/>
          <w:szCs w:val="21"/>
        </w:rPr>
        <w:t xml:space="preserve">Riwayat obstetri-ginekologi relevan, riwayat penyakit dahulu, dan riwayat penggunaan kontrasepsi atau tindakan medis terkait keluhan saat ini.</w:t>
      </w:r>
    </w:p>
    <w:p>
      <w:pPr>
        <w:pStyle w:val="ListParagraph"/>
        <w:numPr>
          <w:ilvl w:val="0"/>
          <w:numId w:val="1"/>
        </w:numPr>
        <w:spacing w:after="90"/>
      </w:pPr>
      <w:r>
        <w:rPr>
          <w:rFonts w:ascii="IBM Plex Sans" w:cs="IBM Plex Sans" w:eastAsia="IBM Plex Sans" w:hAnsi="IBM Plex Sans"/>
          <w:color w:val="334155"/>
          <w:sz w:val="21"/>
          <w:szCs w:val="21"/>
        </w:rPr>
        <w:t xml:space="preserve">Identitas pihak yang meminta pemeriksaan (pasien sendiri, penyidik, keluarga) beserta tujuan permintaan (pengobatan, visum, kepentingan asuransi atau administratif lain).</w:t>
      </w:r>
    </w:p>
    <w:p>
      <w:pPr>
        <w:pStyle w:val="ListParagraph"/>
        <w:numPr>
          <w:ilvl w:val="0"/>
          <w:numId w:val="1"/>
        </w:numPr>
        <w:spacing w:after="90"/>
      </w:pPr>
      <w:r>
        <w:rPr>
          <w:rFonts w:ascii="IBM Plex Sans" w:cs="IBM Plex Sans" w:eastAsia="IBM Plex Sans" w:hAnsi="IBM Plex Sans"/>
          <w:color w:val="334155"/>
          <w:sz w:val="21"/>
          <w:szCs w:val="21"/>
        </w:rPr>
        <w:t xml:space="preserve">Dampak psikologis dan sosial yang dirasakan pasien, termasuk kekhawatiran mengenai keselamatan, stigma, atau tekanan dari pihak lain, sebagai dasar rujukan psikososial lanjutan.</w:t>
      </w:r>
    </w:p>
    <w:p>
      <w:pPr>
        <w:spacing w:after="160" w:line="276"/>
      </w:pPr>
      <w:r>
        <w:rPr>
          <w:rFonts w:ascii="IBM Plex Sans" w:cs="IBM Plex Sans" w:eastAsia="IBM Plex Sans" w:hAnsi="IBM Plex Sans"/>
          <w:color w:val="334155"/>
          <w:sz w:val="21"/>
          <w:szCs w:val="21"/>
        </w:rPr>
        <w:t xml:space="preserve">Setiap pernyataan yang berpotensi menjadi bukti hukum dicatat lengkap dengan sumber informasi, waktu wawancara, dan nama pewawancara. Dokter menahan diri dari mencantumkan opini hukum ('ini kasus malapraktik', 'ini tindak pidana') dalam catatan medis; rekam medis memuat fakta klinis dan observasi objektif, bukan simpulan yuridis, sesuai prinsip pencatatan yang diatur dalam Pasal 296 Undang-Undang Nomor 17 Tahun 2023 tentang Kesehatan.</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3. Pemeriksaan Fisik</w:t>
      </w:r>
    </w:p>
    <w:p>
      <w:pPr>
        <w:spacing w:after="160" w:line="276"/>
      </w:pPr>
      <w:r>
        <w:rPr>
          <w:rFonts w:ascii="IBM Plex Sans" w:cs="IBM Plex Sans" w:eastAsia="IBM Plex Sans" w:hAnsi="IBM Plex Sans"/>
          <w:color w:val="334155"/>
          <w:sz w:val="21"/>
          <w:szCs w:val="21"/>
        </w:rPr>
        <w:t xml:space="preserve">Pemeriksaan fisik dilakukan dengan pendekatan yang menjaga martabat dan rasa aman pasien, idealnya oleh dokter yang sama dari awal hingga akhir episode untuk menjaga kontinuitas keterangan, serta didampingi saksi (perawat atau bidan) sesuai standar pelayanan fasilitas.</w:t>
      </w:r>
    </w:p>
    <w:p>
      <w:pPr>
        <w:pStyle w:val="ListParagraph"/>
        <w:numPr>
          <w:ilvl w:val="0"/>
          <w:numId w:val="1"/>
        </w:numPr>
        <w:spacing w:after="90"/>
      </w:pPr>
      <w:r>
        <w:rPr>
          <w:rFonts w:ascii="IBM Plex Sans" w:cs="IBM Plex Sans" w:eastAsia="IBM Plex Sans" w:hAnsi="IBM Plex Sans"/>
          <w:color w:val="334155"/>
          <w:sz w:val="21"/>
          <w:szCs w:val="21"/>
        </w:rPr>
        <w:t xml:space="preserve">Penilaian tanda vital dan status hemodinamik untuk menyingkirkan kegawatdaruratan yang harus ditangani lebih dahulu, sebelum proses dokumentasi mediko-legal berjalan.</w:t>
      </w:r>
    </w:p>
    <w:p>
      <w:pPr>
        <w:pStyle w:val="ListParagraph"/>
        <w:numPr>
          <w:ilvl w:val="0"/>
          <w:numId w:val="1"/>
        </w:numPr>
        <w:spacing w:after="90"/>
      </w:pPr>
      <w:r>
        <w:rPr>
          <w:rFonts w:ascii="IBM Plex Sans" w:cs="IBM Plex Sans" w:eastAsia="IBM Plex Sans" w:hAnsi="IBM Plex Sans"/>
          <w:color w:val="334155"/>
          <w:sz w:val="21"/>
          <w:szCs w:val="21"/>
        </w:rPr>
        <w:t xml:space="preserve">Dokumentasi sistematis seluruh temuan fisik — lokasi, ukuran, bentuk, warna, dan perkiraan usia luka atau memar bila relevan — disertai diagram tubuh (body map) dan foto klinis dengan penanda skala serta persetujuan tertulis pasien.</w:t>
      </w:r>
    </w:p>
    <w:p>
      <w:pPr>
        <w:pStyle w:val="ListParagraph"/>
        <w:numPr>
          <w:ilvl w:val="0"/>
          <w:numId w:val="1"/>
        </w:numPr>
        <w:spacing w:after="90"/>
      </w:pPr>
      <w:r>
        <w:rPr>
          <w:rFonts w:ascii="IBM Plex Sans" w:cs="IBM Plex Sans" w:eastAsia="IBM Plex Sans" w:hAnsi="IBM Plex Sans"/>
          <w:color w:val="334155"/>
          <w:sz w:val="21"/>
          <w:szCs w:val="21"/>
        </w:rPr>
        <w:t xml:space="preserve">Pemeriksaan area genitalia atau pelvis dilakukan seminimal mungkin traumatis, dengan penjelasan setiap langkah sebelum dilakukan, dan dihentikan segera bila pasien menyatakan menolak melanjutkan.</w:t>
      </w:r>
    </w:p>
    <w:p>
      <w:pPr>
        <w:pStyle w:val="ListParagraph"/>
        <w:numPr>
          <w:ilvl w:val="0"/>
          <w:numId w:val="1"/>
        </w:numPr>
        <w:spacing w:after="90"/>
      </w:pPr>
      <w:r>
        <w:rPr>
          <w:rFonts w:ascii="IBM Plex Sans" w:cs="IBM Plex Sans" w:eastAsia="IBM Plex Sans" w:hAnsi="IBM Plex Sans"/>
          <w:color w:val="334155"/>
          <w:sz w:val="21"/>
          <w:szCs w:val="21"/>
        </w:rPr>
        <w:t xml:space="preserve">Pencatatan kondisi pakaian, barang bawaan, atau benda yang berpotensi menjadi barang bukti, tanpa mencuci atau membuang sebelum dikonsultasikan kepada pihak berwenang bila kasus mengarah ke tindak pidana.</w:t>
      </w:r>
    </w:p>
    <w:p>
      <w:pPr>
        <w:pStyle w:val="ListParagraph"/>
        <w:numPr>
          <w:ilvl w:val="0"/>
          <w:numId w:val="1"/>
        </w:numPr>
        <w:spacing w:after="90"/>
      </w:pPr>
      <w:r>
        <w:rPr>
          <w:rFonts w:ascii="IBM Plex Sans" w:cs="IBM Plex Sans" w:eastAsia="IBM Plex Sans" w:hAnsi="IBM Plex Sans"/>
          <w:color w:val="334155"/>
          <w:sz w:val="21"/>
          <w:szCs w:val="21"/>
        </w:rPr>
        <w:t xml:space="preserve">Bila pemeriksaan dilakukan atas permintaan penyidik untuk kepentingan visum et repertum, rantai penyerahan barang bukti (chain of custody) dicatat lengkap: siapa menyerahkan, siapa menerima, waktu, dan kondisi kemasan barang bukti.</w:t>
      </w:r>
    </w:p>
    <w:p>
      <w:pPr>
        <w:pStyle w:val="ListParagraph"/>
        <w:numPr>
          <w:ilvl w:val="0"/>
          <w:numId w:val="1"/>
        </w:numPr>
        <w:spacing w:after="90"/>
      </w:pPr>
      <w:r>
        <w:rPr>
          <w:rFonts w:ascii="IBM Plex Sans" w:cs="IBM Plex Sans" w:eastAsia="IBM Plex Sans" w:hAnsi="IBM Plex Sans"/>
          <w:color w:val="334155"/>
          <w:sz w:val="21"/>
          <w:szCs w:val="21"/>
        </w:rPr>
        <w:t xml:space="preserve">Pemeriksaan psikologis awal (skrining distres, disosiasi, atau tanda gangguan stres akut) untuk menentukan kebutuhan rujukan psikologis segera, tanpa menggantikan asesmen psikiatri formal.</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4. Kriteria Diagnosis</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Nama Diagnosis (Id)</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Disease (En)</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ICD-10</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ICD-11</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Kasus mediko-legal potensial</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Potential medico-legal case</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Z04.8</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QA04.7</w:t>
            </w:r>
          </w:p>
        </w:tc>
      </w:tr>
    </w:tbl>
    <w:p>
      <w:pPr>
        <w:spacing w:after="160"/>
      </w:pPr>
    </w:p>
    <w:p>
      <w:pPr>
        <w:spacing w:after="160" w:line="276"/>
      </w:pPr>
      <w:r>
        <w:rPr>
          <w:rFonts w:ascii="IBM Plex Sans" w:cs="IBM Plex Sans" w:eastAsia="IBM Plex Sans" w:hAnsi="IBM Plex Sans"/>
          <w:color w:val="334155"/>
          <w:sz w:val="21"/>
          <w:szCs w:val="21"/>
        </w:rPr>
        <w:t xml:space="preserve">Status 'kasus mediko-legal potensial' bukan diagnosis penyakit dalam pengertian patofisiologis, melainkan penanda administratif-klinis episode pelayanan yang ditegakkan bila terpenuhi satu atau lebih kriteria berikut:</w:t>
      </w:r>
    </w:p>
    <w:p>
      <w:pPr>
        <w:pStyle w:val="ListParagraph"/>
        <w:numPr>
          <w:ilvl w:val="0"/>
          <w:numId w:val="2"/>
        </w:numPr>
        <w:spacing w:after="90"/>
      </w:pPr>
      <w:r>
        <w:rPr>
          <w:rFonts w:ascii="IBM Plex Sans" w:cs="IBM Plex Sans" w:eastAsia="IBM Plex Sans" w:hAnsi="IBM Plex Sans"/>
          <w:color w:val="334155"/>
          <w:sz w:val="21"/>
          <w:szCs w:val="21"/>
        </w:rPr>
        <w:t xml:space="preserve">Terdapat permintaan resmi pemeriksaan untuk kepentingan hukum (visum et repertum, surat keterangan medis untuk penyidik atau pengadilan).</w:t>
      </w:r>
    </w:p>
    <w:p>
      <w:pPr>
        <w:pStyle w:val="ListParagraph"/>
        <w:numPr>
          <w:ilvl w:val="0"/>
          <w:numId w:val="2"/>
        </w:numPr>
        <w:spacing w:after="90"/>
      </w:pPr>
      <w:r>
        <w:rPr>
          <w:rFonts w:ascii="IBM Plex Sans" w:cs="IBM Plex Sans" w:eastAsia="IBM Plex Sans" w:hAnsi="IBM Plex Sans"/>
          <w:color w:val="334155"/>
          <w:sz w:val="21"/>
          <w:szCs w:val="21"/>
        </w:rPr>
        <w:t xml:space="preserve">Ditemukan tanda klinis yang mengarah pada kekerasan fisik, seksual, atau penelantaran.</w:t>
      </w:r>
    </w:p>
    <w:p>
      <w:pPr>
        <w:pStyle w:val="ListParagraph"/>
        <w:numPr>
          <w:ilvl w:val="0"/>
          <w:numId w:val="2"/>
        </w:numPr>
        <w:spacing w:after="90"/>
      </w:pPr>
      <w:r>
        <w:rPr>
          <w:rFonts w:ascii="IBM Plex Sans" w:cs="IBM Plex Sans" w:eastAsia="IBM Plex Sans" w:hAnsi="IBM Plex Sans"/>
          <w:color w:val="334155"/>
          <w:sz w:val="21"/>
          <w:szCs w:val="21"/>
        </w:rPr>
        <w:t xml:space="preserve">Terjadi komplikasi berat atau kematian maternal/perinatal yang memerlukan audit mediko-legal internal fasilitas.</w:t>
      </w:r>
    </w:p>
    <w:p>
      <w:pPr>
        <w:pStyle w:val="ListParagraph"/>
        <w:numPr>
          <w:ilvl w:val="0"/>
          <w:numId w:val="2"/>
        </w:numPr>
        <w:spacing w:after="90"/>
      </w:pPr>
      <w:r>
        <w:rPr>
          <w:rFonts w:ascii="IBM Plex Sans" w:cs="IBM Plex Sans" w:eastAsia="IBM Plex Sans" w:hAnsi="IBM Plex Sans"/>
          <w:color w:val="334155"/>
          <w:sz w:val="21"/>
          <w:szCs w:val="21"/>
        </w:rPr>
        <w:t xml:space="preserve">Terdapat ketidaksesuaian antara tindakan yang dilakukan dengan persetujuan tindakan yang telah ditandatangani, atau pasien/keluarga menyatakan keberatan formal terhadap tindakan yang diberikan.</w:t>
      </w:r>
    </w:p>
    <w:p>
      <w:pPr>
        <w:pStyle w:val="ListParagraph"/>
        <w:numPr>
          <w:ilvl w:val="0"/>
          <w:numId w:val="2"/>
        </w:numPr>
        <w:spacing w:after="90"/>
      </w:pPr>
      <w:r>
        <w:rPr>
          <w:rFonts w:ascii="IBM Plex Sans" w:cs="IBM Plex Sans" w:eastAsia="IBM Plex Sans" w:hAnsi="IBM Plex Sans"/>
          <w:color w:val="334155"/>
          <w:sz w:val="21"/>
          <w:szCs w:val="21"/>
        </w:rPr>
        <w:t xml:space="preserve">Pasien atau keluarga secara eksplisit menyatakan niat menempuh jalur hukum atau pengaduan etik-disiplin terkait pelayanan yang diterima.</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adalah 'kasus mediko-legal potensial' (Z04.8/QA04.7) yang ditegakkan berdasarkan kriteria pada bagian 4, disertai diagnosis klinis primer yang mendasarinya — misalnya cedera genital pasca-persalinan, dugaan kekerasan seksual, atau komplikasi pasca-tindakan ginekologi.</w:t>
      </w:r>
    </w:p>
    <w:p>
      <w:pPr>
        <w:spacing w:after="160" w:line="276"/>
      </w:pPr>
      <w:r>
        <w:rPr>
          <w:rFonts w:ascii="IBM Plex Sans" w:cs="IBM Plex Sans" w:eastAsia="IBM Plex Sans" w:hAnsi="IBM Plex Sans"/>
          <w:color w:val="334155"/>
          <w:sz w:val="21"/>
          <w:szCs w:val="21"/>
        </w:rPr>
        <w:t xml:space="preserve">Diagnosis banding difokuskan pada penyingkiran kondisi klinis lain yang menyerupai gambaran namun tidak memiliki implikasi hukum langsung, agar penanganan tidak bias oleh kecurigaan berlebihan maupun sebaliknya luput teridentifikasi:</w:t>
      </w:r>
    </w:p>
    <w:p>
      <w:pPr>
        <w:pStyle w:val="ListParagraph"/>
        <w:numPr>
          <w:ilvl w:val="0"/>
          <w:numId w:val="1"/>
        </w:numPr>
        <w:spacing w:after="90"/>
      </w:pPr>
      <w:r>
        <w:rPr>
          <w:rFonts w:ascii="IBM Plex Sans" w:cs="IBM Plex Sans" w:eastAsia="IBM Plex Sans" w:hAnsi="IBM Plex Sans"/>
          <w:color w:val="334155"/>
          <w:sz w:val="21"/>
          <w:szCs w:val="21"/>
        </w:rPr>
        <w:t xml:space="preserve">Perdarahan atau cedera akibat proses persalinan/tindakan yang berjalan sesuai standar tanpa indikasi kelalaian.</w:t>
      </w:r>
    </w:p>
    <w:p>
      <w:pPr>
        <w:pStyle w:val="ListParagraph"/>
        <w:numPr>
          <w:ilvl w:val="0"/>
          <w:numId w:val="1"/>
        </w:numPr>
        <w:spacing w:after="90"/>
      </w:pPr>
      <w:r>
        <w:rPr>
          <w:rFonts w:ascii="IBM Plex Sans" w:cs="IBM Plex Sans" w:eastAsia="IBM Plex Sans" w:hAnsi="IBM Plex Sans"/>
          <w:color w:val="334155"/>
          <w:sz w:val="21"/>
          <w:szCs w:val="21"/>
        </w:rPr>
        <w:t xml:space="preserve">Lesi genital akibat infeksi atau kondisi dermatologis, bukan trauma.</w:t>
      </w:r>
    </w:p>
    <w:p>
      <w:pPr>
        <w:pStyle w:val="ListParagraph"/>
        <w:numPr>
          <w:ilvl w:val="0"/>
          <w:numId w:val="1"/>
        </w:numPr>
        <w:spacing w:after="90"/>
      </w:pPr>
      <w:r>
        <w:rPr>
          <w:rFonts w:ascii="IBM Plex Sans" w:cs="IBM Plex Sans" w:eastAsia="IBM Plex Sans" w:hAnsi="IBM Plex Sans"/>
          <w:color w:val="334155"/>
          <w:sz w:val="21"/>
          <w:szCs w:val="21"/>
        </w:rPr>
        <w:t xml:space="preserve">Keluhan nyeri atau ketidakpuasan pasien yang bersifat komunikasi, bukan indikasi kekerasan atau kelalaian medis.</w:t>
      </w:r>
    </w:p>
    <w:p>
      <w:pPr>
        <w:pStyle w:val="ListParagraph"/>
        <w:numPr>
          <w:ilvl w:val="0"/>
          <w:numId w:val="1"/>
        </w:numPr>
        <w:spacing w:after="90"/>
      </w:pPr>
      <w:r>
        <w:rPr>
          <w:rFonts w:ascii="IBM Plex Sans" w:cs="IBM Plex Sans" w:eastAsia="IBM Plex Sans" w:hAnsi="IBM Plex Sans"/>
          <w:color w:val="334155"/>
          <w:sz w:val="21"/>
          <w:szCs w:val="21"/>
        </w:rPr>
        <w:t xml:space="preserve">Kematian maternal/perinatal yang murni akibat perjalanan penyakit tanpa unsur mediko-legal, namun tetap diaudit sesuai prosedur audit maternal perinatal rutin fasilitas.</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6. Pemeriksaan Penunjang</w:t>
      </w:r>
    </w:p>
    <w:p>
      <w:pPr>
        <w:pStyle w:val="ListParagraph"/>
        <w:numPr>
          <w:ilvl w:val="0"/>
          <w:numId w:val="1"/>
        </w:numPr>
        <w:spacing w:after="90"/>
      </w:pPr>
      <w:r>
        <w:rPr>
          <w:rFonts w:ascii="IBM Plex Sans" w:cs="IBM Plex Sans" w:eastAsia="IBM Plex Sans" w:hAnsi="IBM Plex Sans"/>
          <w:color w:val="334155"/>
          <w:sz w:val="21"/>
          <w:szCs w:val="21"/>
        </w:rPr>
        <w:t xml:space="preserve">Laboratorium sesuai indikasi klinis (darah rutin, fungsi koagulasi, uji kehamilan, pemeriksaan infeksi menular seksual bila dicurigai kekerasan seksual), dengan persetujuan eksplisit dan pencatatan waktu pengambilan sampel.</w:t>
      </w:r>
    </w:p>
    <w:p>
      <w:pPr>
        <w:pStyle w:val="ListParagraph"/>
        <w:numPr>
          <w:ilvl w:val="0"/>
          <w:numId w:val="1"/>
        </w:numPr>
        <w:spacing w:after="90"/>
      </w:pPr>
      <w:r>
        <w:rPr>
          <w:rFonts w:ascii="IBM Plex Sans" w:cs="IBM Plex Sans" w:eastAsia="IBM Plex Sans" w:hAnsi="IBM Plex Sans"/>
          <w:color w:val="334155"/>
          <w:sz w:val="21"/>
          <w:szCs w:val="21"/>
        </w:rPr>
        <w:t xml:space="preserve">Pencitraan (ultrasonografi, dan pencitraan lain bila tersedia serta relevan) untuk mendokumentasikan cedera internal atau kondisi obstetri terkait.</w:t>
      </w:r>
    </w:p>
    <w:p>
      <w:pPr>
        <w:pStyle w:val="ListParagraph"/>
        <w:numPr>
          <w:ilvl w:val="0"/>
          <w:numId w:val="1"/>
        </w:numPr>
        <w:spacing w:after="90"/>
      </w:pPr>
      <w:r>
        <w:rPr>
          <w:rFonts w:ascii="IBM Plex Sans" w:cs="IBM Plex Sans" w:eastAsia="IBM Plex Sans" w:hAnsi="IBM Plex Sans"/>
          <w:color w:val="334155"/>
          <w:sz w:val="21"/>
          <w:szCs w:val="21"/>
        </w:rPr>
        <w:t xml:space="preserve">Pemeriksaan forensik khusus (swab, profil DNA, toksikologi) hanya dilakukan bersama atau atas permintaan pihak berwenang, mengikuti protokol rantai bukti; dokter spesialis obstetri dan ginekologi tidak melakukan interpretasi forensik di luar kompetensinya dan merujuk ke dokter forensik bila diperlukan.</w:t>
      </w:r>
    </w:p>
    <w:p>
      <w:pPr>
        <w:pStyle w:val="ListParagraph"/>
        <w:numPr>
          <w:ilvl w:val="0"/>
          <w:numId w:val="1"/>
        </w:numPr>
        <w:spacing w:after="90"/>
      </w:pPr>
      <w:r>
        <w:rPr>
          <w:rFonts w:ascii="IBM Plex Sans" w:cs="IBM Plex Sans" w:eastAsia="IBM Plex Sans" w:hAnsi="IBM Plex Sans"/>
          <w:color w:val="334155"/>
          <w:sz w:val="21"/>
          <w:szCs w:val="21"/>
        </w:rPr>
        <w:t xml:space="preserve">Dokumentasi fotografi klinis dengan penanda skala, disimpan dalam sistem rekam medis elektronik yang aksesnya dibatasi dan tercatat (audit trail), sesuai ketentuan keamanan informasi kesehatan pada Peraturan Menteri Kesehatan Nomor 24 Tahun 2022 tentang Rekam Medis.</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7. Tata Laksana</w:t>
      </w:r>
    </w:p>
    <w:p>
      <w:pPr>
        <w:pStyle w:val="Heading2"/>
        <w:spacing w:after="110" w:before="240"/>
      </w:pPr>
      <w:r>
        <w:rPr>
          <w:rFonts w:ascii="Source Serif 4" w:cs="Source Serif 4" w:eastAsia="Source Serif 4" w:hAnsi="Source Serif 4"/>
          <w:b/>
          <w:bCs/>
          <w:color w:val="334155"/>
          <w:sz w:val="24"/>
          <w:szCs w:val="24"/>
        </w:rPr>
        <w:t xml:space="preserve">7.1 Tata Laksana Non-Farmakologis</w:t>
      </w:r>
    </w:p>
    <w:p>
      <w:pPr>
        <w:pStyle w:val="ListParagraph"/>
        <w:numPr>
          <w:ilvl w:val="0"/>
          <w:numId w:val="1"/>
        </w:numPr>
        <w:spacing w:after="90"/>
      </w:pPr>
      <w:r>
        <w:rPr>
          <w:rFonts w:ascii="IBM Plex Sans" w:cs="IBM Plex Sans" w:eastAsia="IBM Plex Sans" w:hAnsi="IBM Plex Sans"/>
          <w:color w:val="334155"/>
          <w:sz w:val="21"/>
          <w:szCs w:val="21"/>
        </w:rPr>
        <w:t xml:space="preserve">Stabilisasi kondisi klinis pasien sebagai prioritas utama, mendahului seluruh proses dokumentasi mediko-legal.</w:t>
      </w:r>
    </w:p>
    <w:p>
      <w:pPr>
        <w:pStyle w:val="ListParagraph"/>
        <w:numPr>
          <w:ilvl w:val="0"/>
          <w:numId w:val="1"/>
        </w:numPr>
        <w:spacing w:after="90"/>
      </w:pPr>
      <w:r>
        <w:rPr>
          <w:rFonts w:ascii="IBM Plex Sans" w:cs="IBM Plex Sans" w:eastAsia="IBM Plex Sans" w:hAnsi="IBM Plex Sans"/>
          <w:color w:val="334155"/>
          <w:sz w:val="21"/>
          <w:szCs w:val="21"/>
        </w:rPr>
        <w:t xml:space="preserve">Dokumentasi rekam medis lengkap, objektif, dan kontemporer (ditulis sesegera mungkin setelah kejadian atau pemeriksaan), tanpa diubah setelah difinalisasi; koreksi dilakukan dengan mencoret satu garis, memberi paraf, tanggal, dan alasan koreksi, sesuai kaidah pengelolaan rekam medis elektronik pada Permenkes Nomor 24 Tahun 2022.</w:t>
      </w:r>
    </w:p>
    <w:p>
      <w:pPr>
        <w:pStyle w:val="ListParagraph"/>
        <w:numPr>
          <w:ilvl w:val="0"/>
          <w:numId w:val="1"/>
        </w:numPr>
        <w:spacing w:after="90"/>
      </w:pPr>
      <w:r>
        <w:rPr>
          <w:rFonts w:ascii="IBM Plex Sans" w:cs="IBM Plex Sans" w:eastAsia="IBM Plex Sans" w:hAnsi="IBM Plex Sans"/>
          <w:color w:val="334155"/>
          <w:sz w:val="21"/>
          <w:szCs w:val="21"/>
        </w:rPr>
        <w:t xml:space="preserve">Aktivasi jalur pelaporan internal fasilitas (tim etik/mediko-legal, komite keselamatan pasien) segera setelah kasus teridentifikasi sebagai potensial mediko-legal, dengan pendekatan pembelajaran sistem yang proporsional dan tidak menghakimi.</w:t>
      </w:r>
    </w:p>
    <w:p>
      <w:pPr>
        <w:pStyle w:val="ListParagraph"/>
        <w:numPr>
          <w:ilvl w:val="0"/>
          <w:numId w:val="1"/>
        </w:numPr>
        <w:spacing w:after="90"/>
      </w:pPr>
      <w:r>
        <w:rPr>
          <w:rFonts w:ascii="IBM Plex Sans" w:cs="IBM Plex Sans" w:eastAsia="IBM Plex Sans" w:hAnsi="IBM Plex Sans"/>
          <w:color w:val="334155"/>
          <w:sz w:val="21"/>
          <w:szCs w:val="21"/>
        </w:rPr>
        <w:t xml:space="preserve">Koordinasi dengan pekerja sosial medis, psikolog, dan/atau unit pelayanan terpadu bila tersedia, untuk kasus kekerasan berbasis gender.</w:t>
      </w:r>
    </w:p>
    <w:p>
      <w:pPr>
        <w:pStyle w:val="ListParagraph"/>
        <w:numPr>
          <w:ilvl w:val="0"/>
          <w:numId w:val="1"/>
        </w:numPr>
        <w:spacing w:after="90"/>
      </w:pPr>
      <w:r>
        <w:rPr>
          <w:rFonts w:ascii="IBM Plex Sans" w:cs="IBM Plex Sans" w:eastAsia="IBM Plex Sans" w:hAnsi="IBM Plex Sans"/>
          <w:color w:val="334155"/>
          <w:sz w:val="21"/>
          <w:szCs w:val="21"/>
        </w:rPr>
        <w:t xml:space="preserve">Bila kasus tergolong tindak pidana kekerasan seksual, penyediaan layanan visum et repertum dan pendampingan korban mengikuti Undang-Undang Nomor 12 Tahun 2022 tentang Tindak Pidana Kekerasan Seksual, yang mengatur bahwa pemeriksaan medis dan visum untuk kepentingan hukum disediakan tanpa dipungut biaya, serta melarang mediasi yang menghentikan proses hukum pada kasus kekerasan seksual.</w:t>
      </w:r>
    </w:p>
    <w:p>
      <w:pPr>
        <w:pStyle w:val="ListParagraph"/>
        <w:numPr>
          <w:ilvl w:val="0"/>
          <w:numId w:val="1"/>
        </w:numPr>
        <w:spacing w:after="90"/>
      </w:pPr>
      <w:r>
        <w:rPr>
          <w:rFonts w:ascii="IBM Plex Sans" w:cs="IBM Plex Sans" w:eastAsia="IBM Plex Sans" w:hAnsi="IBM Plex Sans"/>
          <w:color w:val="334155"/>
          <w:sz w:val="21"/>
          <w:szCs w:val="21"/>
        </w:rPr>
        <w:t xml:space="preserve">Pelaporan wajib kepada pihak berwenang sesuai ketentuan perundang-undangan bila kasus melibatkan dugaan tindak pidana terhadap anak, mengacu pada Undang-Undang Nomor 35 Tahun 2014 tentang Perubahan atas Undang-Undang Nomor 23 Tahun 2002 tentang Perlindungan Anak sebagaimana diubah dengan Undang-Undang Nomor 17 Tahun 2016, dengan tetap menjaga kerahasiaan medis pada aspek yang tidak wajib dibuka.</w:t>
      </w:r>
    </w:p>
    <w:p>
      <w:pPr>
        <w:pStyle w:val="Heading2"/>
        <w:spacing w:after="110" w:before="240"/>
      </w:pPr>
      <w:r>
        <w:rPr>
          <w:rFonts w:ascii="Source Serif 4" w:cs="Source Serif 4" w:eastAsia="Source Serif 4" w:hAnsi="Source Serif 4"/>
          <w:b/>
          <w:bCs/>
          <w:color w:val="334155"/>
          <w:sz w:val="24"/>
          <w:szCs w:val="24"/>
        </w:rPr>
        <w:t xml:space="preserve">7.2 Tata Laksana Farmakologis</w:t>
      </w:r>
    </w:p>
    <w:p>
      <w:pPr>
        <w:spacing w:after="160" w:line="276"/>
      </w:pPr>
      <w:r>
        <w:rPr>
          <w:rFonts w:ascii="IBM Plex Sans" w:cs="IBM Plex Sans" w:eastAsia="IBM Plex Sans" w:hAnsi="IBM Plex Sans"/>
          <w:color w:val="334155"/>
          <w:sz w:val="21"/>
          <w:szCs w:val="21"/>
        </w:rPr>
        <w:t xml:space="preserve">Tidak terdapat tata laksana farmakologis spesifik untuk status 'kasus mediko-legal potensial' itu sendiri; terapi farmakologis mengikuti diagnosis klinis primer yang mendasari — misalnya profilaksis pasca-pajanan pada dugaan kekerasan seksual, kontrasepsi darurat, analgesia, atau terapi infeksi — sesuai PPK diagnosis terkait masing-masing.</w:t>
      </w:r>
    </w:p>
    <w:p>
      <w:pPr>
        <w:pStyle w:val="Heading2"/>
        <w:spacing w:after="110" w:before="240"/>
      </w:pPr>
      <w:r>
        <w:rPr>
          <w:rFonts w:ascii="Source Serif 4" w:cs="Source Serif 4" w:eastAsia="Source Serif 4" w:hAnsi="Source Serif 4"/>
          <w:b/>
          <w:bCs/>
          <w:color w:val="334155"/>
          <w:sz w:val="24"/>
          <w:szCs w:val="24"/>
        </w:rPr>
        <w:t xml:space="preserve">7.3 Tata Laksana Bedah/Prosedural</w:t>
      </w:r>
    </w:p>
    <w:p>
      <w:pPr>
        <w:spacing w:after="160" w:line="276"/>
      </w:pPr>
      <w:r>
        <w:rPr>
          <w:rFonts w:ascii="IBM Plex Sans" w:cs="IBM Plex Sans" w:eastAsia="IBM Plex Sans" w:hAnsi="IBM Plex Sans"/>
          <w:color w:val="334155"/>
          <w:sz w:val="21"/>
          <w:szCs w:val="21"/>
        </w:rPr>
        <w:t xml:space="preserve">Tindakan bedah atau prosedural dilakukan hanya berdasarkan indikasi medis diagnosis primer, bukan berdasarkan status mediko-legalnya. Setiap tindakan invasif pada kasus ini wajib didahului persetujuan tindakan tertulis yang menjelaskan secara spesifik tujuan, risiko, dan alternatif tindakan, serta dilakukan verifikasi ulang (time-out) yang didokumentasikan lebih ketat mengingat potensi peninjauan hukum di kemudian hari.</w:t>
      </w:r>
    </w:p>
    <w:p>
      <w:pPr>
        <w:pStyle w:val="Heading2"/>
        <w:spacing w:after="110" w:before="240"/>
      </w:pPr>
      <w:r>
        <w:rPr>
          <w:rFonts w:ascii="Source Serif 4" w:cs="Source Serif 4" w:eastAsia="Source Serif 4" w:hAnsi="Source Serif 4"/>
          <w:b/>
          <w:bCs/>
          <w:color w:val="334155"/>
          <w:sz w:val="24"/>
          <w:szCs w:val="24"/>
        </w:rPr>
        <w:t xml:space="preserve">7.4 Kriteria Rujukan ke Subspesialis Obstetri Ginekologi Sosial</w:t>
      </w:r>
    </w:p>
    <w:p>
      <w:pPr>
        <w:pStyle w:val="ListParagraph"/>
        <w:numPr>
          <w:ilvl w:val="0"/>
          <w:numId w:val="1"/>
        </w:numPr>
        <w:spacing w:after="90"/>
      </w:pPr>
      <w:r>
        <w:rPr>
          <w:rFonts w:ascii="IBM Plex Sans" w:cs="IBM Plex Sans" w:eastAsia="IBM Plex Sans" w:hAnsi="IBM Plex Sans"/>
          <w:color w:val="334155"/>
          <w:sz w:val="21"/>
          <w:szCs w:val="21"/>
        </w:rPr>
        <w:t xml:space="preserve">Kasus melibatkan kekerasan berbasis gender, KDRT, atau kekerasan seksual yang memerlukan pendampingan psikososial dan koordinasi lintas sektor (kepolisian, dinas sosial, unit pelayanan terpadu).</w:t>
      </w:r>
    </w:p>
    <w:p>
      <w:pPr>
        <w:pStyle w:val="ListParagraph"/>
        <w:numPr>
          <w:ilvl w:val="0"/>
          <w:numId w:val="1"/>
        </w:numPr>
        <w:spacing w:after="90"/>
      </w:pPr>
      <w:r>
        <w:rPr>
          <w:rFonts w:ascii="IBM Plex Sans" w:cs="IBM Plex Sans" w:eastAsia="IBM Plex Sans" w:hAnsi="IBM Plex Sans"/>
          <w:color w:val="334155"/>
          <w:sz w:val="21"/>
          <w:szCs w:val="21"/>
        </w:rPr>
        <w:t xml:space="preserve">Kasus kematian maternal/perinatal yang memerlukan audit mediko-legal mendalam dan komunikasi terstruktur dengan keluarga.</w:t>
      </w:r>
    </w:p>
    <w:p>
      <w:pPr>
        <w:pStyle w:val="ListParagraph"/>
        <w:numPr>
          <w:ilvl w:val="0"/>
          <w:numId w:val="1"/>
        </w:numPr>
        <w:spacing w:after="90"/>
      </w:pPr>
      <w:r>
        <w:rPr>
          <w:rFonts w:ascii="IBM Plex Sans" w:cs="IBM Plex Sans" w:eastAsia="IBM Plex Sans" w:hAnsi="IBM Plex Sans"/>
          <w:color w:val="334155"/>
          <w:sz w:val="21"/>
          <w:szCs w:val="21"/>
        </w:rPr>
        <w:t xml:space="preserve">Sengketa atau pengaduan pasien terkait pelayanan yang memerlukan mediasi etik-medikolegal sebelum eskalasi ke jalur hukum formal.</w:t>
      </w:r>
    </w:p>
    <w:p>
      <w:pPr>
        <w:pStyle w:val="ListParagraph"/>
        <w:numPr>
          <w:ilvl w:val="0"/>
          <w:numId w:val="1"/>
        </w:numPr>
        <w:spacing w:after="90"/>
      </w:pPr>
      <w:r>
        <w:rPr>
          <w:rFonts w:ascii="IBM Plex Sans" w:cs="IBM Plex Sans" w:eastAsia="IBM Plex Sans" w:hAnsi="IBM Plex Sans"/>
          <w:color w:val="334155"/>
          <w:sz w:val="21"/>
          <w:szCs w:val="21"/>
        </w:rPr>
        <w:t xml:space="preserve">Kasus dengan kompleksitas sosial (remaja, penyandang disabilitas, populasi rentan) yang memerlukan pendekatan biopsikososial komprehensif di luar kewenangan spesialis umum.</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1"/>
        </w:numPr>
        <w:spacing w:after="90"/>
      </w:pPr>
      <w:r>
        <w:rPr>
          <w:rFonts w:ascii="IBM Plex Sans" w:cs="IBM Plex Sans" w:eastAsia="IBM Plex Sans" w:hAnsi="IBM Plex Sans"/>
          <w:color w:val="334155"/>
          <w:sz w:val="21"/>
          <w:szCs w:val="21"/>
        </w:rPr>
        <w:t xml:space="preserve">Menjelaskan hak pasien atas informasi, kerahasiaan medis, dan hak untuk didampingi dalam proses pemeriksaan maupun pelaporan.</w:t>
      </w:r>
    </w:p>
    <w:p>
      <w:pPr>
        <w:pStyle w:val="ListParagraph"/>
        <w:numPr>
          <w:ilvl w:val="0"/>
          <w:numId w:val="1"/>
        </w:numPr>
        <w:spacing w:after="90"/>
      </w:pPr>
      <w:r>
        <w:rPr>
          <w:rFonts w:ascii="IBM Plex Sans" w:cs="IBM Plex Sans" w:eastAsia="IBM Plex Sans" w:hAnsi="IBM Plex Sans"/>
          <w:color w:val="334155"/>
          <w:sz w:val="21"/>
          <w:szCs w:val="21"/>
        </w:rPr>
        <w:t xml:space="preserve">Menjelaskan proses dan konsekuensi permintaan visum et repertum atau surat keterangan medis, termasuk siapa yang berwenang meminta dan menerima dokumen tersebut, serta hak atas layanan visum tanpa biaya pada kasus kekerasan seksual.</w:t>
      </w:r>
    </w:p>
    <w:p>
      <w:pPr>
        <w:pStyle w:val="ListParagraph"/>
        <w:numPr>
          <w:ilvl w:val="0"/>
          <w:numId w:val="1"/>
        </w:numPr>
        <w:spacing w:after="90"/>
      </w:pPr>
      <w:r>
        <w:rPr>
          <w:rFonts w:ascii="IBM Plex Sans" w:cs="IBM Plex Sans" w:eastAsia="IBM Plex Sans" w:hAnsi="IBM Plex Sans"/>
          <w:color w:val="334155"/>
          <w:sz w:val="21"/>
          <w:szCs w:val="21"/>
        </w:rPr>
        <w:t xml:space="preserve">Memberikan informasi mengenai layanan pendampingan yang tersedia (unit pelayanan terpadu, psikolog, pekerja sosial, bantuan hukum) tanpa memaksakan pilihan pasien untuk melapor secara hukum.</w:t>
      </w:r>
    </w:p>
    <w:p>
      <w:pPr>
        <w:pStyle w:val="ListParagraph"/>
        <w:numPr>
          <w:ilvl w:val="0"/>
          <w:numId w:val="1"/>
        </w:numPr>
        <w:spacing w:after="90"/>
      </w:pPr>
      <w:r>
        <w:rPr>
          <w:rFonts w:ascii="IBM Plex Sans" w:cs="IBM Plex Sans" w:eastAsia="IBM Plex Sans" w:hAnsi="IBM Plex Sans"/>
          <w:color w:val="334155"/>
          <w:sz w:val="21"/>
          <w:szCs w:val="21"/>
        </w:rPr>
        <w:t xml:space="preserve">Menekankan bahwa keputusan menempuh jalur hukum sepenuhnya berada di tangan pasien atau wali sah, kecuali pada kondisi yang secara hukum wajib dilaporkan (misalnya dugaan kekerasan terhadap anak).</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9. Prognosis</w:t>
      </w:r>
    </w:p>
    <w:p>
      <w:pPr>
        <w:spacing w:after="160" w:line="276"/>
      </w:pPr>
      <w:r>
        <w:rPr>
          <w:rFonts w:ascii="IBM Plex Sans" w:cs="IBM Plex Sans" w:eastAsia="IBM Plex Sans" w:hAnsi="IBM Plex Sans"/>
          <w:color w:val="334155"/>
          <w:sz w:val="21"/>
          <w:szCs w:val="21"/>
        </w:rPr>
        <w:t xml:space="preserve">Prognosis klinis kasus mediko-legal potensial ditentukan oleh diagnosis primer yang mendasarinya, bukan oleh status mediko-legalnya. Prognosis administratif-hukum — potensi penyelesaian sengketa, mediasi, atau proses peradilan — berada di luar kompetensi medis dan tidak dinyatakan oleh dokter dalam rekam medis. Dokumentasi yang lengkap, akurat, dan kontemporer terbukti menjadi faktor pelindung utama, baik bagi pasien maupun tenaga medis, dalam proses penyelesaian sengketa selanjutnya.</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10. Tingkat Evidens dan Rekomendasi</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Aspek</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Dokumentasi kontemporer dan objektif sebagai perlindungan hukum</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IV (konsensus ahli/pedoman praktik)</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 (kuat)</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Kepkonsil Tabel 7; Permenkes No. 24/2022</w:t>
            </w:r>
          </w:p>
        </w:tc>
      </w:tr>
      <w:tr>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Skrining rutin kekerasan berbasis gender dalam anamnesis obstetri-ginekologi</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II–III</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Clinical and Policy Guidelines, 2013</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Rantai bukti (chain of custody) pada pemeriksaan forensik/visum</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IV (pedoman prosedural)</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UU No. 12/2022 (TPKS); UU No. 20/2025 (KUHAP)</w:t>
            </w:r>
          </w:p>
        </w:tc>
      </w:tr>
      <w:tr>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Pendekatan sistem yang proporsional dan tidak menghakimi dalam audit insiden klinis</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IV</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NHS England PSIRF, 2022</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Persetujuan tindakan tertulis spesifik sebagai mitigasi sengketa tindakan invasif</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IV</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GMC Decision Making and Consent, diperbarui 2026</w:t>
            </w:r>
          </w:p>
        </w:tc>
      </w:tr>
    </w:tbl>
    <w:p>
      <w:pPr>
        <w:spacing w:after="160"/>
      </w:pP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1"/>
        </w:numPr>
        <w:spacing w:after="90"/>
      </w:pPr>
      <w:r>
        <w:rPr>
          <w:rFonts w:ascii="IBM Plex Sans" w:cs="IBM Plex Sans" w:eastAsia="IBM Plex Sans" w:hAnsi="IBM Plex Sans"/>
          <w:color w:val="334155"/>
          <w:sz w:val="21"/>
          <w:szCs w:val="21"/>
        </w:rPr>
        <w:t xml:space="preserve">Kelengkapan dokumentasi rekam medis pada kasus mediko-legal potensial: target 100%.</w:t>
      </w:r>
    </w:p>
    <w:p>
      <w:pPr>
        <w:pStyle w:val="ListParagraph"/>
        <w:numPr>
          <w:ilvl w:val="0"/>
          <w:numId w:val="1"/>
        </w:numPr>
        <w:spacing w:after="90"/>
      </w:pPr>
      <w:r>
        <w:rPr>
          <w:rFonts w:ascii="IBM Plex Sans" w:cs="IBM Plex Sans" w:eastAsia="IBM Plex Sans" w:hAnsi="IBM Plex Sans"/>
          <w:color w:val="334155"/>
          <w:sz w:val="21"/>
          <w:szCs w:val="21"/>
        </w:rPr>
        <w:t xml:space="preserve">Waktu aktivasi jalur pelaporan internal (tim etik/mediko-legal) sejak kasus teridentifikasi (data rujuk laporan/registri resmi terbaru, mis. standar operasional rumah sakit setempat).</w:t>
      </w:r>
    </w:p>
    <w:p>
      <w:pPr>
        <w:pStyle w:val="ListParagraph"/>
        <w:numPr>
          <w:ilvl w:val="0"/>
          <w:numId w:val="1"/>
        </w:numPr>
        <w:spacing w:after="90"/>
      </w:pPr>
      <w:r>
        <w:rPr>
          <w:rFonts w:ascii="IBM Plex Sans" w:cs="IBM Plex Sans" w:eastAsia="IBM Plex Sans" w:hAnsi="IBM Plex Sans"/>
          <w:color w:val="334155"/>
          <w:sz w:val="21"/>
          <w:szCs w:val="21"/>
        </w:rPr>
        <w:t xml:space="preserve">Proporsi kasus dengan persetujuan tindakan tertulis lengkap dan sesuai tindakan yang dilakukan: target 100%.</w:t>
      </w:r>
    </w:p>
    <w:p>
      <w:pPr>
        <w:pStyle w:val="ListParagraph"/>
        <w:numPr>
          <w:ilvl w:val="0"/>
          <w:numId w:val="1"/>
        </w:numPr>
        <w:spacing w:after="90"/>
      </w:pPr>
      <w:r>
        <w:rPr>
          <w:rFonts w:ascii="IBM Plex Sans" w:cs="IBM Plex Sans" w:eastAsia="IBM Plex Sans" w:hAnsi="IBM Plex Sans"/>
          <w:color w:val="334155"/>
          <w:sz w:val="21"/>
          <w:szCs w:val="21"/>
        </w:rPr>
        <w:t xml:space="preserve">Proporsi kasus kekerasan berbasis gender yang dirujuk ke layanan pendampingan (unit pelayanan terpadu, psikolog, atau pekerja sosial): target 100% dari kasus teridentifikasi.</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kasus mediko-legal potensial sebagai penanda administratif-klinis (Z04.8/QA04.7) yang mewajibkan dokumentasi dan jalur rujukan internal fasilitas kesehatan, tanpa merinci prosedur forensik teknis yang diatur terpisah oleh regulasi kedokteran forensik dan hukum acara pidana nasional.</w:t>
      </w:r>
    </w:p>
    <w:p>
      <w:pPr>
        <w:pStyle w:val="ListParagraph"/>
        <w:numPr>
          <w:ilvl w:val="0"/>
          <w:numId w:val="1"/>
        </w:numPr>
        <w:spacing w:after="90"/>
      </w:pPr>
      <w:r>
        <w:rPr>
          <w:rFonts w:ascii="IBM Plex Sans" w:cs="IBM Plex Sans" w:eastAsia="IBM Plex Sans" w:hAnsi="IBM Plex Sans"/>
          <w:color w:val="334155"/>
          <w:sz w:val="21"/>
          <w:szCs w:val="21"/>
        </w:rPr>
        <w:t xml:space="preserve">WHO — pedoman Responding to Intimate Partner Violence and Sexual Violence Against Women (WHO Clinical and Policy Guidelines, 2013) merekomendasikan pendekatan trauma-informed care dan persetujuan bertahap pada setiap langkah pemeriksaan korban kekerasan; standar nasional sejalan pada prinsip pendampingan, dengan pelaksanaan teknis mengikuti unit pelayanan terpadu setempat. Pedoman ini tengah direvisi oleh Guideline Development Group WHO sejak akhir 2024, sehingga versi 2013 tetap menjadi acuan resmi hingga edisi pembaruan diterbitkan.</w:t>
      </w:r>
    </w:p>
    <w:p>
      <w:pPr>
        <w:pStyle w:val="ListParagraph"/>
        <w:numPr>
          <w:ilvl w:val="0"/>
          <w:numId w:val="1"/>
        </w:numPr>
        <w:spacing w:after="90"/>
      </w:pPr>
      <w:r>
        <w:rPr>
          <w:rFonts w:ascii="IBM Plex Sans" w:cs="IBM Plex Sans" w:eastAsia="IBM Plex Sans" w:hAnsi="IBM Plex Sans"/>
          <w:color w:val="334155"/>
          <w:sz w:val="21"/>
          <w:szCs w:val="21"/>
        </w:rPr>
        <w:t xml:space="preserve">ACOG (American College of Obstetricians and Gynecologists) — Committee Opinion No. 681, Disclosure and Discussion of Adverse Events (2016, ditinjau ulang 2019), merekomendasikan disclosure dini kepada pasien setelah kejadian tidak diharapkan, dilakukan oleh dokter penanggung jawab dalam suasana rahasia; praktik di Indonesia mengikuti standar nasional yang menekankan jalur etik-medikolegal fasilitas sebagai wadah komunikasi tersebut, dengan semangat keterbukaan yang sejalan.</w:t>
      </w:r>
    </w:p>
    <w:p>
      <w:pPr>
        <w:pStyle w:val="ListParagraph"/>
        <w:numPr>
          <w:ilvl w:val="0"/>
          <w:numId w:val="1"/>
        </w:numPr>
        <w:spacing w:after="90"/>
      </w:pPr>
      <w:r>
        <w:rPr>
          <w:rFonts w:ascii="IBM Plex Sans" w:cs="IBM Plex Sans" w:eastAsia="IBM Plex Sans" w:hAnsi="IBM Plex Sans"/>
          <w:color w:val="334155"/>
          <w:sz w:val="21"/>
          <w:szCs w:val="21"/>
        </w:rPr>
        <w:t xml:space="preserve">NHS England (Inggris) — Patient Safety Incident Response Framework (PSIRF, 2022) menempatkan audit insiden klinis sebagai proses pembelajaran sistem yang proporsional, bukan proses pencarian kesalahan individu, berdampingan dengan kewajiban keterbukaan statutori (statutory duty of candour) berdasarkan Regulation 20, Health and Social Care Act 2008 (Regulated Activities) Regulations 2014; standar nasional mengikuti semangat serupa melalui Komite Keselamatan Pasien rumah sakit, meski belum diformalkan sebagai kewajiban statutori terpisah dari akreditasi.</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13. Kepustakaan</w:t>
      </w:r>
    </w:p>
    <w:p>
      <w:pPr>
        <w:pStyle w:val="ListParagraph"/>
        <w:numPr>
          <w:ilvl w:val="0"/>
          <w:numId w:val="2"/>
        </w:numPr>
        <w:spacing w:after="9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KKI; 2026.</w:t>
      </w:r>
    </w:p>
    <w:p>
      <w:pPr>
        <w:pStyle w:val="ListParagraph"/>
        <w:numPr>
          <w:ilvl w:val="0"/>
          <w:numId w:val="2"/>
        </w:numPr>
        <w:spacing w:after="90"/>
      </w:pPr>
      <w:r>
        <w:rPr>
          <w:rFonts w:ascii="IBM Plex Sans" w:cs="IBM Plex Sans" w:eastAsia="IBM Plex Sans" w:hAnsi="IBM Plex Sans"/>
          <w:color w:val="334155"/>
          <w:sz w:val="21"/>
          <w:szCs w:val="21"/>
        </w:rPr>
        <w:t xml:space="preserve">Republik Indonesia. Undang-Undang Nomor 17 Tahun 2023 tentang Kesehatan. Lembaran Negara Republik Indonesia Tahun 2023 Nomor 105.</w:t>
      </w:r>
    </w:p>
    <w:p>
      <w:pPr>
        <w:pStyle w:val="ListParagraph"/>
        <w:numPr>
          <w:ilvl w:val="0"/>
          <w:numId w:val="2"/>
        </w:numPr>
        <w:spacing w:after="90"/>
      </w:pPr>
      <w:r>
        <w:rPr>
          <w:rFonts w:ascii="IBM Plex Sans" w:cs="IBM Plex Sans" w:eastAsia="IBM Plex Sans" w:hAnsi="IBM Plex Sans"/>
          <w:color w:val="334155"/>
          <w:sz w:val="21"/>
          <w:szCs w:val="21"/>
        </w:rPr>
        <w:t xml:space="preserve">Kementerian Kesehatan Republik Indonesia. Peraturan Menteri Kesehatan Nomor 24 Tahun 2022 tentang Rekam Medis. Berita Negara Republik Indonesia Tahun 2022 Nomor 829.</w:t>
      </w:r>
    </w:p>
    <w:p>
      <w:pPr>
        <w:pStyle w:val="ListParagraph"/>
        <w:numPr>
          <w:ilvl w:val="0"/>
          <w:numId w:val="2"/>
        </w:numPr>
        <w:spacing w:after="90"/>
      </w:pPr>
      <w:r>
        <w:rPr>
          <w:rFonts w:ascii="IBM Plex Sans" w:cs="IBM Plex Sans" w:eastAsia="IBM Plex Sans" w:hAnsi="IBM Plex Sans"/>
          <w:color w:val="334155"/>
          <w:sz w:val="21"/>
          <w:szCs w:val="21"/>
        </w:rPr>
        <w:t xml:space="preserve">Republik Indonesia. Undang-Undang Nomor 12 Tahun 2022 tentang Tindak Pidana Kekerasan Seksual. Lembaran Negara Republik Indonesia Tahun 2022 Nomor 120.</w:t>
      </w:r>
    </w:p>
    <w:p>
      <w:pPr>
        <w:pStyle w:val="ListParagraph"/>
        <w:numPr>
          <w:ilvl w:val="0"/>
          <w:numId w:val="2"/>
        </w:numPr>
        <w:spacing w:after="90"/>
      </w:pPr>
      <w:r>
        <w:rPr>
          <w:rFonts w:ascii="IBM Plex Sans" w:cs="IBM Plex Sans" w:eastAsia="IBM Plex Sans" w:hAnsi="IBM Plex Sans"/>
          <w:color w:val="334155"/>
          <w:sz w:val="21"/>
          <w:szCs w:val="21"/>
        </w:rPr>
        <w:t xml:space="preserve">Republik Indonesia. Undang-Undang Nomor 1 Tahun 2023 tentang Kitab Undang-Undang Hukum Pidana; dan Undang-Undang Nomor 20 Tahun 2025 tentang Kitab Undang-Undang Hukum Acara Pidana, berlaku sejak 2 Januari 2026.</w:t>
      </w:r>
    </w:p>
    <w:p>
      <w:pPr>
        <w:pStyle w:val="ListParagraph"/>
        <w:numPr>
          <w:ilvl w:val="0"/>
          <w:numId w:val="2"/>
        </w:numPr>
        <w:spacing w:after="90"/>
      </w:pPr>
      <w:r>
        <w:rPr>
          <w:rFonts w:ascii="IBM Plex Sans" w:cs="IBM Plex Sans" w:eastAsia="IBM Plex Sans" w:hAnsi="IBM Plex Sans"/>
          <w:color w:val="334155"/>
          <w:sz w:val="21"/>
          <w:szCs w:val="21"/>
        </w:rPr>
        <w:t xml:space="preserve">Republik Indonesia. Undang-Undang Nomor 35 Tahun 2014 tentang Perubahan atas Undang-Undang Nomor 23 Tahun 2002 tentang Perlindungan Anak, sebagaimana diubah dengan Undang-Undang Nomor 17 Tahun 2016.</w:t>
      </w:r>
    </w:p>
    <w:p>
      <w:pPr>
        <w:pStyle w:val="ListParagraph"/>
        <w:numPr>
          <w:ilvl w:val="0"/>
          <w:numId w:val="2"/>
        </w:numPr>
        <w:spacing w:after="90"/>
      </w:pPr>
      <w:r>
        <w:rPr>
          <w:rFonts w:ascii="IBM Plex Sans" w:cs="IBM Plex Sans" w:eastAsia="IBM Plex Sans" w:hAnsi="IBM Plex Sans"/>
          <w:color w:val="334155"/>
          <w:sz w:val="21"/>
          <w:szCs w:val="21"/>
        </w:rPr>
        <w:t xml:space="preserve">World Health Organization. Responding to Intimate Partner Violence and Sexual Violence Against Women: WHO Clinical and Policy Guidelines. Geneva: WHO; 2013. Tersedia pada: who.int/publications/i/item/9789241548595</w:t>
      </w:r>
    </w:p>
    <w:p>
      <w:pPr>
        <w:pStyle w:val="ListParagraph"/>
        <w:numPr>
          <w:ilvl w:val="0"/>
          <w:numId w:val="2"/>
        </w:numPr>
        <w:spacing w:after="90"/>
      </w:pPr>
      <w:r>
        <w:rPr>
          <w:rFonts w:ascii="IBM Plex Sans" w:cs="IBM Plex Sans" w:eastAsia="IBM Plex Sans" w:hAnsi="IBM Plex Sans"/>
          <w:color w:val="334155"/>
          <w:sz w:val="21"/>
          <w:szCs w:val="21"/>
        </w:rPr>
        <w:t xml:space="preserve">American College of Obstetricians and Gynecologists. Committee Opinion No. 681: Disclosure and Discussion of Adverse Events. Obstetrics &amp; Gynecology. 2016;128(6):e1–e5.</w:t>
      </w:r>
    </w:p>
    <w:p>
      <w:pPr>
        <w:pStyle w:val="ListParagraph"/>
        <w:numPr>
          <w:ilvl w:val="0"/>
          <w:numId w:val="2"/>
        </w:numPr>
        <w:spacing w:after="90"/>
      </w:pPr>
      <w:r>
        <w:rPr>
          <w:rFonts w:ascii="IBM Plex Sans" w:cs="IBM Plex Sans" w:eastAsia="IBM Plex Sans" w:hAnsi="IBM Plex Sans"/>
          <w:color w:val="334155"/>
          <w:sz w:val="21"/>
          <w:szCs w:val="21"/>
        </w:rPr>
        <w:t xml:space="preserve">NHS England. Patient Safety Incident Response Framework. London: NHS England; 2022. Tersedia pada: england.nhs.uk/patient-safety/patient-safety-insight/incident-response-framework</w:t>
      </w:r>
    </w:p>
    <w:p>
      <w:pPr>
        <w:pStyle w:val="ListParagraph"/>
        <w:numPr>
          <w:ilvl w:val="0"/>
          <w:numId w:val="2"/>
        </w:numPr>
        <w:spacing w:after="90"/>
      </w:pPr>
      <w:r>
        <w:rPr>
          <w:rFonts w:ascii="IBM Plex Sans" w:cs="IBM Plex Sans" w:eastAsia="IBM Plex Sans" w:hAnsi="IBM Plex Sans"/>
          <w:color w:val="334155"/>
          <w:sz w:val="21"/>
          <w:szCs w:val="21"/>
        </w:rPr>
        <w:t xml:space="preserve">General Medical Council. Decision Making and Consent. London: GMC; berlaku sejak 2020, diperbarui Agustus 2026. Tersedia pada: gmc-uk.org/professional-standards/the-professional-standards/decision-making-and-consent</w:t>
      </w:r>
    </w:p>
    <w:p>
      <w:pPr>
        <w:pStyle w:val="ListParagraph"/>
        <w:numPr>
          <w:ilvl w:val="0"/>
          <w:numId w:val="2"/>
        </w:numPr>
        <w:spacing w:after="90"/>
      </w:pPr>
      <w:r>
        <w:rPr>
          <w:rFonts w:ascii="IBM Plex Sans" w:cs="IBM Plex Sans" w:eastAsia="IBM Plex Sans" w:hAnsi="IBM Plex Sans"/>
          <w:color w:val="334155"/>
          <w:sz w:val="21"/>
          <w:szCs w:val="21"/>
        </w:rPr>
        <w:t xml:space="preserve">World Health Organization. International Classification of Diseases, 11th Revision (ICD-11). Geneva: WHO.</w:t>
      </w:r>
    </w:p>
    <w:p>
      <w:pPr>
        <w:pStyle w:val="Heading1"/>
        <w:pBdr>
          <w:bottom w:val="single" w:color="4F46E5" w:sz="6" w:space="4"/>
        </w:pBdr>
        <w:spacing w:after="140" w:before="320"/>
      </w:pPr>
      <w:r>
        <w:rPr>
          <w:rFonts w:ascii="Source Serif 4" w:cs="Source Serif 4" w:eastAsia="Source Serif 4" w:hAnsi="Source Serif 4"/>
          <w:b/>
          <w:bCs/>
          <w:color w:val="4F46E5"/>
          <w:sz w:val="28"/>
          <w:szCs w:val="28"/>
        </w:rPr>
        <w:t xml:space="preserve">Glosarium</w:t>
      </w:r>
    </w:p>
    <w:p>
      <w:pPr>
        <w:spacing w:after="160" w:line="276"/>
      </w:pPr>
      <w:r>
        <w:rPr>
          <w:rFonts w:ascii="IBM Plex Sans" w:cs="IBM Plex Sans" w:eastAsia="IBM Plex Sans" w:hAnsi="IBM Plex Sans"/>
          <w:color w:val="334155"/>
          <w:sz w:val="21"/>
          <w:szCs w:val="21"/>
        </w:rPr>
        <w:t xml:space="preserve">Daftar istilah berikut disusun untuk membantu pembaca memahami terminologi klinis, hukum, dan administratif yang digunakan dalam PPK ini.</w:t>
      </w:r>
    </w:p>
    <w:p>
      <w:pPr>
        <w:pStyle w:val="ListParagraph"/>
        <w:numPr>
          <w:ilvl w:val="0"/>
          <w:numId w:val="1"/>
        </w:numPr>
        <w:spacing w:after="90"/>
      </w:pPr>
      <w:r>
        <w:rPr>
          <w:rFonts w:ascii="IBM Plex Sans" w:cs="IBM Plex Sans" w:eastAsia="IBM Plex Sans" w:hAnsi="IBM Plex Sans"/>
          <w:color w:val="334155"/>
          <w:sz w:val="21"/>
          <w:szCs w:val="21"/>
        </w:rPr>
        <w:t xml:space="preserve">Chain of custody (rantai bukti) — rangkaian dokumentasi berurutan yang mencatat setiap perpindahan tangan suatu barang bukti, dari saat pengambilan hingga digunakan dalam proses hukum, untuk menjamin keaslian dan keutuhannya.</w:t>
      </w:r>
    </w:p>
    <w:p>
      <w:pPr>
        <w:pStyle w:val="ListParagraph"/>
        <w:numPr>
          <w:ilvl w:val="0"/>
          <w:numId w:val="1"/>
        </w:numPr>
        <w:spacing w:after="90"/>
      </w:pPr>
      <w:r>
        <w:rPr>
          <w:rFonts w:ascii="IBM Plex Sans" w:cs="IBM Plex Sans" w:eastAsia="IBM Plex Sans" w:hAnsi="IBM Plex Sans"/>
          <w:color w:val="334155"/>
          <w:sz w:val="21"/>
          <w:szCs w:val="21"/>
        </w:rPr>
        <w:t xml:space="preserve">Duty of candour — kewajiban etik dan/atau statutori tenaga kesehatan atau fasilitas pelayanan kesehatan untuk terbuka dan jujur kepada pasien ketika terjadi insiden yang merugikan dalam pelayanan.</w:t>
      </w:r>
    </w:p>
    <w:p>
      <w:pPr>
        <w:pStyle w:val="ListParagraph"/>
        <w:numPr>
          <w:ilvl w:val="0"/>
          <w:numId w:val="1"/>
        </w:numPr>
        <w:spacing w:after="90"/>
      </w:pPr>
      <w:r>
        <w:rPr>
          <w:rFonts w:ascii="IBM Plex Sans" w:cs="IBM Plex Sans" w:eastAsia="IBM Plex Sans" w:hAnsi="IBM Plex Sans"/>
          <w:color w:val="334155"/>
          <w:sz w:val="21"/>
          <w:szCs w:val="21"/>
        </w:rPr>
        <w:t xml:space="preserve">Informed consent (persetujuan tindakan) — persetujuan yang diberikan pasien setelah menerima penjelasan memadai mengenai kondisi, tujuan, risiko, manfaat, dan alternatif suatu tindakan medis.</w:t>
      </w:r>
    </w:p>
    <w:p>
      <w:pPr>
        <w:pStyle w:val="ListParagraph"/>
        <w:numPr>
          <w:ilvl w:val="0"/>
          <w:numId w:val="1"/>
        </w:numPr>
        <w:spacing w:after="90"/>
      </w:pPr>
      <w:r>
        <w:rPr>
          <w:rFonts w:ascii="IBM Plex Sans" w:cs="IBM Plex Sans" w:eastAsia="IBM Plex Sans" w:hAnsi="IBM Plex Sans"/>
          <w:color w:val="334155"/>
          <w:sz w:val="21"/>
          <w:szCs w:val="21"/>
        </w:rPr>
        <w:t xml:space="preserve">Kasus mediko-legal potensial — situasi klinis yang berpotensi berlanjut menjadi proses hukum, pengaduan etik, atau pemeriksaan forensik, terlepas dari ada-tidaknya kesalahan medis.</w:t>
      </w:r>
    </w:p>
    <w:p>
      <w:pPr>
        <w:pStyle w:val="ListParagraph"/>
        <w:numPr>
          <w:ilvl w:val="0"/>
          <w:numId w:val="1"/>
        </w:numPr>
        <w:spacing w:after="90"/>
      </w:pPr>
      <w:r>
        <w:rPr>
          <w:rFonts w:ascii="IBM Plex Sans" w:cs="IBM Plex Sans" w:eastAsia="IBM Plex Sans" w:hAnsi="IBM Plex Sans"/>
          <w:color w:val="334155"/>
          <w:sz w:val="21"/>
          <w:szCs w:val="21"/>
        </w:rPr>
        <w:t xml:space="preserve">Kekerasan berbasis gender — segala bentuk kekerasan yang diarahkan kepada seseorang berdasarkan jenis kelamin atau gendernya, termasuk kekerasan seksual dan kekerasan dalam rumah tangga.</w:t>
      </w:r>
    </w:p>
    <w:p>
      <w:pPr>
        <w:pStyle w:val="ListParagraph"/>
        <w:numPr>
          <w:ilvl w:val="0"/>
          <w:numId w:val="1"/>
        </w:numPr>
        <w:spacing w:after="90"/>
      </w:pPr>
      <w:r>
        <w:rPr>
          <w:rFonts w:ascii="IBM Plex Sans" w:cs="IBM Plex Sans" w:eastAsia="IBM Plex Sans" w:hAnsi="IBM Plex Sans"/>
          <w:color w:val="334155"/>
          <w:sz w:val="21"/>
          <w:szCs w:val="21"/>
        </w:rPr>
        <w:t xml:space="preserve">Trauma-informed care — pendekatan pelayanan yang mempertimbangkan dampak trauma pada pasien, dengan prioritas pada rasa aman, kepercayaan, dan pemulihan kendali pasien atas prosesnya sendiri.</w:t>
      </w:r>
    </w:p>
    <w:p>
      <w:pPr>
        <w:pStyle w:val="ListParagraph"/>
        <w:numPr>
          <w:ilvl w:val="0"/>
          <w:numId w:val="1"/>
        </w:numPr>
        <w:spacing w:after="90"/>
      </w:pPr>
      <w:r>
        <w:rPr>
          <w:rFonts w:ascii="IBM Plex Sans" w:cs="IBM Plex Sans" w:eastAsia="IBM Plex Sans" w:hAnsi="IBM Plex Sans"/>
          <w:color w:val="334155"/>
          <w:sz w:val="21"/>
          <w:szCs w:val="21"/>
        </w:rPr>
        <w:t xml:space="preserve">Unit Pelayanan Terpadu (UPT) — layanan terintegrasi di fasilitas kesehatan atau kepolisian yang menangani korban kekerasan secara lintas sektor, mencakup layanan medis, psikologis, hukum, dan sosial.</w:t>
      </w:r>
    </w:p>
    <w:p>
      <w:pPr>
        <w:pStyle w:val="ListParagraph"/>
        <w:numPr>
          <w:ilvl w:val="0"/>
          <w:numId w:val="1"/>
        </w:numPr>
        <w:spacing w:after="90"/>
      </w:pPr>
      <w:r>
        <w:rPr>
          <w:rFonts w:ascii="IBM Plex Sans" w:cs="IBM Plex Sans" w:eastAsia="IBM Plex Sans" w:hAnsi="IBM Plex Sans"/>
          <w:color w:val="334155"/>
          <w:sz w:val="21"/>
          <w:szCs w:val="21"/>
        </w:rPr>
        <w:t xml:space="preserve">Visum et repertum — keterangan tertulis yang dibuat dokter atas permintaan penyidik yang berwenang, berdasarkan sumpah jabatan, mengenai apa yang dilihat dan ditemukan pada pemeriksaan barang bukti untuk kepentingan peradilan.</w:t>
      </w:r>
    </w:p>
    <w:sectPr>
      <w:headerReference w:type="default" r:id="rId7"/>
      <w:footerReference w:type="default" r:id="rId8"/>
      <w:type w:val="continuous"/>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Dokumen 67 dari 73 (PPK)  •  Sebelumnya: No.66 Penyakit Trofoblas Ganas Risiko Rendah  •  Berikutnya: No.68 Pendekatan Holistik  •  Hal. </w:t>
    </w:r>
    <w:r>
      <w:rPr>
        <w:rFonts w:ascii="IBM Plex Mono" w:cs="IBM Plex Mono" w:eastAsia="IBM Plex Mono" w:hAnsi="IBM Plex Mono"/>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Mono" w:cs="IBM Plex Mono" w:eastAsia="IBM Plex Mono" w:hAnsi="IBM Plex Mono"/>
        <w:color w:val="64748B"/>
        <w:sz w:val="16"/>
        <w:szCs w:val="16"/>
      </w:rPr>
      <w:t xml:space="preserve">PPK-067 — Kasus Mediko-Legal Potensial</w:t>
    </w:r>
    <w:r>
      <w:rPr>
        <w:rFonts w:ascii="IBM Plex Mono" w:cs="IBM Plex Mono" w:eastAsia="IBM Plex Mono" w:hAnsi="IBM Plex Mono"/>
        <w:color w:val="64748B"/>
        <w:sz w:val="16"/>
        <w:szCs w:val="16"/>
      </w:rPr>
      <w:t xml:space="preserve">	Ekosistem Literatur Standar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PPK-067 — Kasus Mediko-Legal Potensial</dc:title>
  <dc:creator>Ekosistem Literatur Standar SpOG</dc:creator>
  <cp:lastModifiedBy>Un-named</cp:lastModifiedBy>
  <cp:revision>1</cp:revision>
  <dcterms:created xsi:type="dcterms:W3CDTF">2026-08-18T05:12:35.318Z</dcterms:created>
  <dcterms:modified xsi:type="dcterms:W3CDTF">2026-08-18T05:12:35.332Z</dcterms:modified>
</cp:coreProperties>
</file>

<file path=docProps/custom.xml><?xml version="1.0" encoding="utf-8"?>
<Properties xmlns="http://schemas.openxmlformats.org/officeDocument/2006/custom-properties" xmlns:vt="http://schemas.openxmlformats.org/officeDocument/2006/docPropsVTypes"/>
</file>