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jc w:val="center"/>
      </w:pPr>
      <w:r>
        <w:rPr>
          <w:rFonts w:ascii="IBM Plex Mono" w:cs="IBM Plex Mono" w:eastAsia="IBM Plex Mono" w:hAnsi="IBM Plex Mono"/>
          <w:b/>
          <w:bCs/>
          <w:color w:val="B45309"/>
          <w:sz w:val="20"/>
          <w:szCs w:val="20"/>
        </w:rPr>
        <w:t xml:space="preserve">PERPUSTAKAAN DIGITAL ABBA</w:t>
      </w:r>
    </w:p>
    <w:p>
      <w:pPr>
        <w:spacing w:after="400"/>
        <w:jc w:val="center"/>
      </w:pPr>
      <w:r>
        <w:rPr>
          <w:rFonts w:ascii="IBM Plex Sans" w:cs="IBM Plex Sans" w:eastAsia="IBM Plex Sans" w:hAnsi="IBM Plex Sans"/>
          <w:color w:val="334155"/>
          <w:sz w:val="20"/>
          <w:szCs w:val="20"/>
        </w:rPr>
        <w:t xml:space="preserve">Ekosistem Literatur Standar SpOG — Panduan Praktik Klinis (PPK)</w:t>
      </w:r>
    </w:p>
    <w:p>
      <w:pPr>
        <w:spacing w:after="200"/>
        <w:jc w:val="center"/>
      </w:pPr>
      <w:r>
        <w:rPr>
          <w:rFonts w:ascii="IBM Plex Mono" w:cs="IBM Plex Mono" w:eastAsia="IBM Plex Mono" w:hAnsi="IBM Plex Mono"/>
          <w:b/>
          <w:bCs/>
          <w:color w:val="4F46E5"/>
          <w:sz w:val="24"/>
          <w:szCs w:val="24"/>
        </w:rPr>
        <w:t xml:space="preserve">PPK-069</w:t>
      </w:r>
    </w:p>
    <w:p>
      <w:pPr>
        <w:spacing w:after="100"/>
        <w:jc w:val="center"/>
      </w:pPr>
      <w:r>
        <w:rPr>
          <w:rFonts w:ascii="Source Serif 4" w:cs="Source Serif 4" w:eastAsia="Source Serif 4" w:hAnsi="Source Serif 4"/>
          <w:b/>
          <w:bCs/>
          <w:color w:val="4F46E5"/>
          <w:sz w:val="44"/>
          <w:szCs w:val="44"/>
        </w:rPr>
        <w:t xml:space="preserve">Kehamilan Remaja</w:t>
      </w:r>
    </w:p>
    <w:p>
      <w:pPr>
        <w:spacing w:after="300"/>
        <w:jc w:val="center"/>
      </w:pPr>
      <w:r>
        <w:rPr>
          <w:rFonts w:ascii="Source Serif 4" w:cs="Source Serif 4" w:eastAsia="Source Serif 4" w:hAnsi="Source Serif 4"/>
          <w:i/>
          <w:iCs/>
          <w:color w:val="334155"/>
          <w:sz w:val="28"/>
          <w:szCs w:val="28"/>
        </w:rPr>
        <w:t xml:space="preserve">Teenage Pregnancy</w:t>
      </w:r>
    </w:p>
    <w:p>
      <w:pPr>
        <w:spacing w:after="80"/>
        <w:jc w:val="center"/>
      </w:pPr>
      <w:r>
        <w:rPr>
          <w:rFonts w:ascii="IBM Plex Mono" w:cs="IBM Plex Mono" w:eastAsia="IBM Plex Mono" w:hAnsi="IBM Plex Mono"/>
          <w:color w:val="B45309"/>
          <w:sz w:val="20"/>
          <w:szCs w:val="20"/>
        </w:rPr>
        <w:t xml:space="preserve">ICD-10 Z35.6   |   ICD-11 QA43.5</w:t>
      </w:r>
    </w:p>
    <w:p>
      <w:pPr>
        <w:spacing w:after="40"/>
        <w:jc w:val="center"/>
      </w:pPr>
      <w:r>
        <w:rPr>
          <w:rFonts w:ascii="IBM Plex Sans" w:cs="IBM Plex Sans" w:eastAsia="IBM Plex Sans" w:hAnsi="IBM Plex Sans"/>
          <w:color w:val="334155"/>
          <w:sz w:val="20"/>
          <w:szCs w:val="20"/>
        </w:rPr>
        <w:t xml:space="preserve">Divisi Pengampu: Fetomaternal</w:t>
      </w:r>
    </w:p>
    <w:p>
      <w:pPr>
        <w:spacing w:after="500"/>
        <w:jc w:val="center"/>
      </w:pPr>
      <w:r>
        <w:rPr>
          <w:rFonts w:ascii="IBM Plex Sans" w:cs="IBM Plex Sans" w:eastAsia="IBM Plex Sans" w:hAnsi="IBM Plex Sans"/>
          <w:color w:val="334155"/>
          <w:sz w:val="20"/>
          <w:szCs w:val="20"/>
        </w:rPr>
        <w:t xml:space="preserve">Dokumen 69 dari 73 (PPK)</w:t>
      </w:r>
    </w:p>
    <w:p>
      <w:pPr>
        <w:spacing w:after="40" w:before="900"/>
        <w:jc w:val="center"/>
      </w:pPr>
      <w:r>
        <w:rPr>
          <w:rFonts w:ascii="IBM Plex Sans" w:cs="IBM Plex Sans" w:eastAsia="IBM Plex Sans" w:hAnsi="IBM Plex Sans"/>
          <w:b/>
          <w:bCs/>
          <w:color w:val="334155"/>
          <w:sz w:val="19"/>
          <w:szCs w:val="19"/>
        </w:rPr>
        <w:t xml:space="preserve">Dr.dr. Budi Siswanto, Sp.OG., Subsp.Obginsos., SH., S.Kom.</w:t>
      </w:r>
    </w:p>
    <w:p>
      <w:pPr>
        <w:spacing w:after="20"/>
        <w:jc w:val="center"/>
      </w:pPr>
      <w:r>
        <w:rPr>
          <w:rFonts w:ascii="IBM Plex Sans" w:cs="IBM Plex Sans" w:eastAsia="IBM Plex Sans" w:hAnsi="IBM Plex Sans"/>
          <w:color w:val="334155"/>
          <w:sz w:val="18"/>
          <w:szCs w:val="18"/>
        </w:rPr>
        <w:t xml:space="preserve">Perpustakaan Digital ABBA</w:t>
      </w:r>
    </w:p>
    <w:p>
      <w:pPr>
        <w:jc w:val="center"/>
      </w:pPr>
      <w:r>
        <w:rPr>
          <w:rFonts w:ascii="IBM Plex Sans" w:cs="IBM Plex Sans" w:eastAsia="IBM Plex Sans" w:hAnsi="IBM Plex Sans"/>
          <w:color w:val="334155"/>
          <w:sz w:val="18"/>
          <w:szCs w:val="18"/>
        </w:rPr>
        <w:t xml:space="preserve">Jl Kerinci Raya No 9, Malang 65138</w:t>
      </w:r>
    </w:p>
    <w:p>
      <w:r>
        <w:br w:type="page"/>
      </w:r>
    </w:p>
    <w:p>
      <w:pPr>
        <w:spacing w:after="160" w:before="100"/>
      </w:pPr>
      <w:r>
        <w:rPr>
          <w:rFonts w:ascii="IBM Plex Mono" w:cs="IBM Plex Mono" w:eastAsia="IBM Plex Mono" w:hAnsi="IBM Plex Mono"/>
          <w:b/>
          <w:bCs/>
          <w:color w:val="B45309"/>
          <w:sz w:val="20"/>
          <w:szCs w:val="20"/>
        </w:rPr>
        <w:t xml:space="preserve">RINGKASAN DOKUMEN</w:t>
      </w:r>
    </w:p>
    <w:p>
      <w:pPr>
        <w:spacing w:after="160" w:line="300"/>
      </w:pPr>
      <w:r>
        <w:rPr>
          <w:rFonts w:ascii="IBM Plex Sans" w:cs="IBM Plex Sans" w:eastAsia="IBM Plex Sans" w:hAnsi="IBM Plex Sans"/>
          <w:color w:val="334155"/>
          <w:sz w:val="22"/>
          <w:szCs w:val="22"/>
        </w:rPr>
        <w:t xml:space="preserve">Panduan Praktik Klinis (PPK) tata laksana kehamilan pada perempuan usia remaja (di bawah 20 tahun), mencakup skrining risiko biomedis dan psikososial, asuhan antenatal terjadwal-lebih-ketat, deteksi dini komplikasi obstetri yang meningkat pada populasi ini, serta jalur rujukan ke subspesialis Fetomaternal dan divisi Obstetri Ginekologi Sosial.</w:t>
      </w:r>
    </w:p>
    <w:p>
      <w:pPr>
        <w:spacing w:after="160" w:line="300"/>
      </w:pPr>
      <w:r>
        <w:rPr>
          <w:rFonts w:ascii="IBM Plex Sans" w:cs="IBM Plex Sans" w:eastAsia="IBM Plex Sans" w:hAnsi="IBM Plex Sans"/>
          <w:color w:val="334155"/>
          <w:sz w:val="22"/>
          <w:szCs w:val="22"/>
        </w:rPr>
        <w:t xml:space="preserve">Unit analisis PPK ini adalah satu pasien remaja hamil dalam satu episode layanan antenatal atau persalinan, sesuai entri No. 69 Tabel 7 Kepkonsil.</w:t>
      </w:r>
    </w:p>
    <w:p>
      <w:pPr>
        <w:spacing w:after="160" w:line="300"/>
      </w:pPr>
      <w:r>
        <w:rPr>
          <w:rFonts w:ascii="IBM Plex Sans" w:cs="IBM Plex Sans" w:eastAsia="IBM Plex Sans" w:hAnsi="IBM Plex Sans"/>
          <w:color w:val="334155"/>
          <w:sz w:val="22"/>
          <w:szCs w:val="22"/>
        </w:rPr>
        <w:t xml:space="preserve">Panduan disusun dengan prinsip asuhan berpusat-pada-pasien yang mempertimbangkan kematangan fisiologis, status pendidikan, dan konteks psikososial yang khas pada kehamilan usia remaja, tanpa mengurangi kelengkapan standar asuhan obstetri yang berlaku umum.</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Mono" w:cs="IBM Plex Mono" w:eastAsia="IBM Plex Mono" w:hAnsi="IBM Plex Mono"/>
                <w:b/>
                <w:bCs/>
                <w:color w:val="4F46E5"/>
                <w:sz w:val="18"/>
                <w:szCs w:val="18"/>
              </w:rPr>
              <w:t xml:space="preserve">DASAR REGULASI</w:t>
            </w:r>
          </w:p>
          <w:p>
            <w:r>
              <w:rPr>
                <w:rFonts w:ascii="IBM Plex Sans" w:cs="IBM Plex Sans" w:eastAsia="IBM Plex Sans" w:hAnsi="IBM Plex Sans"/>
                <w:color w:val="334155"/>
                <w:sz w:val="21"/>
                <w:szCs w:val="21"/>
              </w:rPr>
              <w:t xml:space="preserve">Entri No. 69, Tabel 7 Lampiran Kepkonsil No. HK.01.02/KKI/1318/2026 — "Kehamilan remaja / Teenage pregnancy", ICD-10 Z35.6, ICD-11 QA43.5, Keterangan/Populasi: "Kehamilan pada remaja". PPK ini merupakan turunan operasional dari Bab Populasi Khusus dalam Asuhan Antenatal, Buku Tematik B2 — Obstetri Fisiologis dan Asuhan Antenatal.</w:t>
            </w:r>
          </w:p>
        </w:tc>
      </w:tr>
    </w:tbl>
    <w:p>
      <w:r>
        <w:br w:type="page"/>
      </w:r>
    </w:p>
    <w:p>
      <w:pPr>
        <w:pStyle w:val="Heading1"/>
        <w:spacing w:after="200" w:before="30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2"/>
          <w:szCs w:val="22"/>
        </w:rPr>
        <w:t xml:space="preserve">PPK ini merupakan turunan operasional dari Bab Populasi Khusus dalam Asuhan Antenatal, Buku Tematik B2 — Obstetri Fisiologis dan Asuhan Antenatal, yang mengatur tata laksana kehamilan pada populasi remaja sebagai kelompok berisiko tinggi biomedis dan psikososial.</w:t>
      </w:r>
    </w:p>
    <w:p>
      <w:pPr>
        <w:spacing w:after="160" w:line="300"/>
      </w:pPr>
      <w:r>
        <w:rPr>
          <w:rFonts w:ascii="IBM Plex Sans" w:cs="IBM Plex Sans" w:eastAsia="IBM Plex Sans" w:hAnsi="IBM Plex Sans"/>
          <w:color w:val="334155"/>
          <w:sz w:val="22"/>
          <w:szCs w:val="22"/>
        </w:rPr>
        <w:t xml:space="preserve">Kehamilan remaja (teenage pregnancy) adalah kehamilan yang terjadi pada perempuan berusia di bawah 20 tahun, terhitung sejak hari pertama haid terakhir hingga persalinan. Organisasi Kesehatan Dunia (WHO) mengelompokkan usia remaja (adolescent) sebagai rentang 10-19 tahun, dengan subkelompok remaja awal (10-14 tahun) yang menanggung risiko biomedis dan psikososial jauh lebih besar dibandingkan remaja akhir (15-19 tahun).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60"/>
            </w:pPr>
            <w:r>
              <w:rPr>
                <w:rFonts w:ascii="IBM Plex Mono" w:cs="IBM Plex Mono" w:eastAsia="IBM Plex Mono" w:hAnsi="IBM Plex Mono"/>
                <w:b/>
                <w:bCs/>
                <w:color w:val="4F46E5"/>
                <w:sz w:val="18"/>
                <w:szCs w:val="18"/>
              </w:rPr>
              <w:t xml:space="preserve">DASAR REGULASI</w:t>
            </w:r>
          </w:p>
          <w:p>
            <w:r>
              <w:rPr>
                <w:rFonts w:ascii="IBM Plex Sans" w:cs="IBM Plex Sans" w:eastAsia="IBM Plex Sans" w:hAnsi="IBM Plex Sans"/>
                <w:color w:val="334155"/>
                <w:sz w:val="21"/>
                <w:szCs w:val="21"/>
              </w:rPr>
              <w:t xml:space="preserve">Entri No. 69, Tabel 7 Lampiran Kepkonsil No. HK.01.02/KKI/1318/2026 — "Kehamilan remaja / Teenage pregnancy", ICD-10 Z35.6, ICD-11 QA43.5, Keterangan/Populasi: "Kehamilan pada remaja".</w:t>
            </w:r>
          </w:p>
        </w:tc>
      </w:tr>
    </w:tbl>
    <w:p>
      <w:pPr>
        <w:spacing w:after="160"/>
      </w:pPr>
    </w:p>
    <w:p>
      <w:pPr>
        <w:spacing w:after="160" w:line="300"/>
      </w:pPr>
      <w:r>
        <w:rPr>
          <w:rFonts w:ascii="IBM Plex Sans" w:cs="IBM Plex Sans" w:eastAsia="IBM Plex Sans" w:hAnsi="IBM Plex Sans"/>
          <w:color w:val="334155"/>
          <w:sz w:val="22"/>
          <w:szCs w:val="22"/>
        </w:rPr>
        <w:t xml:space="preserve">Kehamilan pada kelompok usia ini bukan sekadar variasi usia gestasi biasa, melainkan kondisi dengan risiko medis meningkat (anemia, preeklamsia, persalinan preterm, berat bayi lahir rendah/BBLR, disproporsi sefalopelvik akibat panggul belum matur) yang berjalin dengan kerentanan psikososial (putus sekolah, stigma, kekerasan dalam relasi, keterbatasan akses layanan kesehatan reproduksi, dan pada sebagian kasus, kehamilan akibat kekerasan seksual).</w:t>
      </w:r>
    </w:p>
    <w:p>
      <w:pPr>
        <w:spacing w:after="160" w:line="300"/>
      </w:pPr>
      <w:r>
        <w:rPr>
          <w:rFonts w:ascii="IBM Plex Sans" w:cs="IBM Plex Sans" w:eastAsia="IBM Plex Sans" w:hAnsi="IBM Plex Sans"/>
          <w:color w:val="334155"/>
          <w:sz w:val="22"/>
          <w:szCs w:val="22"/>
        </w:rPr>
        <w:t xml:space="preserve">Secara epidemiologis, kehamilan remaja tetap menjadi persoalan kesehatan masyarakat yang signifikan secara global, terutama di negara berpenghasilan rendah dan menengah, dengan konsekuensi kesehatan, sosial, dan ekonomi jangka pendek maupun jangka panjang. Kelahiran pada kelompok remaja berkontribusi pada peningkatan risiko morbiditas dan mortalitas ibu maupun bayi dibandingkan kelahiran pada usia reproduksi optimal, sehingga memerlukan pendekatan asuhan yang berbeda dari kehamilan pada populasi umum.</w:t>
      </w:r>
    </w:p>
    <w:p>
      <w:pPr>
        <w:spacing w:after="160" w:line="300"/>
      </w:pPr>
      <w:r>
        <w:rPr>
          <w:rFonts w:ascii="IBM Plex Sans" w:cs="IBM Plex Sans" w:eastAsia="IBM Plex Sans" w:hAnsi="IBM Plex Sans"/>
          <w:color w:val="334155"/>
          <w:sz w:val="22"/>
          <w:szCs w:val="22"/>
        </w:rPr>
        <w:t xml:space="preserve">Angka insidensi dan tren kehamilan remaja terkini di tingkat nasional maupun regional [DATA: rujuk laporan/registri resmi terbaru — mis. Kemenkes, BKKBN, POGI, WHO].</w:t>
      </w:r>
    </w:p>
    <w:p>
      <w:pPr>
        <w:pStyle w:val="Heading1"/>
        <w:spacing w:after="200" w:before="30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2"/>
          <w:szCs w:val="22"/>
        </w:rPr>
        <w:t xml:space="preserve">Anamnesis dilakukan dengan pendekatan ramah-remaja (adolescent-friendly), memastikan privasi dan kerahasiaan, serta membangun kepercayaan sebelum menggali riwayat yang sensitif. Wawancara idealnya dilakukan sebagian tanpa kehadiran pendamping untuk memberi ruang keterbukaan, dengan tetap melibatkan pendamping dewasa terpercaya pada bagian anamnesis lain sesuai persetujuan pasien.</w:t>
      </w:r>
    </w:p>
    <w:p>
      <w:pPr>
        <w:pStyle w:val="ListParagraph"/>
        <w:numPr>
          <w:ilvl w:val="0"/>
          <w:numId w:val="2"/>
        </w:numPr>
        <w:spacing w:after="100" w:line="290"/>
      </w:pPr>
      <w:r>
        <w:rPr>
          <w:rFonts w:ascii="IBM Plex Sans" w:cs="IBM Plex Sans" w:eastAsia="IBM Plex Sans" w:hAnsi="IBM Plex Sans"/>
          <w:color w:val="334155"/>
          <w:sz w:val="22"/>
          <w:szCs w:val="22"/>
        </w:rPr>
        <w:t xml:space="preserve">Usia kronologis pasien pada hari pertama haid terakhir (HPHT) dan pada taksiran persalinan; hitung usia gestasi dari HPHT, dikonfirmasi USG trimester pertama bila memungkinkan.</w:t>
      </w:r>
    </w:p>
    <w:p>
      <w:pPr>
        <w:pStyle w:val="ListParagraph"/>
        <w:numPr>
          <w:ilvl w:val="0"/>
          <w:numId w:val="2"/>
        </w:numPr>
        <w:spacing w:after="100" w:line="290"/>
      </w:pPr>
      <w:r>
        <w:rPr>
          <w:rFonts w:ascii="IBM Plex Sans" w:cs="IBM Plex Sans" w:eastAsia="IBM Plex Sans" w:hAnsi="IBM Plex Sans"/>
          <w:color w:val="334155"/>
          <w:sz w:val="22"/>
          <w:szCs w:val="22"/>
        </w:rPr>
        <w:t xml:space="preserve">Riwayat menstruasi: usia menarke, keteraturan siklus sebelum kehamilan (penting karena siklus remaja sering belum teratur, memengaruhi akurasi taksiran usia gestasi berbasis HPHT).</w:t>
      </w:r>
    </w:p>
    <w:p>
      <w:pPr>
        <w:pStyle w:val="ListParagraph"/>
        <w:numPr>
          <w:ilvl w:val="0"/>
          <w:numId w:val="2"/>
        </w:numPr>
        <w:spacing w:after="100" w:line="290"/>
      </w:pPr>
      <w:r>
        <w:rPr>
          <w:rFonts w:ascii="IBM Plex Sans" w:cs="IBM Plex Sans" w:eastAsia="IBM Plex Sans" w:hAnsi="IBM Plex Sans"/>
          <w:color w:val="334155"/>
          <w:sz w:val="22"/>
          <w:szCs w:val="22"/>
        </w:rPr>
        <w:t xml:space="preserve">Status graviditas dan paritas; riwayat kehamilan/persalinan sebelumnya bila ada (kehamilan remaja berulang).</w:t>
      </w:r>
    </w:p>
    <w:p>
      <w:pPr>
        <w:pStyle w:val="ListParagraph"/>
        <w:numPr>
          <w:ilvl w:val="0"/>
          <w:numId w:val="2"/>
        </w:numPr>
        <w:spacing w:after="100" w:line="290"/>
      </w:pPr>
      <w:r>
        <w:rPr>
          <w:rFonts w:ascii="IBM Plex Sans" w:cs="IBM Plex Sans" w:eastAsia="IBM Plex Sans" w:hAnsi="IBM Plex Sans"/>
          <w:color w:val="334155"/>
          <w:sz w:val="22"/>
          <w:szCs w:val="22"/>
        </w:rPr>
        <w:t xml:space="preserve">Konteks kehamilan: direncanakan atau tidak diinginkan; status relasi dengan pasangan; dukungan keluarga; usia dan status pasangan.</w:t>
      </w:r>
    </w:p>
    <w:p>
      <w:pPr>
        <w:pStyle w:val="ListParagraph"/>
        <w:numPr>
          <w:ilvl w:val="0"/>
          <w:numId w:val="2"/>
        </w:numPr>
        <w:spacing w:after="100" w:line="290"/>
      </w:pPr>
      <w:r>
        <w:rPr>
          <w:rFonts w:ascii="IBM Plex Sans" w:cs="IBM Plex Sans" w:eastAsia="IBM Plex Sans" w:hAnsi="IBM Plex Sans"/>
          <w:color w:val="334155"/>
          <w:sz w:val="22"/>
          <w:szCs w:val="22"/>
        </w:rPr>
        <w:t xml:space="preserve">Skrining kekerasan: eksplorasi hati-hati kemungkinan kehamilan akibat kekerasan seksual atau eksploitasi, dengan pendekatan non-menghakimi dan sesuai protokol perlindungan anak/perempuan yang berlaku bila pasien berusia di bawah 18 tahun.</w:t>
      </w:r>
    </w:p>
    <w:p>
      <w:pPr>
        <w:pStyle w:val="ListParagraph"/>
        <w:numPr>
          <w:ilvl w:val="0"/>
          <w:numId w:val="2"/>
        </w:numPr>
        <w:spacing w:after="100" w:line="290"/>
      </w:pPr>
      <w:r>
        <w:rPr>
          <w:rFonts w:ascii="IBM Plex Sans" w:cs="IBM Plex Sans" w:eastAsia="IBM Plex Sans" w:hAnsi="IBM Plex Sans"/>
          <w:color w:val="334155"/>
          <w:sz w:val="22"/>
          <w:szCs w:val="22"/>
        </w:rPr>
        <w:t xml:space="preserve">Status pendidikan (masih bersekolah atau putus sekolah), status ekonomi keluarga, dan sistem dukungan sosial yang tersedia.</w:t>
      </w:r>
    </w:p>
    <w:p>
      <w:pPr>
        <w:pStyle w:val="ListParagraph"/>
        <w:numPr>
          <w:ilvl w:val="0"/>
          <w:numId w:val="2"/>
        </w:numPr>
        <w:spacing w:after="100" w:line="290"/>
      </w:pPr>
      <w:r>
        <w:rPr>
          <w:rFonts w:ascii="IBM Plex Sans" w:cs="IBM Plex Sans" w:eastAsia="IBM Plex Sans" w:hAnsi="IBM Plex Sans"/>
          <w:color w:val="334155"/>
          <w:sz w:val="22"/>
          <w:szCs w:val="22"/>
        </w:rPr>
        <w:t xml:space="preserve">Riwayat penyakit dahulu dan keluarga: anemia, hipertensi, diabetes, penyakit menular seksual.</w:t>
      </w:r>
    </w:p>
    <w:p>
      <w:pPr>
        <w:pStyle w:val="ListParagraph"/>
        <w:numPr>
          <w:ilvl w:val="0"/>
          <w:numId w:val="2"/>
        </w:numPr>
        <w:spacing w:after="100" w:line="290"/>
      </w:pPr>
      <w:r>
        <w:rPr>
          <w:rFonts w:ascii="IBM Plex Sans" w:cs="IBM Plex Sans" w:eastAsia="IBM Plex Sans" w:hAnsi="IBM Plex Sans"/>
          <w:color w:val="334155"/>
          <w:sz w:val="22"/>
          <w:szCs w:val="22"/>
        </w:rPr>
        <w:t xml:space="preserve">Status gizi sebelum hamil dan pola makan; riwayat merokok, konsumsi alkohol, atau zat lain.</w:t>
      </w:r>
    </w:p>
    <w:p>
      <w:pPr>
        <w:pStyle w:val="ListParagraph"/>
        <w:numPr>
          <w:ilvl w:val="0"/>
          <w:numId w:val="2"/>
        </w:numPr>
        <w:spacing w:after="100" w:line="290"/>
      </w:pPr>
      <w:r>
        <w:rPr>
          <w:rFonts w:ascii="IBM Plex Sans" w:cs="IBM Plex Sans" w:eastAsia="IBM Plex Sans" w:hAnsi="IBM Plex Sans"/>
          <w:color w:val="334155"/>
          <w:sz w:val="22"/>
          <w:szCs w:val="22"/>
        </w:rPr>
        <w:t xml:space="preserve">Riwayat imunisasi tetanus dan status pemeriksaan HIV/Hepatitis B/Sifilis bila tersedia.</w:t>
      </w:r>
    </w:p>
    <w:p>
      <w:pPr>
        <w:pStyle w:val="ListParagraph"/>
        <w:numPr>
          <w:ilvl w:val="0"/>
          <w:numId w:val="2"/>
        </w:numPr>
        <w:spacing w:after="100" w:line="290"/>
      </w:pPr>
      <w:r>
        <w:rPr>
          <w:rFonts w:ascii="IBM Plex Sans" w:cs="IBM Plex Sans" w:eastAsia="IBM Plex Sans" w:hAnsi="IBM Plex Sans"/>
          <w:color w:val="334155"/>
          <w:sz w:val="22"/>
          <w:szCs w:val="22"/>
        </w:rPr>
        <w:t xml:space="preserve">Riwayat kesehatan jiwa dan kesejahteraan psikologis: gejala kecemasan atau tekanan emosional terkait kehamilan, ide untuk mengakhiri kehamilan secara tidak aman, dan ketersediaan dukungan dari orang dewasa terpercaya.</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3. Pemeriksaan Fisik</w:t>
      </w:r>
    </w:p>
    <w:p>
      <w:pPr>
        <w:pStyle w:val="ListParagraph"/>
        <w:numPr>
          <w:ilvl w:val="0"/>
          <w:numId w:val="2"/>
        </w:numPr>
        <w:spacing w:after="100" w:line="290"/>
      </w:pPr>
      <w:r>
        <w:rPr>
          <w:rFonts w:ascii="IBM Plex Sans" w:cs="IBM Plex Sans" w:eastAsia="IBM Plex Sans" w:hAnsi="IBM Plex Sans"/>
          <w:color w:val="334155"/>
          <w:sz w:val="22"/>
          <w:szCs w:val="22"/>
        </w:rPr>
        <w:t xml:space="preserve">Tanda vital lengkap termasuk tekanan darah (skrining dini preeklamsia yang risikonya meningkat pada kehamilan remaja) dan denyut nadi.</w:t>
      </w:r>
    </w:p>
    <w:p>
      <w:pPr>
        <w:pStyle w:val="ListParagraph"/>
        <w:numPr>
          <w:ilvl w:val="0"/>
          <w:numId w:val="2"/>
        </w:numPr>
        <w:spacing w:after="100" w:line="290"/>
      </w:pPr>
      <w:r>
        <w:rPr>
          <w:rFonts w:ascii="IBM Plex Sans" w:cs="IBM Plex Sans" w:eastAsia="IBM Plex Sans" w:hAnsi="IBM Plex Sans"/>
          <w:color w:val="334155"/>
          <w:sz w:val="22"/>
          <w:szCs w:val="22"/>
        </w:rPr>
        <w:t xml:space="preserve">Antropometri: berat badan, tinggi badan, indeks massa tubuh pra-hamil bila diketahui, dan penilaian kenaikan berat badan gestasional sesuai kurva yang berlaku.</w:t>
      </w:r>
    </w:p>
    <w:p>
      <w:pPr>
        <w:pStyle w:val="ListParagraph"/>
        <w:numPr>
          <w:ilvl w:val="0"/>
          <w:numId w:val="2"/>
        </w:numPr>
        <w:spacing w:after="100" w:line="290"/>
      </w:pPr>
      <w:r>
        <w:rPr>
          <w:rFonts w:ascii="IBM Plex Sans" w:cs="IBM Plex Sans" w:eastAsia="IBM Plex Sans" w:hAnsi="IBM Plex Sans"/>
          <w:color w:val="334155"/>
          <w:sz w:val="22"/>
          <w:szCs w:val="22"/>
        </w:rPr>
        <w:t xml:space="preserve">Pemeriksaan tanda anemia: konjungtiva, telapak tangan pucat.</w:t>
      </w:r>
    </w:p>
    <w:p>
      <w:pPr>
        <w:pStyle w:val="ListParagraph"/>
        <w:numPr>
          <w:ilvl w:val="0"/>
          <w:numId w:val="2"/>
        </w:numPr>
        <w:spacing w:after="100" w:line="290"/>
      </w:pPr>
      <w:r>
        <w:rPr>
          <w:rFonts w:ascii="IBM Plex Sans" w:cs="IBM Plex Sans" w:eastAsia="IBM Plex Sans" w:hAnsi="IBM Plex Sans"/>
          <w:color w:val="334155"/>
          <w:sz w:val="22"/>
          <w:szCs w:val="22"/>
        </w:rPr>
        <w:t xml:space="preserve">Pemeriksaan obstetri sesuai usia gestasi: tinggi fundus uteri, denyut jantung janin, letak dan presentasi janin pada trimester lanjut.</w:t>
      </w:r>
    </w:p>
    <w:p>
      <w:pPr>
        <w:pStyle w:val="ListParagraph"/>
        <w:numPr>
          <w:ilvl w:val="0"/>
          <w:numId w:val="2"/>
        </w:numPr>
        <w:spacing w:after="100" w:line="290"/>
      </w:pPr>
      <w:r>
        <w:rPr>
          <w:rFonts w:ascii="IBM Plex Sans" w:cs="IBM Plex Sans" w:eastAsia="IBM Plex Sans" w:hAnsi="IBM Plex Sans"/>
          <w:color w:val="334155"/>
          <w:sz w:val="22"/>
          <w:szCs w:val="22"/>
        </w:rPr>
        <w:t xml:space="preserve">Penilaian pelvimetri klinis pada trimester ketiga bila usia ibu sangat muda (di bawah 16 tahun) atau terdapat kecurigaan disproporsi sefalopelvik, mengingat panggul remaja yang belum sepenuhnya matur secara anatomis; pertumbuhan skeletal panggul pada remaja umumnya belum mencapai kematangan penuh hingga beberapa tahun setelah menarke.</w:t>
      </w:r>
    </w:p>
    <w:p>
      <w:pPr>
        <w:pStyle w:val="ListParagraph"/>
        <w:numPr>
          <w:ilvl w:val="0"/>
          <w:numId w:val="2"/>
        </w:numPr>
        <w:spacing w:after="100" w:line="290"/>
      </w:pPr>
      <w:r>
        <w:rPr>
          <w:rFonts w:ascii="IBM Plex Sans" w:cs="IBM Plex Sans" w:eastAsia="IBM Plex Sans" w:hAnsi="IBM Plex Sans"/>
          <w:color w:val="334155"/>
          <w:sz w:val="22"/>
          <w:szCs w:val="22"/>
        </w:rPr>
        <w:t xml:space="preserve">Pemeriksaan tanda kekerasan fisik atau seksual bila anamnesis mengarah ke kecurigaan tersebut, didokumentasikan sesuai prosedur medikolegal.</w:t>
      </w:r>
    </w:p>
    <w:p>
      <w:pPr>
        <w:pStyle w:val="ListParagraph"/>
        <w:numPr>
          <w:ilvl w:val="0"/>
          <w:numId w:val="2"/>
        </w:numPr>
        <w:spacing w:after="100" w:line="290"/>
      </w:pPr>
      <w:r>
        <w:rPr>
          <w:rFonts w:ascii="IBM Plex Sans" w:cs="IBM Plex Sans" w:eastAsia="IBM Plex Sans" w:hAnsi="IBM Plex Sans"/>
          <w:color w:val="334155"/>
          <w:sz w:val="22"/>
          <w:szCs w:val="22"/>
        </w:rPr>
        <w:t xml:space="preserve">Skrining status gizi menggunakan Lingkar Lengan Atas (LiLA) untuk deteksi risiko Kurang Energi Kronik (KEK).</w:t>
      </w:r>
    </w:p>
    <w:p>
      <w:pPr>
        <w:pStyle w:val="ListParagraph"/>
        <w:numPr>
          <w:ilvl w:val="0"/>
          <w:numId w:val="2"/>
        </w:numPr>
        <w:spacing w:after="100" w:line="290"/>
      </w:pPr>
      <w:r>
        <w:rPr>
          <w:rFonts w:ascii="IBM Plex Sans" w:cs="IBM Plex Sans" w:eastAsia="IBM Plex Sans" w:hAnsi="IBM Plex Sans"/>
          <w:color w:val="334155"/>
          <w:sz w:val="22"/>
          <w:szCs w:val="22"/>
        </w:rPr>
        <w:t xml:space="preserve">Pemeriksaan status generalis untuk menyingkirkan komorbiditas yang dapat memengaruhi luaran kehamilan, termasuk tanda anemia berat, ikterus, dan edema.</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2"/>
          <w:szCs w:val="22"/>
        </w:rPr>
        <w:t xml:space="preserve">Diagnosis kehamilan remaja ditegakkan berdasarkan konfirmasi kehamilan (tes beta-hCG positif dan/atau visualisasi kantung gestasi/janin pada USG) pada perempuan berusia di bawah 20 tahun pada saat konsepsi atau selama masa kehamilan berlangsung.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Sistem Klasifikasi</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Keterangan</w:t>
            </w:r>
          </w:p>
        </w:tc>
      </w:tr>
      <w:tr>
        <w:tc>
          <w:tcPr>
            <w:tcW w:type="dxa" w:w="30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ICD-10</w:t>
            </w:r>
          </w:p>
        </w:tc>
        <w:tc>
          <w:tcPr>
            <w:tcW w:type="dxa" w:w="30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Z35.6</w:t>
            </w:r>
          </w:p>
        </w:tc>
        <w:tc>
          <w:tcPr>
            <w:tcW w:type="dxa" w:w="30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Pengawasan kehamilan risiko tinggi: primigravida yang sangat muda (supervision of high risk pregnancy: very young primigravida) — kategori Z35 Pengawasan Kehamilan Risiko Tinggi, sesuai Tabel 7 Kepkonsil</w:t>
            </w:r>
          </w:p>
        </w:tc>
      </w:tr>
      <w:tr>
        <w:tc>
          <w:tcPr>
            <w:tcW w:type="dxa" w:w="300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ICD-11</w:t>
            </w:r>
          </w:p>
        </w:tc>
        <w:tc>
          <w:tcPr>
            <w:tcW w:type="dxa" w:w="300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QA43.5</w:t>
            </w:r>
          </w:p>
        </w:tc>
        <w:tc>
          <w:tcPr>
            <w:tcW w:type="dxa" w:w="300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Pengawasan primigravida yang sangat muda (supervision of very young primigravida) — kategori QA43 Pengawasan Kehamilan Risiko Tinggi, sesuai Tabel 7 Kepkonsil</w:t>
            </w:r>
          </w:p>
        </w:tc>
      </w:tr>
    </w:tbl>
    <w:p>
      <w:pPr>
        <w:spacing w:after="160"/>
      </w:pPr>
    </w:p>
    <w:p>
      <w:pPr>
        <w:spacing w:after="160" w:line="300"/>
      </w:pPr>
      <w:r>
        <w:rPr>
          <w:rFonts w:ascii="IBM Plex Sans" w:cs="IBM Plex Sans" w:eastAsia="IBM Plex Sans" w:hAnsi="IBM Plex Sans"/>
          <w:color w:val="334155"/>
          <w:sz w:val="22"/>
          <w:szCs w:val="22"/>
        </w:rPr>
        <w:t xml:space="preserve">Kode Z35.6/QA43.5 secara harfiah merujuk pada pengawasan primigravida yang sangat muda; dalam praktik di ekosistem literatur ini kode tersebut digunakan sebagai kode pengawasan kehamilan remaja secara umum sesuai penetapan Tabel 7 Kepkonsil, mencakup baik primigravida maupun multigravida usia remaja. Pada kehamilan remaja dengan komplikasi spesifik (misalnya preeklamsia atau anemia), kode diagnosis komplikasi tersebut dicantumkan sebagai kode tambahan di samping kode pengawasan kehamilan risiko tinggi ini.</w:t>
      </w:r>
    </w:p>
    <w:p>
      <w:pPr>
        <w:spacing w:after="160" w:line="300"/>
      </w:pPr>
      <w:r>
        <w:rPr>
          <w:rFonts w:ascii="IBM Plex Sans" w:cs="IBM Plex Sans" w:eastAsia="IBM Plex Sans" w:hAnsi="IBM Plex Sans"/>
          <w:color w:val="334155"/>
          <w:sz w:val="22"/>
          <w:szCs w:val="22"/>
        </w:rPr>
        <w:t xml:space="preserve">Klasifikasi risiko dibedakan menjadi remaja awal (10-14 tahun; risiko obstetri dan psikososial tertinggi, wajib dikelola sebagai kehamilan risiko tinggi dengan pelibatan subspesialis Fetomaternal sejak kontak pertama) dan remaja akhir (15-19 tahun; risiko meningkat dibandingkan usia reproduksi optimal, dikelola sebagai kehamilan risiko sedang-tinggi dengan pemantauan lebih ketat).</w:t>
      </w:r>
    </w:p>
    <w:p>
      <w:pPr>
        <w:pStyle w:val="Heading1"/>
        <w:spacing w:after="200" w:before="30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2"/>
          <w:szCs w:val="22"/>
        </w:rPr>
        <w:t xml:space="preserve">Diagnosis kerja: Kehamilan remaja (usia gestasi sesuai HPHT/USG) pada primigravida/multigravida usia di bawah 20 tahun. Kehamilan remaja bukan diagnosis banding terhadap kondisi lain, melainkan penanda populasi risiko yang mewajibkan penapisan aktif terhadap komplikasi berikut, yang harus disingkirkan atau ditegakkan pada setiap kontak antenatal:</w:t>
      </w:r>
    </w:p>
    <w:p>
      <w:pPr>
        <w:pStyle w:val="ListParagraph"/>
        <w:numPr>
          <w:ilvl w:val="0"/>
          <w:numId w:val="2"/>
        </w:numPr>
        <w:spacing w:after="100" w:line="290"/>
      </w:pPr>
      <w:r>
        <w:rPr>
          <w:rFonts w:ascii="IBM Plex Sans" w:cs="IBM Plex Sans" w:eastAsia="IBM Plex Sans" w:hAnsi="IBM Plex Sans"/>
          <w:color w:val="334155"/>
          <w:sz w:val="22"/>
          <w:szCs w:val="22"/>
        </w:rPr>
        <w:t xml:space="preserve">Anemia defisiensi besi dalam kehamilan.</w:t>
      </w:r>
    </w:p>
    <w:p>
      <w:pPr>
        <w:pStyle w:val="ListParagraph"/>
        <w:numPr>
          <w:ilvl w:val="0"/>
          <w:numId w:val="2"/>
        </w:numPr>
        <w:spacing w:after="100" w:line="290"/>
      </w:pPr>
      <w:r>
        <w:rPr>
          <w:rFonts w:ascii="IBM Plex Sans" w:cs="IBM Plex Sans" w:eastAsia="IBM Plex Sans" w:hAnsi="IBM Plex Sans"/>
          <w:color w:val="334155"/>
          <w:sz w:val="22"/>
          <w:szCs w:val="22"/>
        </w:rPr>
        <w:t xml:space="preserve">Preeklamsia dan gangguan hipertensi kehamilan lain.</w:t>
      </w:r>
    </w:p>
    <w:p>
      <w:pPr>
        <w:pStyle w:val="ListParagraph"/>
        <w:numPr>
          <w:ilvl w:val="0"/>
          <w:numId w:val="2"/>
        </w:numPr>
        <w:spacing w:after="100" w:line="290"/>
      </w:pPr>
      <w:r>
        <w:rPr>
          <w:rFonts w:ascii="IBM Plex Sans" w:cs="IBM Plex Sans" w:eastAsia="IBM Plex Sans" w:hAnsi="IBM Plex Sans"/>
          <w:color w:val="334155"/>
          <w:sz w:val="22"/>
          <w:szCs w:val="22"/>
        </w:rPr>
        <w:t xml:space="preserve">Kehamilan dengan Kurang Energi Kronik (KEK) atau berat badan kurang.</w:t>
      </w:r>
    </w:p>
    <w:p>
      <w:pPr>
        <w:pStyle w:val="ListParagraph"/>
        <w:numPr>
          <w:ilvl w:val="0"/>
          <w:numId w:val="2"/>
        </w:numPr>
        <w:spacing w:after="100" w:line="290"/>
      </w:pPr>
      <w:r>
        <w:rPr>
          <w:rFonts w:ascii="IBM Plex Sans" w:cs="IBM Plex Sans" w:eastAsia="IBM Plex Sans" w:hAnsi="IBM Plex Sans"/>
          <w:color w:val="334155"/>
          <w:sz w:val="22"/>
          <w:szCs w:val="22"/>
        </w:rPr>
        <w:t xml:space="preserve">Infeksi menular seksual, termasuk HIV, sifilis, dan Hepatitis B.</w:t>
      </w:r>
    </w:p>
    <w:p>
      <w:pPr>
        <w:pStyle w:val="ListParagraph"/>
        <w:numPr>
          <w:ilvl w:val="0"/>
          <w:numId w:val="2"/>
        </w:numPr>
        <w:spacing w:after="100" w:line="290"/>
      </w:pPr>
      <w:r>
        <w:rPr>
          <w:rFonts w:ascii="IBM Plex Sans" w:cs="IBM Plex Sans" w:eastAsia="IBM Plex Sans" w:hAnsi="IBM Plex Sans"/>
          <w:color w:val="334155"/>
          <w:sz w:val="22"/>
          <w:szCs w:val="22"/>
        </w:rPr>
        <w:t xml:space="preserve">Persalinan preterm mengancam pada trimester ketiga.</w:t>
      </w:r>
    </w:p>
    <w:p>
      <w:pPr>
        <w:pStyle w:val="ListParagraph"/>
        <w:numPr>
          <w:ilvl w:val="0"/>
          <w:numId w:val="2"/>
        </w:numPr>
        <w:spacing w:after="100" w:line="290"/>
      </w:pPr>
      <w:r>
        <w:rPr>
          <w:rFonts w:ascii="IBM Plex Sans" w:cs="IBM Plex Sans" w:eastAsia="IBM Plex Sans" w:hAnsi="IBM Plex Sans"/>
          <w:color w:val="334155"/>
          <w:sz w:val="22"/>
          <w:szCs w:val="22"/>
        </w:rPr>
        <w:t xml:space="preserve">Disproporsi sefalopelvik pada persalinan (khususnya remaja awal).</w:t>
      </w:r>
    </w:p>
    <w:p>
      <w:pPr>
        <w:pStyle w:val="ListParagraph"/>
        <w:numPr>
          <w:ilvl w:val="0"/>
          <w:numId w:val="2"/>
        </w:numPr>
        <w:spacing w:after="100" w:line="290"/>
      </w:pPr>
      <w:r>
        <w:rPr>
          <w:rFonts w:ascii="IBM Plex Sans" w:cs="IBM Plex Sans" w:eastAsia="IBM Plex Sans" w:hAnsi="IBM Plex Sans"/>
          <w:color w:val="334155"/>
          <w:sz w:val="22"/>
          <w:szCs w:val="22"/>
        </w:rPr>
        <w:t xml:space="preserve">Gangguan pertumbuhan janin terhambat (fetal growth restriction) sebagai konsekuensi sekunder dari status gizi ibu yang kurang optimal.</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6. Pemeriksaan Penunjang</w:t>
      </w:r>
    </w:p>
    <w:p>
      <w:pPr>
        <w:pStyle w:val="ListParagraph"/>
        <w:numPr>
          <w:ilvl w:val="0"/>
          <w:numId w:val="2"/>
        </w:numPr>
        <w:spacing w:after="100" w:line="290"/>
      </w:pPr>
      <w:r>
        <w:rPr>
          <w:rFonts w:ascii="IBM Plex Sans" w:cs="IBM Plex Sans" w:eastAsia="IBM Plex Sans" w:hAnsi="IBM Plex Sans"/>
          <w:color w:val="334155"/>
          <w:sz w:val="22"/>
          <w:szCs w:val="22"/>
        </w:rPr>
        <w:t xml:space="preserve">Pemeriksaan darah rutin lengkap dengan penekanan kadar hemoglobin untuk skrining anemia setiap trimester.</w:t>
      </w:r>
    </w:p>
    <w:p>
      <w:pPr>
        <w:pStyle w:val="ListParagraph"/>
        <w:numPr>
          <w:ilvl w:val="0"/>
          <w:numId w:val="2"/>
        </w:numPr>
        <w:spacing w:after="100" w:line="290"/>
      </w:pPr>
      <w:r>
        <w:rPr>
          <w:rFonts w:ascii="IBM Plex Sans" w:cs="IBM Plex Sans" w:eastAsia="IBM Plex Sans" w:hAnsi="IBM Plex Sans"/>
          <w:color w:val="334155"/>
          <w:sz w:val="22"/>
          <w:szCs w:val="22"/>
        </w:rPr>
        <w:t xml:space="preserve">Golongan darah dan rhesus.</w:t>
      </w:r>
    </w:p>
    <w:p>
      <w:pPr>
        <w:pStyle w:val="ListParagraph"/>
        <w:numPr>
          <w:ilvl w:val="0"/>
          <w:numId w:val="2"/>
        </w:numPr>
        <w:spacing w:after="100" w:line="290"/>
      </w:pPr>
      <w:r>
        <w:rPr>
          <w:rFonts w:ascii="IBM Plex Sans" w:cs="IBM Plex Sans" w:eastAsia="IBM Plex Sans" w:hAnsi="IBM Plex Sans"/>
          <w:color w:val="334155"/>
          <w:sz w:val="22"/>
          <w:szCs w:val="22"/>
        </w:rPr>
        <w:t xml:space="preserve">Gula darah sewaktu/skrining diabetes gestasional sesuai indikasi usia gestasi.</w:t>
      </w:r>
    </w:p>
    <w:p>
      <w:pPr>
        <w:pStyle w:val="ListParagraph"/>
        <w:numPr>
          <w:ilvl w:val="0"/>
          <w:numId w:val="2"/>
        </w:numPr>
        <w:spacing w:after="100" w:line="290"/>
      </w:pPr>
      <w:r>
        <w:rPr>
          <w:rFonts w:ascii="IBM Plex Sans" w:cs="IBM Plex Sans" w:eastAsia="IBM Plex Sans" w:hAnsi="IBM Plex Sans"/>
          <w:color w:val="334155"/>
          <w:sz w:val="22"/>
          <w:szCs w:val="22"/>
        </w:rPr>
        <w:t xml:space="preserve">Urinalisis, termasuk pemeriksaan protein urin sebagai bagian skrining preeklamsia pada setiap kunjungan trimester kedua dan ketiga.</w:t>
      </w:r>
    </w:p>
    <w:p>
      <w:pPr>
        <w:pStyle w:val="ListParagraph"/>
        <w:numPr>
          <w:ilvl w:val="0"/>
          <w:numId w:val="2"/>
        </w:numPr>
        <w:spacing w:after="100" w:line="290"/>
      </w:pPr>
      <w:r>
        <w:rPr>
          <w:rFonts w:ascii="IBM Plex Sans" w:cs="IBM Plex Sans" w:eastAsia="IBM Plex Sans" w:hAnsi="IBM Plex Sans"/>
          <w:color w:val="334155"/>
          <w:sz w:val="22"/>
          <w:szCs w:val="22"/>
        </w:rPr>
        <w:t xml:space="preserve">Skrining HIV, sifilis, dan Hepatitis B (triple elimination) sesuai program nasional.</w:t>
      </w:r>
    </w:p>
    <w:p>
      <w:pPr>
        <w:pStyle w:val="ListParagraph"/>
        <w:numPr>
          <w:ilvl w:val="0"/>
          <w:numId w:val="2"/>
        </w:numPr>
        <w:spacing w:after="100" w:line="290"/>
      </w:pPr>
      <w:r>
        <w:rPr>
          <w:rFonts w:ascii="IBM Plex Sans" w:cs="IBM Plex Sans" w:eastAsia="IBM Plex Sans" w:hAnsi="IBM Plex Sans"/>
          <w:color w:val="334155"/>
          <w:sz w:val="22"/>
          <w:szCs w:val="22"/>
        </w:rPr>
        <w:t xml:space="preserve">USG obstetri: trimester pertama untuk konfirmasi usia gestasi dan viabilitas; trimester kedua untuk skrining anomali struktural; trimester ketiga untuk penilaian pertumbuhan janin bila terdapat faktor risiko tambahan.</w:t>
      </w:r>
    </w:p>
    <w:p>
      <w:pPr>
        <w:pStyle w:val="ListParagraph"/>
        <w:numPr>
          <w:ilvl w:val="0"/>
          <w:numId w:val="2"/>
        </w:numPr>
        <w:spacing w:after="100" w:line="290"/>
      </w:pPr>
      <w:r>
        <w:rPr>
          <w:rFonts w:ascii="IBM Plex Sans" w:cs="IBM Plex Sans" w:eastAsia="IBM Plex Sans" w:hAnsi="IBM Plex Sans"/>
          <w:color w:val="334155"/>
          <w:sz w:val="22"/>
          <w:szCs w:val="22"/>
        </w:rPr>
        <w:t xml:space="preserve">Kardiotokografi (KTG) pada trimester ketiga sesuai indikasi klinis.</w:t>
      </w:r>
    </w:p>
    <w:p>
      <w:pPr>
        <w:pStyle w:val="ListParagraph"/>
        <w:numPr>
          <w:ilvl w:val="0"/>
          <w:numId w:val="2"/>
        </w:numPr>
        <w:spacing w:after="100" w:line="290"/>
      </w:pPr>
      <w:r>
        <w:rPr>
          <w:rFonts w:ascii="IBM Plex Sans" w:cs="IBM Plex Sans" w:eastAsia="IBM Plex Sans" w:hAnsi="IBM Plex Sans"/>
          <w:color w:val="334155"/>
          <w:sz w:val="22"/>
          <w:szCs w:val="22"/>
        </w:rPr>
        <w:t xml:space="preserve">Pemeriksaan status gizi laboratoris tambahan (misalnya feritin serum) pada kasus anemia yang tidak berespons terhadap terapi besi standar, untuk menyingkirkan etiologi lain.</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7. Tata Laksana</w:t>
      </w:r>
    </w:p>
    <w:p>
      <w:pPr>
        <w:spacing w:after="160" w:line="300"/>
      </w:pPr>
      <w:r>
        <w:rPr>
          <w:rFonts w:ascii="IBM Plex Sans" w:cs="IBM Plex Sans" w:eastAsia="IBM Plex Sans" w:hAnsi="IBM Plex Sans"/>
          <w:color w:val="334155"/>
          <w:sz w:val="22"/>
          <w:szCs w:val="22"/>
        </w:rPr>
        <w:t xml:space="preserve">Tata laksana kehamilan remaja bersifat multidisiplin, menggabungkan asuhan antenatal terjadwal-lebih-ketat, dukungan gizi dan psikososial, serta jalur rujukan proaktif ke subspesialis Fetomaternal.</w:t>
      </w:r>
    </w:p>
    <w:p>
      <w:pPr>
        <w:pStyle w:val="Heading2"/>
        <w:spacing w:after="160" w:before="20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2"/>
        </w:numPr>
        <w:spacing w:after="100" w:line="290"/>
      </w:pPr>
      <w:r>
        <w:rPr>
          <w:rFonts w:ascii="IBM Plex Sans" w:cs="IBM Plex Sans" w:eastAsia="IBM Plex Sans" w:hAnsi="IBM Plex Sans"/>
          <w:color w:val="334155"/>
          <w:sz w:val="22"/>
          <w:szCs w:val="22"/>
        </w:rPr>
        <w:t xml:space="preserve">Asuhan antenatal terjadwal lebih sering dibandingkan kehamilan usia reproduksi optimal, mengikuti model kontak minimal WHO delapan kali kunjungan dengan penambahan frekuensi bila ditemukan faktor risiko tambahan.</w:t>
      </w:r>
    </w:p>
    <w:p>
      <w:pPr>
        <w:pStyle w:val="ListParagraph"/>
        <w:numPr>
          <w:ilvl w:val="0"/>
          <w:numId w:val="2"/>
        </w:numPr>
        <w:spacing w:after="100" w:line="290"/>
      </w:pPr>
      <w:r>
        <w:rPr>
          <w:rFonts w:ascii="IBM Plex Sans" w:cs="IBM Plex Sans" w:eastAsia="IBM Plex Sans" w:hAnsi="IBM Plex Sans"/>
          <w:color w:val="334155"/>
          <w:sz w:val="22"/>
          <w:szCs w:val="22"/>
        </w:rPr>
        <w:t xml:space="preserve">Konseling gizi individual dengan target kenaikan berat badan gestasional sesuai status gizi pra-hamil, suplementasi besi-folat dan multivitamin-mineral sesuai pedoman nasional.</w:t>
      </w:r>
    </w:p>
    <w:p>
      <w:pPr>
        <w:pStyle w:val="ListParagraph"/>
        <w:numPr>
          <w:ilvl w:val="0"/>
          <w:numId w:val="2"/>
        </w:numPr>
        <w:spacing w:after="100" w:line="290"/>
      </w:pPr>
      <w:r>
        <w:rPr>
          <w:rFonts w:ascii="IBM Plex Sans" w:cs="IBM Plex Sans" w:eastAsia="IBM Plex Sans" w:hAnsi="IBM Plex Sans"/>
          <w:color w:val="334155"/>
          <w:sz w:val="22"/>
          <w:szCs w:val="22"/>
        </w:rPr>
        <w:t xml:space="preserve">Pelibatan pekerja sosial/psikolog untuk dukungan psikososial, termasuk penilaian dan mitigasi risiko putus sekolah, stigma, dan tekanan keluarga.</w:t>
      </w:r>
    </w:p>
    <w:p>
      <w:pPr>
        <w:pStyle w:val="ListParagraph"/>
        <w:numPr>
          <w:ilvl w:val="0"/>
          <w:numId w:val="2"/>
        </w:numPr>
        <w:spacing w:after="100" w:line="290"/>
      </w:pPr>
      <w:r>
        <w:rPr>
          <w:rFonts w:ascii="IBM Plex Sans" w:cs="IBM Plex Sans" w:eastAsia="IBM Plex Sans" w:hAnsi="IBM Plex Sans"/>
          <w:color w:val="334155"/>
          <w:sz w:val="22"/>
          <w:szCs w:val="22"/>
        </w:rPr>
        <w:t xml:space="preserve">Edukasi tanda bahaya kehamilan (perdarahan, sakit kepala hebat, pandangan kabur, nyeri ulu hati, gerak janin berkurang) dengan bahasa dan media sesuai tingkat literasi kesehatan remaja.</w:t>
      </w:r>
    </w:p>
    <w:p>
      <w:pPr>
        <w:pStyle w:val="ListParagraph"/>
        <w:numPr>
          <w:ilvl w:val="0"/>
          <w:numId w:val="2"/>
        </w:numPr>
        <w:spacing w:after="100" w:line="290"/>
      </w:pPr>
      <w:r>
        <w:rPr>
          <w:rFonts w:ascii="IBM Plex Sans" w:cs="IBM Plex Sans" w:eastAsia="IBM Plex Sans" w:hAnsi="IBM Plex Sans"/>
          <w:color w:val="334155"/>
          <w:sz w:val="22"/>
          <w:szCs w:val="22"/>
        </w:rPr>
        <w:t xml:space="preserve">Perencanaan persalinan (birth preparedness) yang melibatkan wali/orang tua atau pendamping dewasa terpercaya, termasuk penetapan fasilitas persalinan dengan kemampuan penanganan risiko tinggi.</w:t>
      </w:r>
    </w:p>
    <w:p>
      <w:pPr>
        <w:pStyle w:val="ListParagraph"/>
        <w:numPr>
          <w:ilvl w:val="0"/>
          <w:numId w:val="2"/>
        </w:numPr>
        <w:spacing w:after="100" w:line="290"/>
      </w:pPr>
      <w:r>
        <w:rPr>
          <w:rFonts w:ascii="IBM Plex Sans" w:cs="IBM Plex Sans" w:eastAsia="IBM Plex Sans" w:hAnsi="IBM Plex Sans"/>
          <w:color w:val="334155"/>
          <w:sz w:val="22"/>
          <w:szCs w:val="22"/>
        </w:rPr>
        <w:t xml:space="preserve">Skrining dan rujukan perlindungan anak sesuai peraturan perundang-undangan bila pasien berusia di bawah 18 tahun atau terdapat indikasi kehamilan akibat kekerasan seksual.</w:t>
      </w:r>
    </w:p>
    <w:p>
      <w:pPr>
        <w:pStyle w:val="ListParagraph"/>
        <w:numPr>
          <w:ilvl w:val="0"/>
          <w:numId w:val="2"/>
        </w:numPr>
        <w:spacing w:after="100" w:line="290"/>
      </w:pPr>
      <w:r>
        <w:rPr>
          <w:rFonts w:ascii="IBM Plex Sans" w:cs="IBM Plex Sans" w:eastAsia="IBM Plex Sans" w:hAnsi="IBM Plex Sans"/>
          <w:color w:val="334155"/>
          <w:sz w:val="22"/>
          <w:szCs w:val="22"/>
        </w:rPr>
        <w:t xml:space="preserve">Dukungan keberlanjutan pendidikan formal selama kehamilan berlangsung, dikoordinasikan dengan pihak sekolah dan layanan sosial setempat sejauh dimungkinkan oleh kondisi klinis pasien.</w:t>
      </w:r>
    </w:p>
    <w:p>
      <w:pPr>
        <w:spacing w:after="80"/>
      </w:pPr>
    </w:p>
    <w:p>
      <w:pPr>
        <w:pStyle w:val="Heading2"/>
        <w:spacing w:after="160" w:before="200"/>
      </w:pPr>
      <w:r>
        <w:rPr>
          <w:rFonts w:ascii="Source Serif 4" w:cs="Source Serif 4" w:eastAsia="Source Serif 4" w:hAnsi="Source Serif 4"/>
          <w:b/>
          <w:bCs/>
          <w:color w:val="B45309"/>
          <w:sz w:val="24"/>
          <w:szCs w:val="24"/>
        </w:rPr>
        <w:t xml:space="preserve">7.2 Tata Laksana Farmakologis</w:t>
      </w:r>
    </w:p>
    <w:p>
      <w:pPr>
        <w:pStyle w:val="ListParagraph"/>
        <w:numPr>
          <w:ilvl w:val="0"/>
          <w:numId w:val="2"/>
        </w:numPr>
        <w:spacing w:after="100" w:line="290"/>
      </w:pPr>
      <w:r>
        <w:rPr>
          <w:rFonts w:ascii="IBM Plex Sans" w:cs="IBM Plex Sans" w:eastAsia="IBM Plex Sans" w:hAnsi="IBM Plex Sans"/>
          <w:color w:val="334155"/>
          <w:sz w:val="22"/>
          <w:szCs w:val="22"/>
        </w:rPr>
        <w:t xml:space="preserve">Suplementasi besi elemental dan asam folat sesuai dosis program nasional pencegahan anemia dalam kehamilan, disesuaikan dengan hasil pemeriksaan hemoglobin.</w:t>
      </w:r>
    </w:p>
    <w:p>
      <w:pPr>
        <w:pStyle w:val="ListParagraph"/>
        <w:numPr>
          <w:ilvl w:val="0"/>
          <w:numId w:val="2"/>
        </w:numPr>
        <w:spacing w:after="100" w:line="290"/>
      </w:pPr>
      <w:r>
        <w:rPr>
          <w:rFonts w:ascii="IBM Plex Sans" w:cs="IBM Plex Sans" w:eastAsia="IBM Plex Sans" w:hAnsi="IBM Plex Sans"/>
          <w:color w:val="334155"/>
          <w:sz w:val="22"/>
          <w:szCs w:val="22"/>
        </w:rPr>
        <w:t xml:space="preserve">Terapi anemia defisiensi besi bila kadar hemoglobin di bawah ambang normal untuk kehamilan, mengikuti tata laksana PPK anemia dalam kehamilan yang berlaku di ekosistem ini.</w:t>
      </w:r>
    </w:p>
    <w:p>
      <w:pPr>
        <w:pStyle w:val="ListParagraph"/>
        <w:numPr>
          <w:ilvl w:val="0"/>
          <w:numId w:val="2"/>
        </w:numPr>
        <w:spacing w:after="100" w:line="290"/>
      </w:pPr>
      <w:r>
        <w:rPr>
          <w:rFonts w:ascii="IBM Plex Sans" w:cs="IBM Plex Sans" w:eastAsia="IBM Plex Sans" w:hAnsi="IBM Plex Sans"/>
          <w:color w:val="334155"/>
          <w:sz w:val="22"/>
          <w:szCs w:val="22"/>
        </w:rPr>
        <w:t xml:space="preserve">Profilaksis dan tata laksana preeklamsia (misalnya kalsium pada populasi dengan asupan rendah, aspirin dosis rendah pada kelompok risiko tinggi terverifikasi) mengikuti PPK preeklamsia yang berlaku, karena kehamilan remaja merupakan salah satu faktor risiko yang memperkuat indikasi profilaksis.</w:t>
      </w:r>
    </w:p>
    <w:p>
      <w:pPr>
        <w:pStyle w:val="ListParagraph"/>
        <w:numPr>
          <w:ilvl w:val="0"/>
          <w:numId w:val="2"/>
        </w:numPr>
        <w:spacing w:after="100" w:line="290"/>
      </w:pPr>
      <w:r>
        <w:rPr>
          <w:rFonts w:ascii="IBM Plex Sans" w:cs="IBM Plex Sans" w:eastAsia="IBM Plex Sans" w:hAnsi="IBM Plex Sans"/>
          <w:color w:val="334155"/>
          <w:sz w:val="22"/>
          <w:szCs w:val="22"/>
        </w:rPr>
        <w:t xml:space="preserve">Imunisasi tetanus toksoid sesuai status imunisasi dan jadwal program nasional.</w:t>
      </w:r>
    </w:p>
    <w:p>
      <w:pPr>
        <w:pStyle w:val="ListParagraph"/>
        <w:numPr>
          <w:ilvl w:val="0"/>
          <w:numId w:val="2"/>
        </w:numPr>
        <w:spacing w:after="100" w:line="290"/>
      </w:pPr>
      <w:r>
        <w:rPr>
          <w:rFonts w:ascii="IBM Plex Sans" w:cs="IBM Plex Sans" w:eastAsia="IBM Plex Sans" w:hAnsi="IBM Plex Sans"/>
          <w:color w:val="334155"/>
          <w:sz w:val="22"/>
          <w:szCs w:val="22"/>
        </w:rPr>
        <w:t xml:space="preserve">Terapi infeksi menular seksual bila hasil skrining positif, mengikuti pedoman program eliminasi penularan HIV, sifilis, dan Hepatitis B dari ibu ke anak.</w:t>
      </w:r>
    </w:p>
    <w:p>
      <w:pPr>
        <w:pStyle w:val="ListParagraph"/>
        <w:numPr>
          <w:ilvl w:val="0"/>
          <w:numId w:val="2"/>
        </w:numPr>
        <w:spacing w:after="100" w:line="290"/>
      </w:pPr>
      <w:r>
        <w:rPr>
          <w:rFonts w:ascii="IBM Plex Sans" w:cs="IBM Plex Sans" w:eastAsia="IBM Plex Sans" w:hAnsi="IBM Plex Sans"/>
          <w:color w:val="334155"/>
          <w:sz w:val="22"/>
          <w:szCs w:val="22"/>
        </w:rPr>
        <w:t xml:space="preserve">Seluruh pemberian farmakoterapi memperhatikan kategori keamanan pada kehamilan dan, bila relevan, penyesuaian dosis berdasarkan berat badan pasien remaja yang mungkin masih berada dalam fase pertumbuhan somatik.</w:t>
      </w:r>
    </w:p>
    <w:p>
      <w:pPr>
        <w:spacing w:after="80"/>
      </w:pPr>
    </w:p>
    <w:p>
      <w:pPr>
        <w:pStyle w:val="Heading2"/>
        <w:spacing w:after="160" w:before="200"/>
      </w:pPr>
      <w:r>
        <w:rPr>
          <w:rFonts w:ascii="Source Serif 4" w:cs="Source Serif 4" w:eastAsia="Source Serif 4" w:hAnsi="Source Serif 4"/>
          <w:b/>
          <w:bCs/>
          <w:color w:val="B45309"/>
          <w:sz w:val="24"/>
          <w:szCs w:val="24"/>
        </w:rPr>
        <w:t xml:space="preserve">7.3 Tata Laksana Bedah/Prosedural (bila relevan)</w:t>
      </w:r>
    </w:p>
    <w:p>
      <w:pPr>
        <w:spacing w:after="160" w:line="300"/>
      </w:pPr>
      <w:r>
        <w:rPr>
          <w:rFonts w:ascii="IBM Plex Sans" w:cs="IBM Plex Sans" w:eastAsia="IBM Plex Sans" w:hAnsi="IBM Plex Sans"/>
          <w:color w:val="334155"/>
          <w:sz w:val="22"/>
          <w:szCs w:val="22"/>
        </w:rPr>
        <w:t xml:space="preserve">Tindakan bedah/prosedural tidak rutin diindikasikan oleh status kehamilan remaja itu sendiri, tetapi mengikuti indikasi obstetri yang berlaku umum. Seksio sesarea dipertimbangkan bila terdapat disproporsi sefalopelvik yang terkonfirmasi secara klinis, terutama pada remaja awal dengan panggul belum matur, atau indikasi obstetri lain sesuai PPK persalinan seksio sesarea yang berlaku di ekosistem ini. Keputusan cara persalinan tetap didasarkan pada evaluasi obstetri individual, bukan semata usia ibu.</w:t>
      </w:r>
    </w:p>
    <w:p>
      <w:pPr>
        <w:pStyle w:val="Heading2"/>
        <w:spacing w:after="160" w:before="200"/>
      </w:pPr>
      <w:r>
        <w:rPr>
          <w:rFonts w:ascii="Source Serif 4" w:cs="Source Serif 4" w:eastAsia="Source Serif 4" w:hAnsi="Source Serif 4"/>
          <w:b/>
          <w:bCs/>
          <w:color w:val="B45309"/>
          <w:sz w:val="24"/>
          <w:szCs w:val="24"/>
        </w:rPr>
        <w:t xml:space="preserve">7.4 Kriteria Rujukan ke Subspesialis Fetomaternal</w:t>
      </w:r>
    </w:p>
    <w:p>
      <w:pPr>
        <w:pStyle w:val="ListParagraph"/>
        <w:numPr>
          <w:ilvl w:val="0"/>
          <w:numId w:val="2"/>
        </w:numPr>
        <w:spacing w:after="100" w:line="290"/>
      </w:pPr>
      <w:r>
        <w:rPr>
          <w:rFonts w:ascii="IBM Plex Sans" w:cs="IBM Plex Sans" w:eastAsia="IBM Plex Sans" w:hAnsi="IBM Plex Sans"/>
          <w:color w:val="334155"/>
          <w:sz w:val="22"/>
          <w:szCs w:val="22"/>
        </w:rPr>
        <w:t xml:space="preserve">Seluruh kehamilan pada usia di bawah 15 tahun, sejak kontak pertama, dirujuk untuk konsultasi/pengelolaan bersama Fetomaternal.</w:t>
      </w:r>
    </w:p>
    <w:p>
      <w:pPr>
        <w:pStyle w:val="ListParagraph"/>
        <w:numPr>
          <w:ilvl w:val="0"/>
          <w:numId w:val="2"/>
        </w:numPr>
        <w:spacing w:after="100" w:line="290"/>
      </w:pPr>
      <w:r>
        <w:rPr>
          <w:rFonts w:ascii="IBM Plex Sans" w:cs="IBM Plex Sans" w:eastAsia="IBM Plex Sans" w:hAnsi="IBM Plex Sans"/>
          <w:color w:val="334155"/>
          <w:sz w:val="22"/>
          <w:szCs w:val="22"/>
        </w:rPr>
        <w:t xml:space="preserve">Ditemukan preeklamsia, gangguan hipertensi kehamilan, atau tanda pertumbuhan janin terhambat pada usia berapa pun dalam kelompok remaja.</w:t>
      </w:r>
    </w:p>
    <w:p>
      <w:pPr>
        <w:pStyle w:val="ListParagraph"/>
        <w:numPr>
          <w:ilvl w:val="0"/>
          <w:numId w:val="2"/>
        </w:numPr>
        <w:spacing w:after="100" w:line="290"/>
      </w:pPr>
      <w:r>
        <w:rPr>
          <w:rFonts w:ascii="IBM Plex Sans" w:cs="IBM Plex Sans" w:eastAsia="IBM Plex Sans" w:hAnsi="IBM Plex Sans"/>
          <w:color w:val="334155"/>
          <w:sz w:val="22"/>
          <w:szCs w:val="22"/>
        </w:rPr>
        <w:t xml:space="preserve">Anemia berat yang tidak berespons terhadap terapi besi oral standar.</w:t>
      </w:r>
    </w:p>
    <w:p>
      <w:pPr>
        <w:pStyle w:val="ListParagraph"/>
        <w:numPr>
          <w:ilvl w:val="0"/>
          <w:numId w:val="2"/>
        </w:numPr>
        <w:spacing w:after="100" w:line="290"/>
      </w:pPr>
      <w:r>
        <w:rPr>
          <w:rFonts w:ascii="IBM Plex Sans" w:cs="IBM Plex Sans" w:eastAsia="IBM Plex Sans" w:hAnsi="IBM Plex Sans"/>
          <w:color w:val="334155"/>
          <w:sz w:val="22"/>
          <w:szCs w:val="22"/>
        </w:rPr>
        <w:t xml:space="preserve">Kecurigaan disproporsi sefalopelvik pada trimester ketiga.</w:t>
      </w:r>
    </w:p>
    <w:p>
      <w:pPr>
        <w:pStyle w:val="ListParagraph"/>
        <w:numPr>
          <w:ilvl w:val="0"/>
          <w:numId w:val="2"/>
        </w:numPr>
        <w:spacing w:after="100" w:line="290"/>
      </w:pPr>
      <w:r>
        <w:rPr>
          <w:rFonts w:ascii="IBM Plex Sans" w:cs="IBM Plex Sans" w:eastAsia="IBM Plex Sans" w:hAnsi="IBM Plex Sans"/>
          <w:color w:val="334155"/>
          <w:sz w:val="22"/>
          <w:szCs w:val="22"/>
        </w:rPr>
        <w:t xml:space="preserve">Persalinan preterm mengancam sebelum usia gestasi 34 minggu.</w:t>
      </w:r>
    </w:p>
    <w:p>
      <w:pPr>
        <w:pStyle w:val="ListParagraph"/>
        <w:numPr>
          <w:ilvl w:val="0"/>
          <w:numId w:val="2"/>
        </w:numPr>
        <w:spacing w:after="100" w:line="290"/>
      </w:pPr>
      <w:r>
        <w:rPr>
          <w:rFonts w:ascii="IBM Plex Sans" w:cs="IBM Plex Sans" w:eastAsia="IBM Plex Sans" w:hAnsi="IBM Plex Sans"/>
          <w:color w:val="334155"/>
          <w:sz w:val="22"/>
          <w:szCs w:val="22"/>
        </w:rPr>
        <w:t xml:space="preserve">Komorbiditas medis signifikan (misalnya penyakit jantung, diabetes) yang memerlukan pengelolaan kehamilan risiko tinggi terintegrasi.</w:t>
      </w:r>
    </w:p>
    <w:p>
      <w:pPr>
        <w:pStyle w:val="ListParagraph"/>
        <w:numPr>
          <w:ilvl w:val="0"/>
          <w:numId w:val="2"/>
        </w:numPr>
        <w:spacing w:after="100" w:line="290"/>
      </w:pPr>
      <w:r>
        <w:rPr>
          <w:rFonts w:ascii="IBM Plex Sans" w:cs="IBM Plex Sans" w:eastAsia="IBM Plex Sans" w:hAnsi="IBM Plex Sans"/>
          <w:color w:val="334155"/>
          <w:sz w:val="22"/>
          <w:szCs w:val="22"/>
        </w:rPr>
        <w:t xml:space="preserve">Kehamilan yang diketahui merupakan akibat kekerasan seksual, untuk pengelolaan medis dan psikososial terintegrasi bersama divisi Obstetri Ginekologi Sosial.</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100" w:line="290"/>
      </w:pPr>
      <w:r>
        <w:rPr>
          <w:rFonts w:ascii="IBM Plex Sans" w:cs="IBM Plex Sans" w:eastAsia="IBM Plex Sans" w:hAnsi="IBM Plex Sans"/>
          <w:color w:val="334155"/>
          <w:sz w:val="22"/>
          <w:szCs w:val="22"/>
        </w:rPr>
        <w:t xml:space="preserve">Edukasi tanda bahaya kehamilan dan pentingnya kepatuhan jadwal kunjungan antenatal, disampaikan dengan bahasa sederhana dan melibatkan pendamping dewasa terpercaya.</w:t>
      </w:r>
    </w:p>
    <w:p>
      <w:pPr>
        <w:pStyle w:val="ListParagraph"/>
        <w:numPr>
          <w:ilvl w:val="0"/>
          <w:numId w:val="2"/>
        </w:numPr>
        <w:spacing w:after="100" w:line="290"/>
      </w:pPr>
      <w:r>
        <w:rPr>
          <w:rFonts w:ascii="IBM Plex Sans" w:cs="IBM Plex Sans" w:eastAsia="IBM Plex Sans" w:hAnsi="IBM Plex Sans"/>
          <w:color w:val="334155"/>
          <w:sz w:val="22"/>
          <w:szCs w:val="22"/>
        </w:rPr>
        <w:t xml:space="preserve">Edukasi gizi seimbang dan kepatuhan suplementasi besi-folat, dengan pendekatan yang mempertimbangkan kebiasaan makan remaja.</w:t>
      </w:r>
    </w:p>
    <w:p>
      <w:pPr>
        <w:pStyle w:val="ListParagraph"/>
        <w:numPr>
          <w:ilvl w:val="0"/>
          <w:numId w:val="2"/>
        </w:numPr>
        <w:spacing w:after="100" w:line="290"/>
      </w:pPr>
      <w:r>
        <w:rPr>
          <w:rFonts w:ascii="IBM Plex Sans" w:cs="IBM Plex Sans" w:eastAsia="IBM Plex Sans" w:hAnsi="IBM Plex Sans"/>
          <w:color w:val="334155"/>
          <w:sz w:val="22"/>
          <w:szCs w:val="22"/>
        </w:rPr>
        <w:t xml:space="preserve">Konseling perencanaan persalinan dan kesiapan menghadapi komplikasi (birth preparedness and complication readiness).</w:t>
      </w:r>
    </w:p>
    <w:p>
      <w:pPr>
        <w:pStyle w:val="ListParagraph"/>
        <w:numPr>
          <w:ilvl w:val="0"/>
          <w:numId w:val="2"/>
        </w:numPr>
        <w:spacing w:after="100" w:line="290"/>
      </w:pPr>
      <w:r>
        <w:rPr>
          <w:rFonts w:ascii="IBM Plex Sans" w:cs="IBM Plex Sans" w:eastAsia="IBM Plex Sans" w:hAnsi="IBM Plex Sans"/>
          <w:color w:val="334155"/>
          <w:sz w:val="22"/>
          <w:szCs w:val="22"/>
        </w:rPr>
        <w:t xml:space="preserve">Konseling kontrasepsi pascasalin dan pencegahan kehamilan berulang pada usia remaja, dirujuk lebih lanjut ke PPK Kontrasepsi (No. 70) sesuai kebutuhan, dengan prinsip pilihan metode berbasis persetujuan pasien tanpa unsur paksaan.</w:t>
      </w:r>
    </w:p>
    <w:p>
      <w:pPr>
        <w:pStyle w:val="ListParagraph"/>
        <w:numPr>
          <w:ilvl w:val="0"/>
          <w:numId w:val="2"/>
        </w:numPr>
        <w:spacing w:after="100" w:line="290"/>
      </w:pPr>
      <w:r>
        <w:rPr>
          <w:rFonts w:ascii="IBM Plex Sans" w:cs="IBM Plex Sans" w:eastAsia="IBM Plex Sans" w:hAnsi="IBM Plex Sans"/>
          <w:color w:val="334155"/>
          <w:sz w:val="22"/>
          <w:szCs w:val="22"/>
        </w:rPr>
        <w:t xml:space="preserve">Edukasi dan fasilitasi keberlanjutan pendidikan formal (kembali bersekolah) sebagai bagian dari pemulihan psikososial jangka panjang, bekerja sama dengan layanan sosial dan pendidikan setempat.</w:t>
      </w:r>
    </w:p>
    <w:p>
      <w:pPr>
        <w:pStyle w:val="ListParagraph"/>
        <w:numPr>
          <w:ilvl w:val="0"/>
          <w:numId w:val="2"/>
        </w:numPr>
        <w:spacing w:after="100" w:line="290"/>
      </w:pPr>
      <w:r>
        <w:rPr>
          <w:rFonts w:ascii="IBM Plex Sans" w:cs="IBM Plex Sans" w:eastAsia="IBM Plex Sans" w:hAnsi="IBM Plex Sans"/>
          <w:color w:val="334155"/>
          <w:sz w:val="22"/>
          <w:szCs w:val="22"/>
        </w:rPr>
        <w:t xml:space="preserve">Edukasi keluarga mengenai pentingnya dukungan tanpa stigma untuk menurunkan risiko kekerasan dan tekanan psikologis pada pasien remaja.</w:t>
      </w:r>
    </w:p>
    <w:p>
      <w:pPr>
        <w:pStyle w:val="ListParagraph"/>
        <w:numPr>
          <w:ilvl w:val="0"/>
          <w:numId w:val="2"/>
        </w:numPr>
        <w:spacing w:after="100" w:line="290"/>
      </w:pPr>
      <w:r>
        <w:rPr>
          <w:rFonts w:ascii="IBM Plex Sans" w:cs="IBM Plex Sans" w:eastAsia="IBM Plex Sans" w:hAnsi="IBM Plex Sans"/>
          <w:color w:val="334155"/>
          <w:sz w:val="22"/>
          <w:szCs w:val="22"/>
        </w:rPr>
        <w:t xml:space="preserve">Edukasi mengenai hak pasien atas informasi kesehatan reproduksi yang akurat dan layanan yang menghormati martabat serta kerahasiaan, sejalan dengan pendekatan berbasis hak yang dianjurkan standar internasional.</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2"/>
          <w:szCs w:val="22"/>
        </w:rPr>
        <w:t xml:space="preserve">Prognosis maternal dan perinatal pada kehamilan remaja umumnya baik bila risiko biomedis terdeteksi dan dikelola sejak dini melalui asuhan antenatal terjadwal-lebih-ketat dan rujukan tepat waktu ke subspesialis Fetomaternal. Tanpa deteksi dini, risiko anemia, preeklamsia, persalinan preterm, dan berat bayi lahir rendah meningkat dibandingkan kehamilan pada usia reproduksi optimal, terutama pada kelompok remaja awal dengan kematangan biologis yang belum optimal.</w:t>
      </w:r>
    </w:p>
    <w:p>
      <w:pPr>
        <w:spacing w:after="160" w:line="300"/>
      </w:pPr>
      <w:r>
        <w:rPr>
          <w:rFonts w:ascii="IBM Plex Sans" w:cs="IBM Plex Sans" w:eastAsia="IBM Plex Sans" w:hAnsi="IBM Plex Sans"/>
          <w:color w:val="334155"/>
          <w:sz w:val="22"/>
          <w:szCs w:val="22"/>
        </w:rPr>
        <w:t xml:space="preserve">Prognosis psikososial jangka panjang bergantung pada keberlanjutan pendidikan, dukungan keluarga, dan akses layanan kontrasepsi pascasalin untuk mencegah kehamilan berulang pada usia remaja. Keberhasilan reintegrasi pendidikan dan dukungan sosial berkelanjutan merupakan penentu penting kualitas hidup jangka panjang pasien dan anaknya.</w:t>
      </w:r>
    </w:p>
    <w:p>
      <w:pPr>
        <w:pStyle w:val="Heading1"/>
        <w:spacing w:after="200" w:before="300"/>
      </w:pPr>
      <w:r>
        <w:rPr>
          <w:rFonts w:ascii="Source Serif 4" w:cs="Source Serif 4" w:eastAsia="Source Serif 4" w:hAnsi="Source Serif 4"/>
          <w:b/>
          <w:bCs/>
          <w:color w:val="4F46E5"/>
          <w:sz w:val="30"/>
          <w:szCs w:val="30"/>
        </w:rPr>
        <w:t xml:space="preserve">10. Tingkat Evidens dan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Kekuatan Rekomendasi</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Kontak antenatal minimal 8 kali dengan penambahan frekuensi pada kehamilan remaja berisiko tinggi</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Sedang</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Recommendations on Antenatal Care (2016)</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Suplementasi besi-folat rutin dalam kehamilan untuk pencegahan anemia</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Tinggi</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Recommendations on Antenatal Care (2016)</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Rujukan proaktif ke layanan risiko tinggi/subspesialis pada remaja usia di bawah 15 tahun</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Sedang</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 (konsensus ahli)</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Kepkonsil Tabel 7; WHO Guideline on Preventing Early Pregnancy Among Adolescents in LMICs (2025)</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Intervensi berbasis kebutuhan spesifik kelompok remaja (bukan pendekatan seragam) untuk pencegahan kehamilan berulang dan luaran reproduksi buruk</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Sedang</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Guideline on Preventing Early Pregnancy Among Adolescents in LMICs (2025)</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Konseling dan akses kontrasepsi pascasalin berbasis pilihan pasien untuk mencegah kehamilan berulang pada remaja</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Sedang-Tinggi</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tcW w:type="dxa" w:w="225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Committee Opinion No. 699 (2017); Cochrane Oringanje dkk. (2016)</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Optimalisasi status gizi remaja sebelum dan selama kehamilan sebagai intervensi lini pertama luaran kehamilan</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Sedang</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 (konsensus ahli)</w:t>
            </w:r>
          </w:p>
        </w:tc>
        <w:tc>
          <w:tcPr>
            <w:tcW w:type="dxa" w:w="225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FIGO "Think Nutrition First" (Hanson dkk., 2015)</w:t>
            </w:r>
          </w:p>
        </w:tc>
      </w:tr>
    </w:tbl>
    <w:p>
      <w:pPr>
        <w:spacing w:after="160"/>
      </w:pPr>
    </w:p>
    <w:p>
      <w:pPr>
        <w:pStyle w:val="Heading1"/>
        <w:spacing w:after="200" w:before="300"/>
      </w:pPr>
      <w:r>
        <w:rPr>
          <w:rFonts w:ascii="Source Serif 4" w:cs="Source Serif 4" w:eastAsia="Source Serif 4" w:hAnsi="Source Serif 4"/>
          <w:b/>
          <w:bCs/>
          <w:color w:val="4F46E5"/>
          <w:sz w:val="30"/>
          <w:szCs w:val="30"/>
        </w:rPr>
        <w:t xml:space="preserve">11. Indikator Medis</w:t>
      </w:r>
    </w:p>
    <w:p>
      <w:pPr>
        <w:pStyle w:val="ListParagraph"/>
        <w:numPr>
          <w:ilvl w:val="0"/>
          <w:numId w:val="2"/>
        </w:numPr>
        <w:spacing w:after="100" w:line="290"/>
      </w:pPr>
      <w:r>
        <w:rPr>
          <w:rFonts w:ascii="IBM Plex Sans" w:cs="IBM Plex Sans" w:eastAsia="IBM Plex Sans" w:hAnsi="IBM Plex Sans"/>
          <w:color w:val="334155"/>
          <w:sz w:val="22"/>
          <w:szCs w:val="22"/>
        </w:rPr>
        <w:t xml:space="preserve">Proporsi pasien kehamilan remaja yang menyelesaikan minimal 8 kali kontak antenatal sesuai jadwal.</w:t>
      </w:r>
    </w:p>
    <w:p>
      <w:pPr>
        <w:pStyle w:val="ListParagraph"/>
        <w:numPr>
          <w:ilvl w:val="0"/>
          <w:numId w:val="2"/>
        </w:numPr>
        <w:spacing w:after="100" w:line="290"/>
      </w:pPr>
      <w:r>
        <w:rPr>
          <w:rFonts w:ascii="IBM Plex Sans" w:cs="IBM Plex Sans" w:eastAsia="IBM Plex Sans" w:hAnsi="IBM Plex Sans"/>
          <w:color w:val="334155"/>
          <w:sz w:val="22"/>
          <w:szCs w:val="22"/>
        </w:rPr>
        <w:t xml:space="preserve">Proporsi pasien dengan skrining hemoglobin dan tekanan darah pada setiap kunjungan trimester kedua dan ketiga terdokumentasi lengkap.</w:t>
      </w:r>
    </w:p>
    <w:p>
      <w:pPr>
        <w:pStyle w:val="ListParagraph"/>
        <w:numPr>
          <w:ilvl w:val="0"/>
          <w:numId w:val="2"/>
        </w:numPr>
        <w:spacing w:after="100" w:line="290"/>
      </w:pPr>
      <w:r>
        <w:rPr>
          <w:rFonts w:ascii="IBM Plex Sans" w:cs="IBM Plex Sans" w:eastAsia="IBM Plex Sans" w:hAnsi="IBM Plex Sans"/>
          <w:color w:val="334155"/>
          <w:sz w:val="22"/>
          <w:szCs w:val="22"/>
        </w:rPr>
        <w:t xml:space="preserve">Proporsi kehamilan remaja usia di bawah 15 tahun yang dirujuk/dikonsulkan ke Fetomaternal sejak kontak pertama.</w:t>
      </w:r>
    </w:p>
    <w:p>
      <w:pPr>
        <w:pStyle w:val="ListParagraph"/>
        <w:numPr>
          <w:ilvl w:val="0"/>
          <w:numId w:val="2"/>
        </w:numPr>
        <w:spacing w:after="100" w:line="290"/>
      </w:pPr>
      <w:r>
        <w:rPr>
          <w:rFonts w:ascii="IBM Plex Sans" w:cs="IBM Plex Sans" w:eastAsia="IBM Plex Sans" w:hAnsi="IBM Plex Sans"/>
          <w:color w:val="334155"/>
          <w:sz w:val="22"/>
          <w:szCs w:val="22"/>
        </w:rPr>
        <w:t xml:space="preserve">Angka komplikasi maternal (anemia berat, preeklamsia, persalinan preterm) pada kohort kehamilan remaja per periode pelaporan [DATA: rujuk laporan/registri resmi terbaru — mis. Kemenkes, BKKBN, POGI, WHO].</w:t>
      </w:r>
    </w:p>
    <w:p>
      <w:pPr>
        <w:pStyle w:val="ListParagraph"/>
        <w:numPr>
          <w:ilvl w:val="0"/>
          <w:numId w:val="2"/>
        </w:numPr>
        <w:spacing w:after="100" w:line="290"/>
      </w:pPr>
      <w:r>
        <w:rPr>
          <w:rFonts w:ascii="IBM Plex Sans" w:cs="IBM Plex Sans" w:eastAsia="IBM Plex Sans" w:hAnsi="IBM Plex Sans"/>
          <w:color w:val="334155"/>
          <w:sz w:val="22"/>
          <w:szCs w:val="22"/>
        </w:rPr>
        <w:t xml:space="preserve">Proporsi pasien yang menerima konseling kontrasepsi pascasalin sebelum pulang dari fasilitas persalinan.</w:t>
      </w:r>
    </w:p>
    <w:p>
      <w:pPr>
        <w:pStyle w:val="ListParagraph"/>
        <w:numPr>
          <w:ilvl w:val="0"/>
          <w:numId w:val="2"/>
        </w:numPr>
        <w:spacing w:after="100" w:line="290"/>
      </w:pPr>
      <w:r>
        <w:rPr>
          <w:rFonts w:ascii="IBM Plex Sans" w:cs="IBM Plex Sans" w:eastAsia="IBM Plex Sans" w:hAnsi="IBM Plex Sans"/>
          <w:color w:val="334155"/>
          <w:sz w:val="22"/>
          <w:szCs w:val="22"/>
        </w:rPr>
        <w:t xml:space="preserve">Proporsi pasien remaja hamil yang kembali melanjutkan pendidikan formal dalam periode pemantauan pascasalin yang ditetapkan fasilitas.</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Tabel 7 No. 69) menetapkan kehamilan remaja sebagai entri tersendiri dalam spektrum penyakit dan kondisi klinis yang wajib ditangani spesialis Obstetri dan Ginekologi, tanpa merinci lebih lanjut protokol operasional spesifik di luar pengawasan kehamilan berisiko. Standar internasional berikut memperkaya, bukan menggantikan, standar nasional tersebut.</w:t>
      </w:r>
    </w:p>
    <w:p>
      <w:pPr>
        <w:pStyle w:val="ListParagraph"/>
        <w:numPr>
          <w:ilvl w:val="0"/>
          <w:numId w:val="2"/>
        </w:numPr>
        <w:spacing w:after="100" w:line="290"/>
      </w:pPr>
      <w:r>
        <w:rPr>
          <w:rFonts w:ascii="IBM Plex Sans" w:cs="IBM Plex Sans" w:eastAsia="IBM Plex Sans" w:hAnsi="IBM Plex Sans"/>
          <w:color w:val="334155"/>
          <w:sz w:val="22"/>
          <w:szCs w:val="22"/>
        </w:rPr>
        <w:t xml:space="preserve">WHO Recommendations on Antenatal Care for a Positive Pregnancy Experience (Geneva: WHO, 2016) — merekomendasikan model kontak antenatal minimal delapan kali sebagai standar minimal, secara eksplisit berlaku bagi ibu hamil dan remaja perempuan ("pregnant women and adolescent girls"), dengan penekanan pada asuhan berpusat-pada-orang dan berbasis hak.</w:t>
      </w:r>
    </w:p>
    <w:p>
      <w:pPr>
        <w:pStyle w:val="ListParagraph"/>
        <w:numPr>
          <w:ilvl w:val="0"/>
          <w:numId w:val="2"/>
        </w:numPr>
        <w:spacing w:after="100" w:line="290"/>
      </w:pPr>
      <w:r>
        <w:rPr>
          <w:rFonts w:ascii="IBM Plex Sans" w:cs="IBM Plex Sans" w:eastAsia="IBM Plex Sans" w:hAnsi="IBM Plex Sans"/>
          <w:color w:val="334155"/>
          <w:sz w:val="22"/>
          <w:szCs w:val="22"/>
        </w:rPr>
        <w:t xml:space="preserve">WHO Guideline on Preventing Early Pregnancy and Poor Reproductive Outcomes Among Adolescents in Low- and Middle-Income Countries, edisi kedua (Geneva: WHO, 2025) — memperbarui edisi 2011 dengan pergeseran pendekatan dari intervensi seragam bagi seluruh remaja menjadi intervensi yang ditargetkan berdasarkan kebutuhan spesifik kelompok remaja, termasuk penguatan akses layanan antenatal dan kontrasepsi pascasalin yang ramah-remaja.</w:t>
      </w:r>
    </w:p>
    <w:p>
      <w:pPr>
        <w:pStyle w:val="ListParagraph"/>
        <w:numPr>
          <w:ilvl w:val="0"/>
          <w:numId w:val="2"/>
        </w:numPr>
        <w:spacing w:after="100" w:line="290"/>
      </w:pPr>
      <w:r>
        <w:rPr>
          <w:rFonts w:ascii="IBM Plex Sans" w:cs="IBM Plex Sans" w:eastAsia="IBM Plex Sans" w:hAnsi="IBM Plex Sans"/>
          <w:color w:val="334155"/>
          <w:sz w:val="22"/>
          <w:szCs w:val="22"/>
        </w:rPr>
        <w:t xml:space="preserve">ACOG Committee Opinion No. 699, "Adolescent Pregnancy, Contraception, and Sexual Activity" (Obstet Gynecol, 2017) — menekankan akses remaja terhadap seluruh metode kontrasepsi yang disetujui otoritas obat setempat, dengan pilihan pasien sebagai faktor utama, serta penggunaan metode ganda (dual method use) untuk pencegahan infeksi menular seksual sekaligus kehamilan berulang.</w:t>
      </w:r>
    </w:p>
    <w:p>
      <w:pPr>
        <w:pStyle w:val="ListParagraph"/>
        <w:numPr>
          <w:ilvl w:val="0"/>
          <w:numId w:val="2"/>
        </w:numPr>
        <w:spacing w:after="100" w:line="290"/>
      </w:pPr>
      <w:r>
        <w:rPr>
          <w:rFonts w:ascii="IBM Plex Sans" w:cs="IBM Plex Sans" w:eastAsia="IBM Plex Sans" w:hAnsi="IBM Plex Sans"/>
          <w:color w:val="334155"/>
          <w:sz w:val="22"/>
          <w:szCs w:val="22"/>
        </w:rPr>
        <w:t xml:space="preserve">FIGO Recommendations on Adolescent, Preconception, and Maternal Nutrition, "Think Nutrition First" (Hanson dkk., Int J Gynaecol Obstet, 2015) — merekomendasikan optimalisasi status gizi remaja sebelum dan selama kehamilan sebagai intervensi lini pertama untuk memperbaiki luaran kehamilan pada kelompok usia ini, dalam kerangka pendekatan siklus hidup (life course approach).</w:t>
      </w:r>
    </w:p>
    <w:p>
      <w:pPr>
        <w:pStyle w:val="ListParagraph"/>
        <w:numPr>
          <w:ilvl w:val="0"/>
          <w:numId w:val="2"/>
        </w:numPr>
        <w:spacing w:after="100" w:line="290"/>
      </w:pPr>
      <w:r>
        <w:rPr>
          <w:rFonts w:ascii="IBM Plex Sans" w:cs="IBM Plex Sans" w:eastAsia="IBM Plex Sans" w:hAnsi="IBM Plex Sans"/>
          <w:color w:val="334155"/>
          <w:sz w:val="22"/>
          <w:szCs w:val="22"/>
        </w:rPr>
        <w:t xml:space="preserve">Cochrane Oringanje dkk., "Interventions for Preventing Unintended Pregnancies Among Adolescents" (Cochrane Database Syst Rev, 2016, CD005215) — menyimpulkan bahwa intervensi promosi kontrasepsi lebih konsisten meningkatkan penggunaan kontrasepsi hormonal dibandingkan edukasi semata, mendukung penguatan konseling kontrasepsi pascasalin dalam PPK ini.</w:t>
      </w:r>
    </w:p>
    <w:p>
      <w:pPr>
        <w:spacing w:after="80"/>
      </w:pPr>
    </w:p>
    <w:p>
      <w:pPr>
        <w:spacing w:after="160" w:line="300"/>
      </w:pPr>
      <w:r>
        <w:rPr>
          <w:rFonts w:ascii="IBM Plex Sans" w:cs="IBM Plex Sans" w:eastAsia="IBM Plex Sans" w:hAnsi="IBM Plex Sans"/>
          <w:color w:val="334155"/>
          <w:sz w:val="22"/>
          <w:szCs w:val="22"/>
        </w:rPr>
        <w:t xml:space="preserve">Perbedaan penekanan: standar nasional (Kepkonsil) mengelompokkan kehamilan remaja sebagai satu entri diagnosis dalam pengawasan kehamilan berisiko tanpa subklasifikasi usia; standar internasional (WHO 2025) merekomendasikan subklasifikasi kebutuhan berdasarkan kelompok usia remaja (10-14 tahun vs 15-19 tahun) untuk penargetan intervensi yang lebih presisi. Praktik di Indonesia mengikuti standar nasional untuk klasifikasi diagnosis, dengan subklasifikasi usia pada PPK ini diadopsi sebagai pengayaan operasional non-superior mengikuti rekomendasi WHO.</w:t>
      </w:r>
    </w:p>
    <w:p>
      <w:pPr>
        <w:pStyle w:val="Heading1"/>
        <w:spacing w:after="200" w:before="300"/>
      </w:pPr>
      <w:r>
        <w:rPr>
          <w:rFonts w:ascii="Source Serif 4" w:cs="Source Serif 4" w:eastAsia="Source Serif 4" w:hAnsi="Source Serif 4"/>
          <w:b/>
          <w:bCs/>
          <w:color w:val="4F46E5"/>
          <w:sz w:val="30"/>
          <w:szCs w:val="30"/>
        </w:rPr>
        <w:t xml:space="preserve">13. Kepustakaan</w:t>
      </w:r>
    </w:p>
    <w:p>
      <w:pPr>
        <w:pStyle w:val="ListParagraph"/>
        <w:numPr>
          <w:ilvl w:val="0"/>
          <w:numId w:val="3"/>
        </w:numPr>
        <w:spacing w:after="100" w:line="290"/>
      </w:pPr>
      <w:r>
        <w:rPr>
          <w:rFonts w:ascii="IBM Plex Sans" w:cs="IBM Plex Sans" w:eastAsia="IBM Plex Sans" w:hAnsi="IBM Plex Sans"/>
          <w:color w:val="334155"/>
          <w:sz w:val="22"/>
          <w:szCs w:val="22"/>
        </w:rPr>
        <w:t xml:space="preserve">Konsil Kesehatan Indonesia. Keputusan Ketua Konsil Kesehatan Indonesia No. HK.01.02/KKI/1318/2026 tentang Standar Kompetensi Dokter Spesialis dan Subspesialis Bidang Obstetri dan Ginekologi. Tabel 7 Lampiran, entri No. 69.</w:t>
      </w:r>
    </w:p>
    <w:p>
      <w:pPr>
        <w:pStyle w:val="ListParagraph"/>
        <w:numPr>
          <w:ilvl w:val="0"/>
          <w:numId w:val="3"/>
        </w:numPr>
        <w:spacing w:after="100" w:line="290"/>
      </w:pPr>
      <w:r>
        <w:rPr>
          <w:rFonts w:ascii="IBM Plex Sans" w:cs="IBM Plex Sans" w:eastAsia="IBM Plex Sans" w:hAnsi="IBM Plex Sans"/>
          <w:color w:val="334155"/>
          <w:sz w:val="22"/>
          <w:szCs w:val="22"/>
        </w:rPr>
        <w:t xml:space="preserve">World Health Organization. WHO Recommendations on Antenatal Care for a Positive Pregnancy Experience. Geneva: WHO; 2016. ISBN 978-92-4-154991-2. Tersedia pada: https://www.who.int/publications/i/item/9789241549912</w:t>
      </w:r>
    </w:p>
    <w:p>
      <w:pPr>
        <w:pStyle w:val="ListParagraph"/>
        <w:numPr>
          <w:ilvl w:val="0"/>
          <w:numId w:val="3"/>
        </w:numPr>
        <w:spacing w:after="100" w:line="290"/>
      </w:pPr>
      <w:r>
        <w:rPr>
          <w:rFonts w:ascii="IBM Plex Sans" w:cs="IBM Plex Sans" w:eastAsia="IBM Plex Sans" w:hAnsi="IBM Plex Sans"/>
          <w:color w:val="334155"/>
          <w:sz w:val="22"/>
          <w:szCs w:val="22"/>
        </w:rPr>
        <w:t xml:space="preserve">World Health Organization. WHO Guideline on Preventing Early Pregnancy and Poor Reproductive Outcomes Among Adolescents in Low- and Middle-Income Countries, 2nd ed. Geneva: WHO; 2025. ISBN 978-92-4-010410-5. Tersedia pada: https://www.who.int/publications/i/item/9789240104105</w:t>
      </w:r>
    </w:p>
    <w:p>
      <w:pPr>
        <w:pStyle w:val="ListParagraph"/>
        <w:numPr>
          <w:ilvl w:val="0"/>
          <w:numId w:val="3"/>
        </w:numPr>
        <w:spacing w:after="100" w:line="290"/>
      </w:pPr>
      <w:r>
        <w:rPr>
          <w:rFonts w:ascii="IBM Plex Sans" w:cs="IBM Plex Sans" w:eastAsia="IBM Plex Sans" w:hAnsi="IBM Plex Sans"/>
          <w:color w:val="334155"/>
          <w:sz w:val="22"/>
          <w:szCs w:val="22"/>
        </w:rPr>
        <w:t xml:space="preserve">Committee on Adolescent Health Care. Committee Opinion No. 699: Adolescent Pregnancy, Contraception, and Sexual Activity. American College of Obstetricians and Gynecologists. Obstet Gynecol. 2017;129(5):e142-e149. doi: 10.1097/AOG.0000000000002045</w:t>
      </w:r>
    </w:p>
    <w:p>
      <w:pPr>
        <w:pStyle w:val="ListParagraph"/>
        <w:numPr>
          <w:ilvl w:val="0"/>
          <w:numId w:val="3"/>
        </w:numPr>
        <w:spacing w:after="100" w:line="290"/>
      </w:pPr>
      <w:r>
        <w:rPr>
          <w:rFonts w:ascii="IBM Plex Sans" w:cs="IBM Plex Sans" w:eastAsia="IBM Plex Sans" w:hAnsi="IBM Plex Sans"/>
          <w:color w:val="334155"/>
          <w:sz w:val="22"/>
          <w:szCs w:val="22"/>
        </w:rPr>
        <w:t xml:space="preserve">Hanson MA, Bardsley A, De-Regil LM, Moore SE, Oken E, Poston L, Ma RC, McAuliffe FM, Maleta K, Purandare CN, Yajnik CS, Rushwan H, Morris JL. The International Federation of Gynecology and Obstetrics (FIGO) Recommendations on Adolescent, Preconception, and Maternal Nutrition: "Think Nutrition First". Int J Gynaecol Obstet. 2015;131(Suppl 4):S213-S253. doi: 10.1016/S0020-7292(15)30034-5</w:t>
      </w:r>
    </w:p>
    <w:p>
      <w:pPr>
        <w:pStyle w:val="ListParagraph"/>
        <w:numPr>
          <w:ilvl w:val="0"/>
          <w:numId w:val="3"/>
        </w:numPr>
        <w:spacing w:after="100" w:line="290"/>
      </w:pPr>
      <w:r>
        <w:rPr>
          <w:rFonts w:ascii="IBM Plex Sans" w:cs="IBM Plex Sans" w:eastAsia="IBM Plex Sans" w:hAnsi="IBM Plex Sans"/>
          <w:color w:val="334155"/>
          <w:sz w:val="22"/>
          <w:szCs w:val="22"/>
        </w:rPr>
        <w:t xml:space="preserve">Oringanje C, Meremikwu MM, Eko H, Esu E, Meremikwu A, Ehiri JE. Interventions for Preventing Unintended Pregnancies Among Adolescents. Cochrane Database Syst Rev. 2016;2(2):CD005215. doi: 10.1002/14651858.CD005215.pub3</w:t>
      </w:r>
    </w:p>
    <w:p>
      <w:pPr>
        <w:spacing w:after="80"/>
      </w:pPr>
    </w:p>
    <w:p>
      <w:pPr>
        <w:pStyle w:val="Heading1"/>
        <w:spacing w:after="200" w:before="300"/>
      </w:pPr>
      <w:r>
        <w:rPr>
          <w:rFonts w:ascii="Source Serif 4" w:cs="Source Serif 4" w:eastAsia="Source Serif 4" w:hAnsi="Source Serif 4"/>
          <w:b/>
          <w:bCs/>
          <w:color w:val="4F46E5"/>
          <w:sz w:val="30"/>
          <w:szCs w:val="30"/>
        </w:rPr>
        <w:t xml:space="preserve">Glosarium</w:t>
      </w:r>
    </w:p>
    <w:p>
      <w:pPr>
        <w:spacing w:after="120"/>
      </w:pPr>
      <w:r>
        <w:rPr>
          <w:rFonts w:ascii="IBM Plex Mono" w:cs="IBM Plex Mono" w:eastAsia="IBM Plex Mono" w:hAnsi="IBM Plex Mono"/>
          <w:b/>
          <w:bCs/>
          <w:color w:val="334155"/>
          <w:sz w:val="20"/>
          <w:szCs w:val="20"/>
        </w:rPr>
        <w:t xml:space="preserve">Kehamilan remaja / Teenage pregnancy — </w:t>
      </w:r>
      <w:r>
        <w:rPr>
          <w:rFonts w:ascii="IBM Plex Sans" w:cs="IBM Plex Sans" w:eastAsia="IBM Plex Sans" w:hAnsi="IBM Plex Sans"/>
          <w:color w:val="334155"/>
          <w:sz w:val="21"/>
          <w:szCs w:val="21"/>
        </w:rPr>
        <w:t xml:space="preserve">Kehamilan yang terjadi pada perempuan berusia di bawah 20 tahun, terhitung sejak hari pertama haid terakhir hingga persalinan.</w:t>
      </w:r>
    </w:p>
    <w:p>
      <w:pPr>
        <w:spacing w:after="120"/>
      </w:pPr>
      <w:r>
        <w:rPr>
          <w:rFonts w:ascii="IBM Plex Mono" w:cs="IBM Plex Mono" w:eastAsia="IBM Plex Mono" w:hAnsi="IBM Plex Mono"/>
          <w:b/>
          <w:bCs/>
          <w:color w:val="334155"/>
          <w:sz w:val="20"/>
          <w:szCs w:val="20"/>
        </w:rPr>
        <w:t xml:space="preserve">Remaja awal / Early adolescent — </w:t>
      </w:r>
      <w:r>
        <w:rPr>
          <w:rFonts w:ascii="IBM Plex Sans" w:cs="IBM Plex Sans" w:eastAsia="IBM Plex Sans" w:hAnsi="IBM Plex Sans"/>
          <w:color w:val="334155"/>
          <w:sz w:val="21"/>
          <w:szCs w:val="21"/>
        </w:rPr>
        <w:t xml:space="preserve">Kelompok usia 10-14 tahun menurut definisi WHO, dengan risiko biomedis dan psikososial kehamilan tertinggi.</w:t>
      </w:r>
    </w:p>
    <w:p>
      <w:pPr>
        <w:spacing w:after="120"/>
      </w:pPr>
      <w:r>
        <w:rPr>
          <w:rFonts w:ascii="IBM Plex Mono" w:cs="IBM Plex Mono" w:eastAsia="IBM Plex Mono" w:hAnsi="IBM Plex Mono"/>
          <w:b/>
          <w:bCs/>
          <w:color w:val="334155"/>
          <w:sz w:val="20"/>
          <w:szCs w:val="20"/>
        </w:rPr>
        <w:t xml:space="preserve">Remaja akhir / Late adolescent — </w:t>
      </w:r>
      <w:r>
        <w:rPr>
          <w:rFonts w:ascii="IBM Plex Sans" w:cs="IBM Plex Sans" w:eastAsia="IBM Plex Sans" w:hAnsi="IBM Plex Sans"/>
          <w:color w:val="334155"/>
          <w:sz w:val="21"/>
          <w:szCs w:val="21"/>
        </w:rPr>
        <w:t xml:space="preserve">Kelompok usia 15-19 tahun menurut definisi WHO.</w:t>
      </w:r>
    </w:p>
    <w:p>
      <w:pPr>
        <w:spacing w:after="120"/>
      </w:pPr>
      <w:r>
        <w:rPr>
          <w:rFonts w:ascii="IBM Plex Mono" w:cs="IBM Plex Mono" w:eastAsia="IBM Plex Mono" w:hAnsi="IBM Plex Mono"/>
          <w:b/>
          <w:bCs/>
          <w:color w:val="334155"/>
          <w:sz w:val="20"/>
          <w:szCs w:val="20"/>
        </w:rPr>
        <w:t xml:space="preserve">Primigravida sangat muda / Very young primigravida — </w:t>
      </w:r>
      <w:r>
        <w:rPr>
          <w:rFonts w:ascii="IBM Plex Sans" w:cs="IBM Plex Sans" w:eastAsia="IBM Plex Sans" w:hAnsi="IBM Plex Sans"/>
          <w:color w:val="334155"/>
          <w:sz w:val="21"/>
          <w:szCs w:val="21"/>
        </w:rPr>
        <w:t xml:space="preserve">Istilah klasifikasi ICD (Z35.6/QA43.5) untuk perempuan hamil pertama kali pada usia remaja, digunakan sebagai kode pengawasan kehamilan risiko tinggi terkait usia.</w:t>
      </w:r>
    </w:p>
    <w:p>
      <w:pPr>
        <w:spacing w:after="120"/>
      </w:pPr>
      <w:r>
        <w:rPr>
          <w:rFonts w:ascii="IBM Plex Mono" w:cs="IBM Plex Mono" w:eastAsia="IBM Plex Mono" w:hAnsi="IBM Plex Mono"/>
          <w:b/>
          <w:bCs/>
          <w:color w:val="334155"/>
          <w:sz w:val="20"/>
          <w:szCs w:val="20"/>
        </w:rPr>
        <w:t xml:space="preserve">Disproporsi sefalopelvik — </w:t>
      </w:r>
      <w:r>
        <w:rPr>
          <w:rFonts w:ascii="IBM Plex Sans" w:cs="IBM Plex Sans" w:eastAsia="IBM Plex Sans" w:hAnsi="IBM Plex Sans"/>
          <w:color w:val="334155"/>
          <w:sz w:val="21"/>
          <w:szCs w:val="21"/>
        </w:rPr>
        <w:t xml:space="preserve">Ketidaksesuaian ukuran kepala janin terhadap panggul ibu yang dapat menghambat persalinan pervaginam, lebih berisiko pada remaja awal akibat panggul belum matur.</w:t>
      </w:r>
    </w:p>
    <w:p>
      <w:pPr>
        <w:spacing w:after="120"/>
      </w:pPr>
      <w:r>
        <w:rPr>
          <w:rFonts w:ascii="IBM Plex Mono" w:cs="IBM Plex Mono" w:eastAsia="IBM Plex Mono" w:hAnsi="IBM Plex Mono"/>
          <w:b/>
          <w:bCs/>
          <w:color w:val="334155"/>
          <w:sz w:val="20"/>
          <w:szCs w:val="20"/>
        </w:rPr>
        <w:t xml:space="preserve">Birth preparedness and complication readiness — </w:t>
      </w:r>
      <w:r>
        <w:rPr>
          <w:rFonts w:ascii="IBM Plex Sans" w:cs="IBM Plex Sans" w:eastAsia="IBM Plex Sans" w:hAnsi="IBM Plex Sans"/>
          <w:color w:val="334155"/>
          <w:sz w:val="21"/>
          <w:szCs w:val="21"/>
        </w:rPr>
        <w:t xml:space="preserve">Perencanaan persalinan dan kesiapan menghadapi komplikasi, pendekatan proaktif dalam asuhan antenatal untuk memastikan akses tepat waktu ke fasilitas persalinan yang sesuai.</w:t>
      </w:r>
    </w:p>
    <w:p>
      <w:pPr>
        <w:spacing w:after="120"/>
      </w:pPr>
      <w:r>
        <w:rPr>
          <w:rFonts w:ascii="IBM Plex Mono" w:cs="IBM Plex Mono" w:eastAsia="IBM Plex Mono" w:hAnsi="IBM Plex Mono"/>
          <w:b/>
          <w:bCs/>
          <w:color w:val="334155"/>
          <w:sz w:val="20"/>
          <w:szCs w:val="20"/>
        </w:rPr>
        <w:t xml:space="preserve">Kurang Energi Kronik (KEK) — </w:t>
      </w:r>
      <w:r>
        <w:rPr>
          <w:rFonts w:ascii="IBM Plex Sans" w:cs="IBM Plex Sans" w:eastAsia="IBM Plex Sans" w:hAnsi="IBM Plex Sans"/>
          <w:color w:val="334155"/>
          <w:sz w:val="21"/>
          <w:szCs w:val="21"/>
        </w:rPr>
        <w:t xml:space="preserve">Kondisi kekurangan gizi kronis pada ibu hamil, dideteksi antara lain melalui pengukuran Lingkar Lengan Atas (LiLA).</w:t>
      </w:r>
    </w:p>
    <w:p>
      <w:pPr>
        <w:spacing w:after="120"/>
      </w:pPr>
      <w:r>
        <w:rPr>
          <w:rFonts w:ascii="IBM Plex Mono" w:cs="IBM Plex Mono" w:eastAsia="IBM Plex Mono" w:hAnsi="IBM Plex Mono"/>
          <w:b/>
          <w:bCs/>
          <w:color w:val="334155"/>
          <w:sz w:val="20"/>
          <w:szCs w:val="20"/>
        </w:rPr>
        <w:t xml:space="preserve">Adolescent-friendly service — </w:t>
      </w:r>
      <w:r>
        <w:rPr>
          <w:rFonts w:ascii="IBM Plex Sans" w:cs="IBM Plex Sans" w:eastAsia="IBM Plex Sans" w:hAnsi="IBM Plex Sans"/>
          <w:color w:val="334155"/>
          <w:sz w:val="21"/>
          <w:szCs w:val="21"/>
        </w:rPr>
        <w:t xml:space="preserve">Pendekatan layanan kesehatan yang dirancang menjamin privasi, kerahasiaan, dan komunikasi yang sesuai dengan tahap perkembangan remaja.</w:t>
      </w:r>
    </w:p>
    <w:p>
      <w:pPr>
        <w:spacing w:after="120"/>
      </w:pPr>
      <w:r>
        <w:rPr>
          <w:rFonts w:ascii="IBM Plex Mono" w:cs="IBM Plex Mono" w:eastAsia="IBM Plex Mono" w:hAnsi="IBM Plex Mono"/>
          <w:b/>
          <w:bCs/>
          <w:color w:val="334155"/>
          <w:sz w:val="20"/>
          <w:szCs w:val="20"/>
        </w:rPr>
        <w:t xml:space="preserve">Dual method use — </w:t>
      </w:r>
      <w:r>
        <w:rPr>
          <w:rFonts w:ascii="IBM Plex Sans" w:cs="IBM Plex Sans" w:eastAsia="IBM Plex Sans" w:hAnsi="IBM Plex Sans"/>
          <w:color w:val="334155"/>
          <w:sz w:val="21"/>
          <w:szCs w:val="21"/>
        </w:rPr>
        <w:t xml:space="preserve">Penggunaan kondom bersamaan dengan metode kontrasepsi lain yang lebih efektif, untuk perlindungan ganda terhadap infeksi menular seksual dan kehamilan berulang.</w:t>
      </w:r>
    </w:p>
    <w:p>
      <w:pPr>
        <w:spacing w:after="120"/>
      </w:pPr>
      <w:r>
        <w:rPr>
          <w:rFonts w:ascii="IBM Plex Mono" w:cs="IBM Plex Mono" w:eastAsia="IBM Plex Mono" w:hAnsi="IBM Plex Mono"/>
          <w:b/>
          <w:bCs/>
          <w:color w:val="334155"/>
          <w:sz w:val="20"/>
          <w:szCs w:val="20"/>
        </w:rPr>
        <w:t xml:space="preserve">Fetal growth restriction (pertumbuhan janin terhambat) — </w:t>
      </w:r>
      <w:r>
        <w:rPr>
          <w:rFonts w:ascii="IBM Plex Sans" w:cs="IBM Plex Sans" w:eastAsia="IBM Plex Sans" w:hAnsi="IBM Plex Sans"/>
          <w:color w:val="334155"/>
          <w:sz w:val="21"/>
          <w:szCs w:val="21"/>
        </w:rPr>
        <w:t xml:space="preserve">Kondisi janin yang tidak mencapai potensi pertumbuhan optimalnya, dapat menjadi konsekuensi sekunder status gizi ibu yang kurang optimal.</w:t>
      </w:r>
    </w:p>
    <w:p>
      <w:pPr>
        <w:pBdr>
          <w:top w:val="single" w:color="CBD5E1" w:sz="4"/>
        </w:pBdr>
        <w:spacing w:after="80" w:before="400"/>
      </w:pPr>
      <w:r>
        <w:rPr>
          <w:rFonts w:ascii="IBM Plex Sans" w:cs="IBM Plex Sans" w:eastAsia="IBM Plex Sans" w:hAnsi="IBM Plex Sans"/>
          <w:b/>
          <w:bCs/>
          <w:color w:val="334155"/>
          <w:sz w:val="18"/>
          <w:szCs w:val="18"/>
        </w:rPr>
        <w:t xml:space="preserve">Dr.dr. Budi Siswanto, Sp.OG., Subsp.Obginsos., SH., S.Kom.</w:t>
      </w:r>
    </w:p>
    <w:p>
      <w:pPr>
        <w:spacing w:after="20"/>
      </w:pPr>
      <w:r>
        <w:rPr>
          <w:rFonts w:ascii="IBM Plex Sans" w:cs="IBM Plex Sans" w:eastAsia="IBM Plex Sans" w:hAnsi="IBM Plex Sans"/>
          <w:color w:val="334155"/>
          <w:sz w:val="17"/>
          <w:szCs w:val="17"/>
        </w:rPr>
        <w:t xml:space="preserve">Perpustakaan Digital ABBA</w:t>
      </w:r>
    </w:p>
    <w:p>
      <w:pPr>
        <w:spacing w:after="200"/>
      </w:pPr>
      <w:r>
        <w:rPr>
          <w:rFonts w:ascii="IBM Plex Sans" w:cs="IBM Plex Sans" w:eastAsia="IBM Plex Sans" w:hAnsi="IBM Plex Sans"/>
          <w:color w:val="334155"/>
          <w:sz w:val="17"/>
          <w:szCs w:val="17"/>
        </w:rPr>
        <w:t xml:space="preserve">Jl Kerinci Raya No 9, Malang 65138</w:t>
      </w:r>
    </w:p>
    <w:p>
      <w:pPr>
        <w:spacing w:before="200"/>
      </w:pPr>
    </w:p>
    <w:p>
      <w:pPr>
        <w:spacing w:before="160"/>
      </w:pPr>
      <w:r>
        <w:rPr>
          <w:rFonts w:ascii="IBM Plex Sans" w:cs="IBM Plex Sans" w:eastAsia="IBM Plex Sans" w:hAnsi="IBM Plex Sans"/>
          <w:color w:val="334155"/>
          <w:sz w:val="19"/>
          <w:szCs w:val="19"/>
        </w:rPr>
        <w:t xml:space="preserve">« 68. Pendekatan Holistik / Holistic Approach</w:t>
      </w:r>
    </w:p>
    <w:p>
      <w:r>
        <w:rPr>
          <w:rFonts w:ascii="IBM Plex Sans" w:cs="IBM Plex Sans" w:eastAsia="IBM Plex Sans" w:hAnsi="IBM Plex Sans"/>
          <w:color w:val="334155"/>
          <w:sz w:val="19"/>
          <w:szCs w:val="19"/>
        </w:rPr>
        <w:t xml:space="preserve">Kontrasepsi / Contraception (70) »</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94A3B8"/>
        <w:sz w:val="16"/>
        <w:szCs w:val="16"/>
      </w:rPr>
      <w:t xml:space="preserve">Dokumen 69 dari 73 — Perpustakaan Digital ABBA </w:t>
    </w:r>
    <w:r>
      <w:rPr>
        <w:rFonts w:ascii="IBM Plex Sans" w:cs="IBM Plex Sans" w:eastAsia="IBM Plex Sans" w:hAnsi="IBM Plex Sans"/>
        <w:color w:val="94A3B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94A3B8"/>
        <w:sz w:val="16"/>
        <w:szCs w:val="16"/>
      </w:rPr>
      <w:t xml:space="preserve">PPK-069 — Kehamilan Remaja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abstractNum w:abstractNumId="3" w15:restartNumberingAfterBreak="0">
    <w:multiLevelType w:val="hybridMultilevel"/>
    <w:lvl w:ilvl="0" w15:tentative="1">
      <w:start w:val="1"/>
      <w:numFmt w:val="decimal"/>
      <w:lvlText w:val="%1."/>
      <w:lvlJc w:val="left"/>
      <w:pPr>
        <w:ind w:left="42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2026-08-18T07:18:08.420Z</dcterms:created>
  <dcterms:modified xsi:type="dcterms:W3CDTF">2026-08-18T07:18:08.433Z</dcterms:modified>
</cp:coreProperties>
</file>

<file path=docProps/custom.xml><?xml version="1.0" encoding="utf-8"?>
<Properties xmlns="http://schemas.openxmlformats.org/officeDocument/2006/custom-properties" xmlns:vt="http://schemas.openxmlformats.org/officeDocument/2006/docPropsVTypes"/>
</file>