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600"/>
      </w:pPr>
      <w:r>
        <w:rPr>
          <w:rFonts w:ascii="IBM Plex Sans" w:cs="IBM Plex Sans" w:eastAsia="IBM Plex Sans" w:hAnsi="IBM Plex Sans"/>
          <w:b/>
          <w:bCs/>
          <w:color w:val="B45309"/>
          <w:sz w:val="20"/>
          <w:szCs w:val="20"/>
        </w:rPr>
        <w:t xml:space="preserve">PERPUSTAKAAN DIGITAL ABBA</w:t>
      </w:r>
    </w:p>
    <w:p>
      <w:pPr>
        <w:spacing w:after="400" w:before="40"/>
      </w:pPr>
      <w:r>
        <w:rPr>
          <w:rFonts w:ascii="IBM Plex Sans" w:cs="IBM Plex Sans" w:eastAsia="IBM Plex Sans" w:hAnsi="IBM Plex Sans"/>
          <w:color w:val="64748B"/>
          <w:sz w:val="18"/>
          <w:szCs w:val="18"/>
        </w:rPr>
        <w:t xml:space="preserve">Panduan Praktik Klinis — Dokumen 70 dari 73</w:t>
      </w:r>
    </w:p>
    <w:p>
      <w:pPr>
        <w:spacing w:after="100" w:before="800"/>
      </w:pPr>
      <w:r>
        <w:rPr>
          <w:rFonts w:ascii="Source Serif 4" w:cs="Source Serif 4" w:eastAsia="Source Serif 4" w:hAnsi="Source Serif 4"/>
          <w:b/>
          <w:bCs/>
          <w:color w:val="4F46E5"/>
          <w:sz w:val="24"/>
          <w:szCs w:val="24"/>
        </w:rPr>
        <w:t xml:space="preserve">PPK No. 70</w:t>
      </w:r>
    </w:p>
    <w:p>
      <w:pPr>
        <w:spacing w:after="100" w:before="0"/>
      </w:pPr>
      <w:r>
        <w:rPr>
          <w:rFonts w:ascii="Source Serif 4" w:cs="Source Serif 4" w:eastAsia="Source Serif 4" w:hAnsi="Source Serif 4"/>
          <w:b/>
          <w:bCs/>
          <w:color w:val="334155"/>
          <w:sz w:val="56"/>
          <w:szCs w:val="56"/>
        </w:rPr>
        <w:t xml:space="preserve">Kontrasepsi</w:t>
      </w:r>
    </w:p>
    <w:p>
      <w:pPr>
        <w:spacing w:after="400" w:before="0"/>
      </w:pPr>
      <w:r>
        <w:rPr>
          <w:rFonts w:ascii="Source Serif 4" w:cs="Source Serif 4" w:eastAsia="Source Serif 4" w:hAnsi="Source Serif 4"/>
          <w:i/>
          <w:iCs/>
          <w:color w:val="64748B"/>
          <w:sz w:val="32"/>
          <w:szCs w:val="32"/>
        </w:rPr>
        <w:t xml:space="preserve">Contraception</w:t>
      </w:r>
    </w:p>
    <w:p>
      <w:pPr>
        <w:spacing w:after="60"/>
      </w:pPr>
      <w:r>
        <w:rPr>
          <w:rFonts w:ascii="IBM Plex Mono" w:cs="IBM Plex Mono" w:eastAsia="IBM Plex Mono" w:hAnsi="IBM Plex Mono"/>
          <w:color w:val="B45309"/>
          <w:sz w:val="20"/>
          <w:szCs w:val="20"/>
        </w:rPr>
        <w:t xml:space="preserve">ICD-10: Z30    ICD-11: QA21.1</w:t>
      </w:r>
    </w:p>
    <w:p>
      <w:pPr>
        <w:spacing w:after="600"/>
      </w:pPr>
      <w:r>
        <w:rPr>
          <w:rFonts w:ascii="IBM Plex Sans" w:cs="IBM Plex Sans" w:eastAsia="IBM Plex Sans" w:hAnsi="IBM Plex Sans"/>
          <w:color w:val="334155"/>
          <w:sz w:val="20"/>
          <w:szCs w:val="20"/>
        </w:rPr>
        <w:t xml:space="preserve">Pengaturan fertilitas, wanita usia reproduksi</w:t>
      </w:r>
    </w:p>
    <w:p>
      <w:pPr>
        <w:spacing w:after="40" w:before="800"/>
      </w:pPr>
      <w:r>
        <w:rPr>
          <w:rFonts w:ascii="IBM Plex Sans" w:cs="IBM Plex Sans" w:eastAsia="IBM Plex Sans" w:hAnsi="IBM Plex Sans"/>
          <w:b/>
          <w:bCs/>
          <w:color w:val="334155"/>
          <w:sz w:val="20"/>
          <w:szCs w:val="20"/>
        </w:rPr>
        <w:t xml:space="preserve">Dr.dr. Budi Siswanto, Sp.OG., Subsp.Obginsos., SH., S.Kom.</w:t>
      </w:r>
    </w:p>
    <w:p>
      <w:r>
        <w:rPr>
          <w:rFonts w:ascii="IBM Plex Sans" w:cs="IBM Plex Sans" w:eastAsia="IBM Plex Sans" w:hAnsi="IBM Plex Sans"/>
          <w:color w:val="64748B"/>
          <w:sz w:val="18"/>
          <w:szCs w:val="18"/>
        </w:rPr>
        <w:t xml:space="preserve">Jl. Kerinci Raya No. 9, Malang 65138</w:t>
      </w:r>
    </w:p>
    <w:p>
      <w:r>
        <w:br w:type="page"/>
      </w:r>
    </w:p>
    <w:p>
      <w:pPr>
        <w:pStyle w:val="Heading1"/>
        <w:spacing w:after="160" w:before="320"/>
      </w:pPr>
      <w:r>
        <w:rPr>
          <w:rFonts w:ascii="Source Serif 4" w:cs="Source Serif 4" w:eastAsia="Source Serif 4" w:hAnsi="Source Serif 4"/>
        </w:rPr>
        <w:t xml:space="preserve">1. Pengertian/Definisi</w:t>
      </w:r>
    </w:p>
    <w:p>
      <w:pPr>
        <w:spacing w:after="160" w:line="300"/>
      </w:pPr>
      <w:r>
        <w:rPr>
          <w:rFonts w:ascii="IBM Plex Sans" w:cs="IBM Plex Sans" w:eastAsia="IBM Plex Sans" w:hAnsi="IBM Plex Sans"/>
          <w:color w:val="334155"/>
          <w:sz w:val="21"/>
          <w:szCs w:val="21"/>
        </w:rPr>
        <w:t xml:space="preserve">PPK ini merupakan turunan operasional dari Bab Konseling dan Pengaturan Fertilitas Pascasalin, Buku Tematik B2 — Obstetri Fisiologis dan Asuhan Antenatal, yang mengatur kontinuitas asuhan sejak masa antenatal hingga penetapan metode kontrasepsi pascasalin dan interval.</w:t>
      </w:r>
    </w:p>
    <w:p>
      <w:pPr>
        <w:spacing w:after="160" w:line="300"/>
      </w:pPr>
      <w:r>
        <w:rPr>
          <w:rFonts w:ascii="IBM Plex Sans" w:cs="IBM Plex Sans" w:eastAsia="IBM Plex Sans" w:hAnsi="IBM Plex Sans"/>
          <w:color w:val="334155"/>
          <w:sz w:val="21"/>
          <w:szCs w:val="21"/>
        </w:rPr>
        <w:t xml:space="preserve">Kontrasepsi (contraception) adalah upaya pencegahan kehamilan yang dilakukan secara sengaja melalui metode alami, mekanis/barrier, hormonal, atau bedah, dengan tujuan mengatur jarak dan jumlah kehamilan sesuai kehendak individu atau pasangan (family planning/pengaturan fertilitas). Dalam konteks PPK ini, cakupan layanan meliputi konseling pilihan bermakna (informed choice), penapisan kelayakan medis, inisiasi metode, penanganan efek samping, serta rujukan bila diperlukan.</w:t>
      </w:r>
    </w:p>
    <w:p>
      <w:pPr>
        <w:spacing w:after="160" w:line="300"/>
      </w:pPr>
      <w:r>
        <w:rPr>
          <w:rFonts w:ascii="IBM Plex Sans" w:cs="IBM Plex Sans" w:eastAsia="IBM Plex Sans" w:hAnsi="IBM Plex Sans"/>
          <w:color w:val="334155"/>
          <w:sz w:val="21"/>
          <w:szCs w:val="21"/>
        </w:rPr>
        <w:t xml:space="preserve">Layanan kontrasepsi memiliki kedudukan strategis dalam kesehatan ibu dan anak. Federasi Ginekologi dan Obstetri Internasional (International Federation of Gynecology and Obstetrics/FIGO) bersama Konfederasi Bidan Internasional (International Confederation of Midwives/ICM) mencatat bahwa lebih dari 200 juta perempuan di dunia masih memiliki kebutuhan kontrasepsi yang belum terpenuhi (unmet need), dan penjaringan spasi kelahiran yang memadai berkontribusi menurunkan risiko kematian ibu serta bayi [9].</w:t>
      </w:r>
    </w:p>
    <w:p>
      <w:pPr>
        <w:spacing w:after="160" w:line="300"/>
      </w:pPr>
      <w:r>
        <w:rPr>
          <w:rFonts w:ascii="IBM Plex Sans" w:cs="IBM Plex Sans" w:eastAsia="IBM Plex Sans" w:hAnsi="IBM Plex Sans"/>
          <w:color w:val="334155"/>
          <w:sz w:val="21"/>
          <w:szCs w:val="21"/>
        </w:rPr>
        <w:t xml:space="preserve">Populasi sasaran sesuai Tabel 7 Kepkonsil adalah wanita usia reproduksi yang memerlukan pengaturan fertilitas, mencakup periode interval, pascasalin (postpartum), maupun pascakeguguran (postabortion).</w:t>
      </w:r>
    </w:p>
    <w:tbl>
      <w:tblPr>
        <w:tblW w:type="pct" w:w="100%"/>
        <w:tblBorders>
          <w:top w:val="single" w:color="4F46E5" w:sz="4"/>
          <w:left w:val="single" w:color="4F46E5" w:sz="24"/>
          <w:bottom w:val="single" w:color="4F46E5" w:sz="4"/>
          <w:right w:val="single" w:color="4F46E5" w:sz="4"/>
          <w:insideH w:val="single" w:color="auto" w:sz="4"/>
          <w:insideV w:val="single" w:color="auto" w:sz="4"/>
        </w:tblBorders>
      </w:tblPr>
      <w:tblGrid>
        <w:gridCol w:w="100"/>
      </w:tblGrid>
      <w:tr>
        <w:tc>
          <w:tcPr>
            <w:shd w:fill="EEF2FF" w:val="clear"/>
            <w:tcMar>
              <w:top w:type="dxa" w:w="160"/>
              <w:left w:type="dxa" w:w="200"/>
              <w:bottom w:type="dxa" w:w="160"/>
              <w:right w:type="dxa" w:w="200"/>
            </w:tcMar>
          </w:tcPr>
          <w:p>
            <w:pPr>
              <w:spacing w:after="60"/>
            </w:pPr>
            <w:r>
              <w:rPr>
                <w:rFonts w:ascii="IBM Plex Sans" w:cs="IBM Plex Sans" w:eastAsia="IBM Plex Sans" w:hAnsi="IBM Plex Sans"/>
                <w:b/>
                <w:bCs/>
                <w:color w:val="4F46E5"/>
                <w:sz w:val="18"/>
                <w:szCs w:val="18"/>
              </w:rPr>
              <w:t xml:space="preserve">DASAR REGULASI</w:t>
            </w:r>
          </w:p>
          <w:p>
            <w:r>
              <w:rPr>
                <w:rFonts w:ascii="IBM Plex Sans" w:cs="IBM Plex Sans" w:eastAsia="IBM Plex Sans" w:hAnsi="IBM Plex Sans"/>
                <w:color w:val="334155"/>
                <w:sz w:val="21"/>
                <w:szCs w:val="21"/>
              </w:rPr>
              <w:t xml:space="preserve">Tabel 7 Kepkonsil No. HK.01.02/KKI/1318/2026, entri No. 70: Kontrasepsi (Contraception) — ICD-10 Z30; ICD-11 QA21.1; Keterangan/Populasi: pengaturan fertilitas, wanita usia reproduksi.</w:t>
            </w:r>
          </w:p>
        </w:tc>
      </w:tr>
    </w:tbl>
    <w:p>
      <w:pPr>
        <w:spacing w:after="120"/>
      </w:pPr>
    </w:p>
    <w:p>
      <w:pPr>
        <w:pStyle w:val="Heading1"/>
        <w:spacing w:after="160" w:before="320"/>
      </w:pPr>
      <w:r>
        <w:rPr>
          <w:rFonts w:ascii="Source Serif 4" w:cs="Source Serif 4" w:eastAsia="Source Serif 4" w:hAnsi="Source Serif 4"/>
        </w:rPr>
        <w:t xml:space="preserve">2. Anamnesis</w:t>
      </w:r>
    </w:p>
    <w:p>
      <w:pPr>
        <w:spacing w:after="160" w:line="300"/>
      </w:pPr>
      <w:r>
        <w:rPr>
          <w:rFonts w:ascii="IBM Plex Sans" w:cs="IBM Plex Sans" w:eastAsia="IBM Plex Sans" w:hAnsi="IBM Plex Sans"/>
          <w:color w:val="334155"/>
          <w:sz w:val="21"/>
          <w:szCs w:val="21"/>
        </w:rPr>
        <w:t xml:space="preserve">Anamnesis terstruktur bertujuan menapis kontraindikasi medis dan mengidentifikasi preferensi pasien agar pemilihan metode konsisten dengan prinsip pilihan bermakna (informed choice) sebagaimana ditekankan dalam pernyataan bersama FIGO dan ICM mengenai kontrasepsi [8].</w:t>
      </w:r>
    </w:p>
    <w:p>
      <w:pPr>
        <w:pStyle w:val="ListParagraph"/>
        <w:numPr>
          <w:ilvl w:val="0"/>
          <w:numId w:val="2"/>
        </w:numPr>
        <w:spacing w:after="100"/>
      </w:pPr>
      <w:r>
        <w:rPr>
          <w:rFonts w:ascii="IBM Plex Sans" w:cs="IBM Plex Sans" w:eastAsia="IBM Plex Sans" w:hAnsi="IBM Plex Sans"/>
          <w:color w:val="334155"/>
          <w:sz w:val="21"/>
          <w:szCs w:val="21"/>
        </w:rPr>
        <w:t xml:space="preserve">Riwayat menstruasi: hari pertama haid terakhir (HPHT), keteraturan siklus, kemungkinan kehamilan saat ini.</w:t>
      </w:r>
    </w:p>
    <w:p>
      <w:pPr>
        <w:pStyle w:val="ListParagraph"/>
        <w:numPr>
          <w:ilvl w:val="0"/>
          <w:numId w:val="2"/>
        </w:numPr>
        <w:spacing w:after="100"/>
      </w:pPr>
      <w:r>
        <w:rPr>
          <w:rFonts w:ascii="IBM Plex Sans" w:cs="IBM Plex Sans" w:eastAsia="IBM Plex Sans" w:hAnsi="IBM Plex Sans"/>
          <w:color w:val="334155"/>
          <w:sz w:val="21"/>
          <w:szCs w:val="21"/>
        </w:rPr>
        <w:t xml:space="preserve">Riwayat obstetri: paritas, jarak kehamilan, rencana kehamilan berikutnya, status menyusui (breastfeeding) dan waktu pascasalin.</w:t>
      </w:r>
    </w:p>
    <w:p>
      <w:pPr>
        <w:pStyle w:val="ListParagraph"/>
        <w:numPr>
          <w:ilvl w:val="0"/>
          <w:numId w:val="2"/>
        </w:numPr>
        <w:spacing w:after="100"/>
      </w:pPr>
      <w:r>
        <w:rPr>
          <w:rFonts w:ascii="IBM Plex Sans" w:cs="IBM Plex Sans" w:eastAsia="IBM Plex Sans" w:hAnsi="IBM Plex Sans"/>
          <w:color w:val="334155"/>
          <w:sz w:val="21"/>
          <w:szCs w:val="21"/>
        </w:rPr>
        <w:t xml:space="preserve">Riwayat kontrasepsi sebelumnya: metode yang pernah digunakan, alasan penghentian, efek samping yang dialami.</w:t>
      </w:r>
    </w:p>
    <w:p>
      <w:pPr>
        <w:pStyle w:val="ListParagraph"/>
        <w:numPr>
          <w:ilvl w:val="0"/>
          <w:numId w:val="2"/>
        </w:numPr>
        <w:spacing w:after="100"/>
      </w:pPr>
      <w:r>
        <w:rPr>
          <w:rFonts w:ascii="IBM Plex Sans" w:cs="IBM Plex Sans" w:eastAsia="IBM Plex Sans" w:hAnsi="IBM Plex Sans"/>
          <w:color w:val="334155"/>
          <w:sz w:val="21"/>
          <w:szCs w:val="21"/>
        </w:rPr>
        <w:t xml:space="preserve">Riwayat penyakit yang relevan dengan kriteria kelayakan medis (medical eligibility): tromboemboli vena, migrain dengan aura, hipertensi, diabetes melitus dengan komplikasi vaskular, penyakit hati aktif, riwayat kanker payudara, penyakit jantung iskemik/katup, lupus eritematosus sistemik.</w:t>
      </w:r>
    </w:p>
    <w:p>
      <w:pPr>
        <w:pStyle w:val="ListParagraph"/>
        <w:numPr>
          <w:ilvl w:val="0"/>
          <w:numId w:val="2"/>
        </w:numPr>
        <w:spacing w:after="100"/>
      </w:pPr>
      <w:r>
        <w:rPr>
          <w:rFonts w:ascii="IBM Plex Sans" w:cs="IBM Plex Sans" w:eastAsia="IBM Plex Sans" w:hAnsi="IBM Plex Sans"/>
          <w:color w:val="334155"/>
          <w:sz w:val="21"/>
          <w:szCs w:val="21"/>
        </w:rPr>
        <w:t xml:space="preserve">Riwayat merokok, terutama pada usia di atas 35 tahun, karena memengaruhi kelayakan kontrasepsi hormonal kombinasi akibat peningkatan risiko kardiovaskular [5].</w:t>
      </w:r>
    </w:p>
    <w:p>
      <w:pPr>
        <w:pStyle w:val="ListParagraph"/>
        <w:numPr>
          <w:ilvl w:val="0"/>
          <w:numId w:val="2"/>
        </w:numPr>
        <w:spacing w:after="100"/>
      </w:pPr>
      <w:r>
        <w:rPr>
          <w:rFonts w:ascii="IBM Plex Sans" w:cs="IBM Plex Sans" w:eastAsia="IBM Plex Sans" w:hAnsi="IBM Plex Sans"/>
          <w:color w:val="334155"/>
          <w:sz w:val="21"/>
          <w:szCs w:val="21"/>
        </w:rPr>
        <w:t xml:space="preserve">Riwayat seksual dan risiko infeksi menular seksual (IMS), termasuk jumlah pasangan dan riwayat IMS sebelumnya.</w:t>
      </w:r>
    </w:p>
    <w:p>
      <w:pPr>
        <w:pStyle w:val="ListParagraph"/>
        <w:numPr>
          <w:ilvl w:val="0"/>
          <w:numId w:val="2"/>
        </w:numPr>
        <w:spacing w:after="100"/>
      </w:pPr>
      <w:r>
        <w:rPr>
          <w:rFonts w:ascii="IBM Plex Sans" w:cs="IBM Plex Sans" w:eastAsia="IBM Plex Sans" w:hAnsi="IBM Plex Sans"/>
          <w:color w:val="334155"/>
          <w:sz w:val="21"/>
          <w:szCs w:val="21"/>
        </w:rPr>
        <w:t xml:space="preserve">Preferensi personal dan/atau pasangan terhadap reversibilitas, cara pakai, dan privasi metode.</w:t>
      </w:r>
    </w:p>
    <w:p>
      <w:pPr>
        <w:pStyle w:val="ListParagraph"/>
        <w:numPr>
          <w:ilvl w:val="0"/>
          <w:numId w:val="2"/>
        </w:numPr>
        <w:spacing w:after="100"/>
      </w:pPr>
      <w:r>
        <w:rPr>
          <w:rFonts w:ascii="IBM Plex Sans" w:cs="IBM Plex Sans" w:eastAsia="IBM Plex Sans" w:hAnsi="IBM Plex Sans"/>
          <w:color w:val="334155"/>
          <w:sz w:val="21"/>
          <w:szCs w:val="21"/>
        </w:rPr>
        <w:t xml:space="preserve">Rencana menyusui eksklusif bila pascasalin, untuk mempertimbangkan Metode Amenore Laktasi (Lactational Amenorrhea Method/LAM) dan pengaruh hormonal terhadap produksi ASI.</w:t>
      </w:r>
    </w:p>
    <w:p>
      <w:pPr>
        <w:pStyle w:val="Heading1"/>
        <w:spacing w:after="160" w:before="320"/>
      </w:pPr>
      <w:r>
        <w:rPr>
          <w:rFonts w:ascii="Source Serif 4" w:cs="Source Serif 4" w:eastAsia="Source Serif 4" w:hAnsi="Source Serif 4"/>
        </w:rPr>
        <w:t xml:space="preserve">3. Pemeriksaan Fisik</w:t>
      </w:r>
    </w:p>
    <w:p>
      <w:pPr>
        <w:spacing w:after="160" w:line="300"/>
      </w:pPr>
      <w:r>
        <w:rPr>
          <w:rFonts w:ascii="IBM Plex Sans" w:cs="IBM Plex Sans" w:eastAsia="IBM Plex Sans" w:hAnsi="IBM Plex Sans"/>
          <w:color w:val="334155"/>
          <w:sz w:val="21"/>
          <w:szCs w:val="21"/>
        </w:rPr>
        <w:t xml:space="preserve">Pemeriksaan fisik pada layanan kontrasepsi bersifat terfokus dan tidak boleh menjadi prasyarat yang menghambat akses metode bila tidak ada indikasi klinis, sejalan dengan prinsip Selected Practice Recommendations for Contraceptive Use (SPR) edisi keempat WHO tahun 2025 [3].</w:t>
      </w:r>
    </w:p>
    <w:p>
      <w:pPr>
        <w:pStyle w:val="ListParagraph"/>
        <w:numPr>
          <w:ilvl w:val="0"/>
          <w:numId w:val="2"/>
        </w:numPr>
        <w:spacing w:after="100"/>
      </w:pPr>
      <w:r>
        <w:rPr>
          <w:rFonts w:ascii="IBM Plex Sans" w:cs="IBM Plex Sans" w:eastAsia="IBM Plex Sans" w:hAnsi="IBM Plex Sans"/>
          <w:color w:val="334155"/>
          <w:sz w:val="21"/>
          <w:szCs w:val="21"/>
        </w:rPr>
        <w:t xml:space="preserve">Tanda vital, terutama tekanan darah — wajib diukur sebelum inisiasi kontrasepsi hormonal kombinasi.</w:t>
      </w:r>
    </w:p>
    <w:p>
      <w:pPr>
        <w:pStyle w:val="ListParagraph"/>
        <w:numPr>
          <w:ilvl w:val="0"/>
          <w:numId w:val="2"/>
        </w:numPr>
        <w:spacing w:after="100"/>
      </w:pPr>
      <w:r>
        <w:rPr>
          <w:rFonts w:ascii="IBM Plex Sans" w:cs="IBM Plex Sans" w:eastAsia="IBM Plex Sans" w:hAnsi="IBM Plex Sans"/>
          <w:color w:val="334155"/>
          <w:sz w:val="21"/>
          <w:szCs w:val="21"/>
        </w:rPr>
        <w:t xml:space="preserve">Indeks massa tubuh (IMT/BMI) sebagai pertimbangan pemilihan metode, bukan kontraindikasi mutlak.</w:t>
      </w:r>
    </w:p>
    <w:p>
      <w:pPr>
        <w:pStyle w:val="ListParagraph"/>
        <w:numPr>
          <w:ilvl w:val="0"/>
          <w:numId w:val="2"/>
        </w:numPr>
        <w:spacing w:after="100"/>
      </w:pPr>
      <w:r>
        <w:rPr>
          <w:rFonts w:ascii="IBM Plex Sans" w:cs="IBM Plex Sans" w:eastAsia="IBM Plex Sans" w:hAnsi="IBM Plex Sans"/>
          <w:color w:val="334155"/>
          <w:sz w:val="21"/>
          <w:szCs w:val="21"/>
        </w:rPr>
        <w:t xml:space="preserve">Pemeriksaan abdomen dan payudara dilakukan bila ada indikasi klinis, bukan prasyarat rutin untuk seluruh metode.</w:t>
      </w:r>
    </w:p>
    <w:p>
      <w:pPr>
        <w:pStyle w:val="ListParagraph"/>
        <w:numPr>
          <w:ilvl w:val="0"/>
          <w:numId w:val="2"/>
        </w:numPr>
        <w:spacing w:after="100"/>
      </w:pPr>
      <w:r>
        <w:rPr>
          <w:rFonts w:ascii="IBM Plex Sans" w:cs="IBM Plex Sans" w:eastAsia="IBM Plex Sans" w:hAnsi="IBM Plex Sans"/>
          <w:color w:val="334155"/>
          <w:sz w:val="21"/>
          <w:szCs w:val="21"/>
        </w:rPr>
        <w:t xml:space="preserve">Pemeriksaan panggul (pelvic examination) diperlukan sebelum pemasangan Alat Kontrasepsi Dalam Rahim (AKDR/IUD) untuk menilai posisi dan ukuran uterus serta menyingkirkan infeksi serviks aktif.</w:t>
      </w:r>
    </w:p>
    <w:p>
      <w:pPr>
        <w:pStyle w:val="ListParagraph"/>
        <w:numPr>
          <w:ilvl w:val="0"/>
          <w:numId w:val="2"/>
        </w:numPr>
        <w:spacing w:after="100"/>
      </w:pPr>
      <w:r>
        <w:rPr>
          <w:rFonts w:ascii="IBM Plex Sans" w:cs="IBM Plex Sans" w:eastAsia="IBM Plex Sans" w:hAnsi="IBM Plex Sans"/>
          <w:color w:val="334155"/>
          <w:sz w:val="21"/>
          <w:szCs w:val="21"/>
        </w:rPr>
        <w:t xml:space="preserve">Pemeriksaan lokal pada lengan atas untuk kesiapan pemasangan implan subdermal.</w:t>
      </w:r>
    </w:p>
    <w:p>
      <w:pPr>
        <w:pStyle w:val="Heading1"/>
        <w:spacing w:after="160" w:before="320"/>
      </w:pPr>
      <w:r>
        <w:rPr>
          <w:rFonts w:ascii="Source Serif 4" w:cs="Source Serif 4" w:eastAsia="Source Serif 4" w:hAnsi="Source Serif 4"/>
        </w:rPr>
        <w:t xml:space="preserve">4. Kriteria Diagnosis</w:t>
      </w:r>
    </w:p>
    <w:p>
      <w:pPr>
        <w:spacing w:after="160" w:line="300"/>
      </w:pPr>
      <w:r>
        <w:rPr>
          <w:rFonts w:ascii="IBM Plex Sans" w:cs="IBM Plex Sans" w:eastAsia="IBM Plex Sans" w:hAnsi="IBM Plex Sans"/>
          <w:color w:val="334155"/>
          <w:sz w:val="21"/>
          <w:szCs w:val="21"/>
        </w:rPr>
        <w:t xml:space="preserve">Kode diagnosis administratif untuk layanan kontrasepsi: ICD-10 Z30 (Contraceptive management); ICD-11 QA21.1 (Contraceptive management). Penetapan "diagnosis" pada konteks PPK ini bersifat administratif-preventif, bukan penyakit, sehingga kriteria yang digunakan adalah kriteria kelayakan medis (medical eligibility criteria) per metode, bukan kriteria diagnostik penyakit.</w:t>
      </w:r>
    </w:p>
    <w:p>
      <w:pPr>
        <w:spacing w:after="160" w:line="300"/>
      </w:pPr>
      <w:r>
        <w:rPr>
          <w:rFonts w:ascii="IBM Plex Sans" w:cs="IBM Plex Sans" w:eastAsia="IBM Plex Sans" w:hAnsi="IBM Plex Sans"/>
          <w:color w:val="334155"/>
          <w:sz w:val="21"/>
          <w:szCs w:val="21"/>
        </w:rPr>
        <w:t xml:space="preserve">Kriteria yang diadopsi mengikuti Medical Eligibility Criteria for Contraceptive Use (MEC) edisi keenam yang diterbitkan World Health Organization pada tahun 2025, memuat lebih dari 2.000 rekomendasi untuk 25 metode kontrasepsi dan menggantikan edisi kelima tahun 2015 [2].</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Kategori Kelayakan (WHO MEC Edisi Keenam, 2025)</w:t>
            </w:r>
          </w:p>
        </w:tc>
        <w:tc>
          <w:tcPr>
            <w:tcW w:type="dxa" w:w="468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Interpretasi Klinis</w:t>
            </w:r>
          </w:p>
        </w:tc>
      </w:tr>
      <w:tr>
        <w:tc>
          <w:tcPr>
            <w:tcW w:type="dxa" w:w="4680"/>
            <w:tcMar>
              <w:top w:type="dxa" w:w="100"/>
              <w:left w:type="dxa" w:w="120"/>
              <w:bottom w:type="dxa" w:w="100"/>
              <w:right w:type="dxa" w:w="120"/>
            </w:tcMar>
          </w:tcPr>
          <w:p>
            <w:r>
              <w:rPr>
                <w:rFonts w:ascii="IBM Plex Sans" w:cs="IBM Plex Sans" w:eastAsia="IBM Plex Sans" w:hAnsi="IBM Plex Sans"/>
                <w:color w:val="334155"/>
                <w:sz w:val="21"/>
                <w:szCs w:val="21"/>
              </w:rPr>
              <w:t xml:space="preserve">Kategori 1</w:t>
            </w:r>
          </w:p>
        </w:tc>
        <w:tc>
          <w:tcPr>
            <w:tcW w:type="dxa" w:w="4680"/>
            <w:tcMar>
              <w:top w:type="dxa" w:w="100"/>
              <w:left w:type="dxa" w:w="120"/>
              <w:bottom w:type="dxa" w:w="100"/>
              <w:right w:type="dxa" w:w="120"/>
            </w:tcMar>
          </w:tcPr>
          <w:p>
            <w:r>
              <w:rPr>
                <w:rFonts w:ascii="IBM Plex Sans" w:cs="IBM Plex Sans" w:eastAsia="IBM Plex Sans" w:hAnsi="IBM Plex Sans"/>
                <w:color w:val="334155"/>
                <w:sz w:val="21"/>
                <w:szCs w:val="21"/>
              </w:rPr>
              <w:t xml:space="preserve">Tidak ada pembatasan penggunaan metode.</w:t>
            </w:r>
          </w:p>
        </w:tc>
      </w:tr>
      <w:tr>
        <w:tc>
          <w:tcPr>
            <w:tcW w:type="dxa" w:w="4680"/>
            <w:tcMar>
              <w:top w:type="dxa" w:w="100"/>
              <w:left w:type="dxa" w:w="120"/>
              <w:bottom w:type="dxa" w:w="100"/>
              <w:right w:type="dxa" w:w="120"/>
            </w:tcMar>
          </w:tcPr>
          <w:p>
            <w:r>
              <w:rPr>
                <w:rFonts w:ascii="IBM Plex Sans" w:cs="IBM Plex Sans" w:eastAsia="IBM Plex Sans" w:hAnsi="IBM Plex Sans"/>
                <w:color w:val="334155"/>
                <w:sz w:val="21"/>
                <w:szCs w:val="21"/>
              </w:rPr>
              <w:t xml:space="preserve">Kategori 2</w:t>
            </w:r>
          </w:p>
        </w:tc>
        <w:tc>
          <w:tcPr>
            <w:tcW w:type="dxa" w:w="4680"/>
            <w:tcMar>
              <w:top w:type="dxa" w:w="100"/>
              <w:left w:type="dxa" w:w="120"/>
              <w:bottom w:type="dxa" w:w="100"/>
              <w:right w:type="dxa" w:w="120"/>
            </w:tcMar>
          </w:tcPr>
          <w:p>
            <w:r>
              <w:rPr>
                <w:rFonts w:ascii="IBM Plex Sans" w:cs="IBM Plex Sans" w:eastAsia="IBM Plex Sans" w:hAnsi="IBM Plex Sans"/>
                <w:color w:val="334155"/>
                <w:sz w:val="21"/>
                <w:szCs w:val="21"/>
              </w:rPr>
              <w:t xml:space="preserve">Keuntungan penggunaan metode umumnya lebih besar dari risiko teoritis atau terbukti; dapat digunakan dengan pemantauan.</w:t>
            </w:r>
          </w:p>
        </w:tc>
      </w:tr>
      <w:tr>
        <w:tc>
          <w:tcPr>
            <w:tcW w:type="dxa" w:w="4680"/>
            <w:tcMar>
              <w:top w:type="dxa" w:w="100"/>
              <w:left w:type="dxa" w:w="120"/>
              <w:bottom w:type="dxa" w:w="100"/>
              <w:right w:type="dxa" w:w="120"/>
            </w:tcMar>
          </w:tcPr>
          <w:p>
            <w:r>
              <w:rPr>
                <w:rFonts w:ascii="IBM Plex Sans" w:cs="IBM Plex Sans" w:eastAsia="IBM Plex Sans" w:hAnsi="IBM Plex Sans"/>
                <w:color w:val="334155"/>
                <w:sz w:val="21"/>
                <w:szCs w:val="21"/>
              </w:rPr>
              <w:t xml:space="preserve">Kategori 3</w:t>
            </w:r>
          </w:p>
        </w:tc>
        <w:tc>
          <w:tcPr>
            <w:tcW w:type="dxa" w:w="4680"/>
            <w:tcMar>
              <w:top w:type="dxa" w:w="100"/>
              <w:left w:type="dxa" w:w="120"/>
              <w:bottom w:type="dxa" w:w="100"/>
              <w:right w:type="dxa" w:w="120"/>
            </w:tcMar>
          </w:tcPr>
          <w:p>
            <w:r>
              <w:rPr>
                <w:rFonts w:ascii="IBM Plex Sans" w:cs="IBM Plex Sans" w:eastAsia="IBM Plex Sans" w:hAnsi="IBM Plex Sans"/>
                <w:color w:val="334155"/>
                <w:sz w:val="21"/>
                <w:szCs w:val="21"/>
              </w:rPr>
              <w:t xml:space="preserve">Risiko teoritis atau terbukti umumnya lebih besar dari keuntungan; memerlukan penilaian klinis cermat dan konseling metode alternatif.</w:t>
            </w:r>
          </w:p>
        </w:tc>
      </w:tr>
      <w:tr>
        <w:tc>
          <w:tcPr>
            <w:tcW w:type="dxa" w:w="4680"/>
            <w:tcMar>
              <w:top w:type="dxa" w:w="100"/>
              <w:left w:type="dxa" w:w="120"/>
              <w:bottom w:type="dxa" w:w="100"/>
              <w:right w:type="dxa" w:w="120"/>
            </w:tcMar>
          </w:tcPr>
          <w:p>
            <w:r>
              <w:rPr>
                <w:rFonts w:ascii="IBM Plex Sans" w:cs="IBM Plex Sans" w:eastAsia="IBM Plex Sans" w:hAnsi="IBM Plex Sans"/>
                <w:color w:val="334155"/>
                <w:sz w:val="21"/>
                <w:szCs w:val="21"/>
              </w:rPr>
              <w:t xml:space="preserve">Kategori 4</w:t>
            </w:r>
          </w:p>
        </w:tc>
        <w:tc>
          <w:tcPr>
            <w:tcW w:type="dxa" w:w="4680"/>
            <w:tcMar>
              <w:top w:type="dxa" w:w="100"/>
              <w:left w:type="dxa" w:w="120"/>
              <w:bottom w:type="dxa" w:w="100"/>
              <w:right w:type="dxa" w:w="120"/>
            </w:tcMar>
          </w:tcPr>
          <w:p>
            <w:r>
              <w:rPr>
                <w:rFonts w:ascii="IBM Plex Sans" w:cs="IBM Plex Sans" w:eastAsia="IBM Plex Sans" w:hAnsi="IBM Plex Sans"/>
                <w:color w:val="334155"/>
                <w:sz w:val="21"/>
                <w:szCs w:val="21"/>
              </w:rPr>
              <w:t xml:space="preserve">Risiko kesehatan yang tidak dapat diterima; metode dikontraindikasikan.</w:t>
            </w:r>
          </w:p>
        </w:tc>
      </w:tr>
    </w:tbl>
    <w:p>
      <w:pPr>
        <w:spacing w:after="160"/>
      </w:pPr>
    </w:p>
    <w:p>
      <w:pPr>
        <w:pStyle w:val="Heading1"/>
        <w:spacing w:after="160" w:before="320"/>
      </w:pPr>
      <w:r>
        <w:rPr>
          <w:rFonts w:ascii="Source Serif 4" w:cs="Source Serif 4" w:eastAsia="Source Serif 4" w:hAnsi="Source Serif 4"/>
        </w:rPr>
        <w:t xml:space="preserve">5. Diagnosis Kerja dan Diagnosis Banding</w:t>
      </w:r>
    </w:p>
    <w:p>
      <w:pPr>
        <w:spacing w:after="160" w:line="300"/>
      </w:pPr>
      <w:r>
        <w:rPr>
          <w:rFonts w:ascii="IBM Plex Sans" w:cs="IBM Plex Sans" w:eastAsia="IBM Plex Sans" w:hAnsi="IBM Plex Sans"/>
          <w:color w:val="334155"/>
          <w:sz w:val="21"/>
          <w:szCs w:val="21"/>
        </w:rPr>
        <w:t xml:space="preserve">Diagnosis kerja ditetapkan sebagai kebutuhan pengaturan fertilitas (Z30/QA21.1) setelah kehamilan yang sedang berlangsung disingkirkan. Kondisi berikut perlu dipertimbangkan sebagai diagnosis banding atau kondisi penyerta yang memengaruhi pemilihan metode:</w:t>
      </w:r>
    </w:p>
    <w:p>
      <w:pPr>
        <w:pStyle w:val="ListParagraph"/>
        <w:numPr>
          <w:ilvl w:val="0"/>
          <w:numId w:val="2"/>
        </w:numPr>
        <w:spacing w:after="100"/>
      </w:pPr>
      <w:r>
        <w:rPr>
          <w:rFonts w:ascii="IBM Plex Sans" w:cs="IBM Plex Sans" w:eastAsia="IBM Plex Sans" w:hAnsi="IBM Plex Sans"/>
          <w:color w:val="334155"/>
          <w:sz w:val="21"/>
          <w:szCs w:val="21"/>
        </w:rPr>
        <w:t xml:space="preserve">Kehamilan yang belum diketahui (undiagnosed pregnancy) — wajib disingkirkan sebelum inisiasi metode hormonal atau AKDR.</w:t>
      </w:r>
    </w:p>
    <w:p>
      <w:pPr>
        <w:pStyle w:val="ListParagraph"/>
        <w:numPr>
          <w:ilvl w:val="0"/>
          <w:numId w:val="2"/>
        </w:numPr>
        <w:spacing w:after="100"/>
      </w:pPr>
      <w:r>
        <w:rPr>
          <w:rFonts w:ascii="IBM Plex Sans" w:cs="IBM Plex Sans" w:eastAsia="IBM Plex Sans" w:hAnsi="IBM Plex Sans"/>
          <w:color w:val="334155"/>
          <w:sz w:val="21"/>
          <w:szCs w:val="21"/>
        </w:rPr>
        <w:t xml:space="preserve">Gangguan haid organik (mis. leiomioma uteri, polip endometrium) pada pasien yang datang dengan keluhan perdarahan tidak teratur namun sebenarnya mencari kontrasepsi.</w:t>
      </w:r>
    </w:p>
    <w:p>
      <w:pPr>
        <w:pStyle w:val="ListParagraph"/>
        <w:numPr>
          <w:ilvl w:val="0"/>
          <w:numId w:val="2"/>
        </w:numPr>
        <w:spacing w:after="100"/>
      </w:pPr>
      <w:r>
        <w:rPr>
          <w:rFonts w:ascii="IBM Plex Sans" w:cs="IBM Plex Sans" w:eastAsia="IBM Plex Sans" w:hAnsi="IBM Plex Sans"/>
          <w:color w:val="334155"/>
          <w:sz w:val="21"/>
          <w:szCs w:val="21"/>
        </w:rPr>
        <w:t xml:space="preserve">Perdarahan uterus abnormal akibat penggunaan kontrasepsi hormonal sebelumnya yang belum dievaluasi.</w:t>
      </w:r>
    </w:p>
    <w:p>
      <w:pPr>
        <w:pStyle w:val="ListParagraph"/>
        <w:numPr>
          <w:ilvl w:val="0"/>
          <w:numId w:val="2"/>
        </w:numPr>
        <w:spacing w:after="100"/>
      </w:pPr>
      <w:r>
        <w:rPr>
          <w:rFonts w:ascii="IBM Plex Sans" w:cs="IBM Plex Sans" w:eastAsia="IBM Plex Sans" w:hAnsi="IBM Plex Sans"/>
          <w:color w:val="334155"/>
          <w:sz w:val="21"/>
          <w:szCs w:val="21"/>
        </w:rPr>
        <w:t xml:space="preserve">Infertilitas sekunder yang keliru diinterpretasikan sebagai kegagalan kontrasepsi.</w:t>
      </w:r>
    </w:p>
    <w:p>
      <w:pPr>
        <w:pStyle w:val="Heading1"/>
        <w:spacing w:after="160" w:before="320"/>
      </w:pPr>
      <w:r>
        <w:rPr>
          <w:rFonts w:ascii="Source Serif 4" w:cs="Source Serif 4" w:eastAsia="Source Serif 4" w:hAnsi="Source Serif 4"/>
        </w:rPr>
        <w:t xml:space="preserve">6. Pemeriksaan Penunjang</w:t>
      </w:r>
    </w:p>
    <w:p>
      <w:pPr>
        <w:spacing w:after="160" w:line="300"/>
      </w:pPr>
      <w:r>
        <w:rPr>
          <w:rFonts w:ascii="IBM Plex Sans" w:cs="IBM Plex Sans" w:eastAsia="IBM Plex Sans" w:hAnsi="IBM Plex Sans"/>
          <w:color w:val="334155"/>
          <w:sz w:val="21"/>
          <w:szCs w:val="21"/>
        </w:rPr>
        <w:t xml:space="preserve">Pemeriksaan penunjang bersifat selektif berdasarkan indikasi klinis dan tidak boleh menjadi prasyarat rutin yang menghambat inisiasi kontrasepsi, sesuai SPR edisi keempat WHO 2025 dan U.S. Selected Practice Recommendations for Contraceptive Use 2024 [3][4].</w:t>
      </w:r>
    </w:p>
    <w:p>
      <w:pPr>
        <w:pStyle w:val="ListParagraph"/>
        <w:numPr>
          <w:ilvl w:val="0"/>
          <w:numId w:val="2"/>
        </w:numPr>
        <w:spacing w:after="100"/>
      </w:pPr>
      <w:r>
        <w:rPr>
          <w:rFonts w:ascii="IBM Plex Sans" w:cs="IBM Plex Sans" w:eastAsia="IBM Plex Sans" w:hAnsi="IBM Plex Sans"/>
          <w:color w:val="334155"/>
          <w:sz w:val="21"/>
          <w:szCs w:val="21"/>
        </w:rPr>
        <w:t xml:space="preserve">Tes kehamilan (beta-hCG urin/serum) bila terdapat keraguan status kehamilan.</w:t>
      </w:r>
    </w:p>
    <w:p>
      <w:pPr>
        <w:pStyle w:val="ListParagraph"/>
        <w:numPr>
          <w:ilvl w:val="0"/>
          <w:numId w:val="2"/>
        </w:numPr>
        <w:spacing w:after="100"/>
      </w:pPr>
      <w:r>
        <w:rPr>
          <w:rFonts w:ascii="IBM Plex Sans" w:cs="IBM Plex Sans" w:eastAsia="IBM Plex Sans" w:hAnsi="IBM Plex Sans"/>
          <w:color w:val="334155"/>
          <w:sz w:val="21"/>
          <w:szCs w:val="21"/>
        </w:rPr>
        <w:t xml:space="preserve">Kadar hemoglobin sebelum pemasangan AKDR pada pasien dengan riwayat anemia berat atau perdarahan haid banyak.</w:t>
      </w:r>
    </w:p>
    <w:p>
      <w:pPr>
        <w:pStyle w:val="ListParagraph"/>
        <w:numPr>
          <w:ilvl w:val="0"/>
          <w:numId w:val="2"/>
        </w:numPr>
        <w:spacing w:after="100"/>
      </w:pPr>
      <w:r>
        <w:rPr>
          <w:rFonts w:ascii="IBM Plex Sans" w:cs="IBM Plex Sans" w:eastAsia="IBM Plex Sans" w:hAnsi="IBM Plex Sans"/>
          <w:color w:val="334155"/>
          <w:sz w:val="21"/>
          <w:szCs w:val="21"/>
        </w:rPr>
        <w:t xml:space="preserve">Skrining infeksi menular seksual pada pasien berisiko tinggi sebelum pemasangan AKDR.</w:t>
      </w:r>
    </w:p>
    <w:p>
      <w:pPr>
        <w:pStyle w:val="ListParagraph"/>
        <w:numPr>
          <w:ilvl w:val="0"/>
          <w:numId w:val="2"/>
        </w:numPr>
        <w:spacing w:after="100"/>
      </w:pPr>
      <w:r>
        <w:rPr>
          <w:rFonts w:ascii="IBM Plex Sans" w:cs="IBM Plex Sans" w:eastAsia="IBM Plex Sans" w:hAnsi="IBM Plex Sans"/>
          <w:color w:val="334155"/>
          <w:sz w:val="21"/>
          <w:szCs w:val="21"/>
        </w:rPr>
        <w:t xml:space="preserve">Ultrasonografi transvaginal/transabdominal bila terdapat kecurigaan kelainan anatomi uterus atau kesulitan penilaian posisi AKDR.</w:t>
      </w:r>
    </w:p>
    <w:p>
      <w:pPr>
        <w:pStyle w:val="ListParagraph"/>
        <w:numPr>
          <w:ilvl w:val="0"/>
          <w:numId w:val="2"/>
        </w:numPr>
        <w:spacing w:after="100"/>
      </w:pPr>
      <w:r>
        <w:rPr>
          <w:rFonts w:ascii="IBM Plex Sans" w:cs="IBM Plex Sans" w:eastAsia="IBM Plex Sans" w:hAnsi="IBM Plex Sans"/>
          <w:color w:val="334155"/>
          <w:sz w:val="21"/>
          <w:szCs w:val="21"/>
        </w:rPr>
        <w:t xml:space="preserve">Pemeriksaan gula darah dan profil lipid tidak rutin diperlukan kecuali terdapat faktor risiko kardiovaskular yang relevan dengan kelayakan kontrasepsi hormonal kombinasi.</w:t>
      </w:r>
    </w:p>
    <w:p>
      <w:pPr>
        <w:pStyle w:val="Heading1"/>
        <w:spacing w:after="160" w:before="320"/>
      </w:pPr>
      <w:r>
        <w:rPr>
          <w:rFonts w:ascii="Source Serif 4" w:cs="Source Serif 4" w:eastAsia="Source Serif 4" w:hAnsi="Source Serif 4"/>
        </w:rPr>
        <w:t xml:space="preserve">7. Tata Laksana</w:t>
      </w:r>
    </w:p>
    <w:p>
      <w:pPr>
        <w:spacing w:after="160" w:line="300"/>
      </w:pPr>
      <w:r>
        <w:rPr>
          <w:rFonts w:ascii="IBM Plex Sans" w:cs="IBM Plex Sans" w:eastAsia="IBM Plex Sans" w:hAnsi="IBM Plex Sans"/>
          <w:color w:val="334155"/>
          <w:sz w:val="21"/>
          <w:szCs w:val="21"/>
        </w:rPr>
        <w:t xml:space="preserve">Tata laksana disusun berdasarkan prinsip pilihan bermakna (informed choice), yaitu pasien diberikan informasi lengkap mengenai seluruh kelas metode sebelum menentukan pilihan, tanpa arahan sepihak dari tenaga kesehatan, sejalan dengan konseling berbasis pengambilan keputusan bersama (shared decision-making) yang direkomendasikan FIGO dan ICM [8].</w:t>
      </w:r>
    </w:p>
    <w:p>
      <w:pPr>
        <w:pStyle w:val="Heading2"/>
        <w:spacing w:after="160" w:before="320"/>
      </w:pPr>
      <w:r>
        <w:rPr>
          <w:rFonts w:ascii="Source Serif 4" w:cs="Source Serif 4" w:eastAsia="Source Serif 4" w:hAnsi="Source Serif 4"/>
        </w:rPr>
        <w:t xml:space="preserve">7.1 Tata Laksana Non-Farmakologis</w:t>
      </w:r>
    </w:p>
    <w:p>
      <w:pPr>
        <w:pStyle w:val="ListParagraph"/>
        <w:numPr>
          <w:ilvl w:val="0"/>
          <w:numId w:val="2"/>
        </w:numPr>
        <w:spacing w:after="100"/>
      </w:pPr>
      <w:r>
        <w:rPr>
          <w:rFonts w:ascii="IBM Plex Sans" w:cs="IBM Plex Sans" w:eastAsia="IBM Plex Sans" w:hAnsi="IBM Plex Sans"/>
          <w:color w:val="334155"/>
          <w:sz w:val="21"/>
          <w:szCs w:val="21"/>
        </w:rPr>
        <w:t xml:space="preserve">Metode Amenore Laktasi (Lactational Amenorrhea Method/LAM): efektif pada 6 bulan pertama pascasalin bila menyusui eksklusif dan belum haid kembali.</w:t>
      </w:r>
    </w:p>
    <w:p>
      <w:pPr>
        <w:pStyle w:val="ListParagraph"/>
        <w:numPr>
          <w:ilvl w:val="0"/>
          <w:numId w:val="2"/>
        </w:numPr>
        <w:spacing w:after="100"/>
      </w:pPr>
      <w:r>
        <w:rPr>
          <w:rFonts w:ascii="IBM Plex Sans" w:cs="IBM Plex Sans" w:eastAsia="IBM Plex Sans" w:hAnsi="IBM Plex Sans"/>
          <w:color w:val="334155"/>
          <w:sz w:val="21"/>
          <w:szCs w:val="21"/>
        </w:rPr>
        <w:t xml:space="preserve">Metode barrier: kondom pria dan kondom wanita, memberikan proteksi tambahan terhadap infeksi menular seksual.</w:t>
      </w:r>
    </w:p>
    <w:p>
      <w:pPr>
        <w:pStyle w:val="ListParagraph"/>
        <w:numPr>
          <w:ilvl w:val="0"/>
          <w:numId w:val="2"/>
        </w:numPr>
        <w:spacing w:after="100"/>
      </w:pPr>
      <w:r>
        <w:rPr>
          <w:rFonts w:ascii="IBM Plex Sans" w:cs="IBM Plex Sans" w:eastAsia="IBM Plex Sans" w:hAnsi="IBM Plex Sans"/>
          <w:color w:val="334155"/>
          <w:sz w:val="21"/>
          <w:szCs w:val="21"/>
        </w:rPr>
        <w:t xml:space="preserve">Metode kesadaran kesuburan (fertility awareness-based methods): pemantauan siklus, suhu basal, atau lendir serviks; efektivitas sangat bergantung pada kepatuhan pengguna.</w:t>
      </w:r>
    </w:p>
    <w:p>
      <w:pPr>
        <w:pStyle w:val="ListParagraph"/>
        <w:numPr>
          <w:ilvl w:val="0"/>
          <w:numId w:val="2"/>
        </w:numPr>
        <w:spacing w:after="100"/>
      </w:pPr>
      <w:r>
        <w:rPr>
          <w:rFonts w:ascii="IBM Plex Sans" w:cs="IBM Plex Sans" w:eastAsia="IBM Plex Sans" w:hAnsi="IBM Plex Sans"/>
          <w:color w:val="334155"/>
          <w:sz w:val="21"/>
          <w:szCs w:val="21"/>
        </w:rPr>
        <w:t xml:space="preserve">Coitus interruptus: dapat disampaikan sebagai pilihan dengan penjelasan tegas mengenai efektivitas yang rendah dibandingkan metode lain.</w:t>
      </w:r>
    </w:p>
    <w:p>
      <w:pPr>
        <w:pStyle w:val="Heading2"/>
        <w:spacing w:after="160" w:before="320"/>
      </w:pPr>
      <w:r>
        <w:rPr>
          <w:rFonts w:ascii="Source Serif 4" w:cs="Source Serif 4" w:eastAsia="Source Serif 4" w:hAnsi="Source Serif 4"/>
        </w:rPr>
        <w:t xml:space="preserve">7.2 Tata Laksana Farmakologis</w:t>
      </w:r>
    </w:p>
    <w:p>
      <w:pPr>
        <w:spacing w:after="160" w:line="300"/>
      </w:pPr>
      <w:r>
        <w:rPr>
          <w:rFonts w:ascii="IBM Plex Sans" w:cs="IBM Plex Sans" w:eastAsia="IBM Plex Sans" w:hAnsi="IBM Plex Sans"/>
          <w:color w:val="334155"/>
          <w:sz w:val="21"/>
          <w:szCs w:val="21"/>
        </w:rPr>
        <w:t xml:space="preserve">Tabel berikut menyusun karakteristik klinis utama setiap metode farmakologis berdasarkan MEC edisi keenam dan SPR edisi keempat WHO 2025 [2][3]. Efektivitas jangka panjang metode kontrasepsi reversibel jangka panjang (Long-Acting Reversible Contraception/LARC) — AKDR dan implan — didukung data prospektif Contraceptive CHOICE Project, dengan angka kelangsungan penggunaan (continuation rate) AKDR levonorgestrel 88% dan AKDR tembaga 85% pada 12 bulan pertama [6].</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Metode</w:t>
            </w:r>
          </w:p>
        </w:tc>
        <w:tc>
          <w:tcPr>
            <w:tcW w:type="dxa" w:w="468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Karakteristik Klinis Utama</w:t>
            </w:r>
          </w:p>
        </w:tc>
      </w:tr>
      <w:tr>
        <w:tc>
          <w:tcPr>
            <w:tcW w:type="dxa" w:w="4680"/>
            <w:tcMar>
              <w:top w:type="dxa" w:w="100"/>
              <w:left w:type="dxa" w:w="120"/>
              <w:bottom w:type="dxa" w:w="100"/>
              <w:right w:type="dxa" w:w="120"/>
            </w:tcMar>
          </w:tcPr>
          <w:p>
            <w:r>
              <w:rPr>
                <w:rFonts w:ascii="IBM Plex Sans" w:cs="IBM Plex Sans" w:eastAsia="IBM Plex Sans" w:hAnsi="IBM Plex Sans"/>
                <w:color w:val="334155"/>
                <w:sz w:val="21"/>
                <w:szCs w:val="21"/>
              </w:rPr>
              <w:t xml:space="preserve">Pil kontrasepsi kombinasi (COC)</w:t>
            </w:r>
          </w:p>
        </w:tc>
        <w:tc>
          <w:tcPr>
            <w:tcW w:type="dxa" w:w="4680"/>
            <w:tcMar>
              <w:top w:type="dxa" w:w="100"/>
              <w:left w:type="dxa" w:w="120"/>
              <w:bottom w:type="dxa" w:w="100"/>
              <w:right w:type="dxa" w:w="120"/>
            </w:tcMar>
          </w:tcPr>
          <w:p>
            <w:r>
              <w:rPr>
                <w:rFonts w:ascii="IBM Plex Sans" w:cs="IBM Plex Sans" w:eastAsia="IBM Plex Sans" w:hAnsi="IBM Plex Sans"/>
                <w:color w:val="334155"/>
                <w:sz w:val="21"/>
                <w:szCs w:val="21"/>
              </w:rPr>
              <w:t xml:space="preserve">Estrogen-progestin harian; kontraindikasi pada kelayakan kategori 4 seperti riwayat tromboemboli vena, migrain dengan aura, atau perokok usia di atas 35 tahun [5].</w:t>
            </w:r>
          </w:p>
        </w:tc>
      </w:tr>
      <w:tr>
        <w:tc>
          <w:tcPr>
            <w:tcW w:type="dxa" w:w="4680"/>
            <w:tcMar>
              <w:top w:type="dxa" w:w="100"/>
              <w:left w:type="dxa" w:w="120"/>
              <w:bottom w:type="dxa" w:w="100"/>
              <w:right w:type="dxa" w:w="120"/>
            </w:tcMar>
          </w:tcPr>
          <w:p>
            <w:r>
              <w:rPr>
                <w:rFonts w:ascii="IBM Plex Sans" w:cs="IBM Plex Sans" w:eastAsia="IBM Plex Sans" w:hAnsi="IBM Plex Sans"/>
                <w:color w:val="334155"/>
                <w:sz w:val="21"/>
                <w:szCs w:val="21"/>
              </w:rPr>
              <w:t xml:space="preserve">Pil progestin (POP)</w:t>
            </w:r>
          </w:p>
        </w:tc>
        <w:tc>
          <w:tcPr>
            <w:tcW w:type="dxa" w:w="4680"/>
            <w:tcMar>
              <w:top w:type="dxa" w:w="100"/>
              <w:left w:type="dxa" w:w="120"/>
              <w:bottom w:type="dxa" w:w="100"/>
              <w:right w:type="dxa" w:w="120"/>
            </w:tcMar>
          </w:tcPr>
          <w:p>
            <w:r>
              <w:rPr>
                <w:rFonts w:ascii="IBM Plex Sans" w:cs="IBM Plex Sans" w:eastAsia="IBM Plex Sans" w:hAnsi="IBM Plex Sans"/>
                <w:color w:val="334155"/>
                <w:sz w:val="21"/>
                <w:szCs w:val="21"/>
              </w:rPr>
              <w:t xml:space="preserve">Pilihan pada masa menyusui dan pasien dengan kontraindikasi estrogen; memerlukan kepatuhan jadwal harian yang ketat.</w:t>
            </w:r>
          </w:p>
        </w:tc>
      </w:tr>
      <w:tr>
        <w:tc>
          <w:tcPr>
            <w:tcW w:type="dxa" w:w="4680"/>
            <w:tcMar>
              <w:top w:type="dxa" w:w="100"/>
              <w:left w:type="dxa" w:w="120"/>
              <w:bottom w:type="dxa" w:w="100"/>
              <w:right w:type="dxa" w:w="120"/>
            </w:tcMar>
          </w:tcPr>
          <w:p>
            <w:r>
              <w:rPr>
                <w:rFonts w:ascii="IBM Plex Sans" w:cs="IBM Plex Sans" w:eastAsia="IBM Plex Sans" w:hAnsi="IBM Plex Sans"/>
                <w:color w:val="334155"/>
                <w:sz w:val="21"/>
                <w:szCs w:val="21"/>
              </w:rPr>
              <w:t xml:space="preserve">Suntik progestin (DMPA)</w:t>
            </w:r>
          </w:p>
        </w:tc>
        <w:tc>
          <w:tcPr>
            <w:tcW w:type="dxa" w:w="4680"/>
            <w:tcMar>
              <w:top w:type="dxa" w:w="100"/>
              <w:left w:type="dxa" w:w="120"/>
              <w:bottom w:type="dxa" w:w="100"/>
              <w:right w:type="dxa" w:w="120"/>
            </w:tcMar>
          </w:tcPr>
          <w:p>
            <w:r>
              <w:rPr>
                <w:rFonts w:ascii="IBM Plex Sans" w:cs="IBM Plex Sans" w:eastAsia="IBM Plex Sans" w:hAnsi="IBM Plex Sans"/>
                <w:color w:val="334155"/>
                <w:sz w:val="21"/>
                <w:szCs w:val="21"/>
              </w:rPr>
              <w:t xml:space="preserve">Injeksi setiap 12 minggu; dapat menyebabkan penundaan kembalinya kesuburan setelah penghentian serta penurunan densitas mineral tulang yang bersifat reversibel pada penggunaan jangka panjang [5].</w:t>
            </w:r>
          </w:p>
        </w:tc>
      </w:tr>
      <w:tr>
        <w:tc>
          <w:tcPr>
            <w:tcW w:type="dxa" w:w="4680"/>
            <w:tcMar>
              <w:top w:type="dxa" w:w="100"/>
              <w:left w:type="dxa" w:w="120"/>
              <w:bottom w:type="dxa" w:w="100"/>
              <w:right w:type="dxa" w:w="120"/>
            </w:tcMar>
          </w:tcPr>
          <w:p>
            <w:r>
              <w:rPr>
                <w:rFonts w:ascii="IBM Plex Sans" w:cs="IBM Plex Sans" w:eastAsia="IBM Plex Sans" w:hAnsi="IBM Plex Sans"/>
                <w:color w:val="334155"/>
                <w:sz w:val="21"/>
                <w:szCs w:val="21"/>
              </w:rPr>
              <w:t xml:space="preserve">Implan subdermal (levonorgestrel/etonogestrel)</w:t>
            </w:r>
          </w:p>
        </w:tc>
        <w:tc>
          <w:tcPr>
            <w:tcW w:type="dxa" w:w="4680"/>
            <w:tcMar>
              <w:top w:type="dxa" w:w="100"/>
              <w:left w:type="dxa" w:w="120"/>
              <w:bottom w:type="dxa" w:w="100"/>
              <w:right w:type="dxa" w:w="120"/>
            </w:tcMar>
          </w:tcPr>
          <w:p>
            <w:r>
              <w:rPr>
                <w:rFonts w:ascii="IBM Plex Sans" w:cs="IBM Plex Sans" w:eastAsia="IBM Plex Sans" w:hAnsi="IBM Plex Sans"/>
                <w:color w:val="334155"/>
                <w:sz w:val="21"/>
                <w:szCs w:val="21"/>
              </w:rPr>
              <w:t xml:space="preserve">Efektivitas tinggi jangka panjang (3–5 tahun), reversibel segera setelah pelepasan.</w:t>
            </w:r>
          </w:p>
        </w:tc>
      </w:tr>
      <w:tr>
        <w:tc>
          <w:tcPr>
            <w:tcW w:type="dxa" w:w="4680"/>
            <w:tcMar>
              <w:top w:type="dxa" w:w="100"/>
              <w:left w:type="dxa" w:w="120"/>
              <w:bottom w:type="dxa" w:w="100"/>
              <w:right w:type="dxa" w:w="120"/>
            </w:tcMar>
          </w:tcPr>
          <w:p>
            <w:r>
              <w:rPr>
                <w:rFonts w:ascii="IBM Plex Sans" w:cs="IBM Plex Sans" w:eastAsia="IBM Plex Sans" w:hAnsi="IBM Plex Sans"/>
                <w:color w:val="334155"/>
                <w:sz w:val="21"/>
                <w:szCs w:val="21"/>
              </w:rPr>
              <w:t xml:space="preserve">AKDR hormonal (levonorgestrel intrauterine system)</w:t>
            </w:r>
          </w:p>
        </w:tc>
        <w:tc>
          <w:tcPr>
            <w:tcW w:type="dxa" w:w="4680"/>
            <w:tcMar>
              <w:top w:type="dxa" w:w="100"/>
              <w:left w:type="dxa" w:w="120"/>
              <w:bottom w:type="dxa" w:w="100"/>
              <w:right w:type="dxa" w:w="120"/>
            </w:tcMar>
          </w:tcPr>
          <w:p>
            <w:r>
              <w:rPr>
                <w:rFonts w:ascii="IBM Plex Sans" w:cs="IBM Plex Sans" w:eastAsia="IBM Plex Sans" w:hAnsi="IBM Plex Sans"/>
                <w:color w:val="334155"/>
                <w:sz w:val="21"/>
                <w:szCs w:val="21"/>
              </w:rPr>
              <w:t xml:space="preserve">Efektivitas tinggi jangka panjang; angka kelangsungan penggunaan 88% pada 12 bulan [6]; dapat mengurangi volume perdarahan haid.</w:t>
            </w:r>
          </w:p>
        </w:tc>
      </w:tr>
      <w:tr>
        <w:tc>
          <w:tcPr>
            <w:tcW w:type="dxa" w:w="4680"/>
            <w:tcMar>
              <w:top w:type="dxa" w:w="100"/>
              <w:left w:type="dxa" w:w="120"/>
              <w:bottom w:type="dxa" w:w="100"/>
              <w:right w:type="dxa" w:w="120"/>
            </w:tcMar>
          </w:tcPr>
          <w:p>
            <w:r>
              <w:rPr>
                <w:rFonts w:ascii="IBM Plex Sans" w:cs="IBM Plex Sans" w:eastAsia="IBM Plex Sans" w:hAnsi="IBM Plex Sans"/>
                <w:color w:val="334155"/>
                <w:sz w:val="21"/>
                <w:szCs w:val="21"/>
              </w:rPr>
              <w:t xml:space="preserve">Kontrasepsi darurat oral (levonorgestrel/ulipristal asetat)</w:t>
            </w:r>
          </w:p>
        </w:tc>
        <w:tc>
          <w:tcPr>
            <w:tcW w:type="dxa" w:w="4680"/>
            <w:tcMar>
              <w:top w:type="dxa" w:w="100"/>
              <w:left w:type="dxa" w:w="120"/>
              <w:bottom w:type="dxa" w:w="100"/>
              <w:right w:type="dxa" w:w="120"/>
            </w:tcMar>
          </w:tcPr>
          <w:p>
            <w:r>
              <w:rPr>
                <w:rFonts w:ascii="IBM Plex Sans" w:cs="IBM Plex Sans" w:eastAsia="IBM Plex Sans" w:hAnsi="IBM Plex Sans"/>
                <w:color w:val="334155"/>
                <w:sz w:val="21"/>
                <w:szCs w:val="21"/>
              </w:rPr>
              <w:t xml:space="preserve">Digunakan pascasenggama tanpa proteksi; ulipristal asetat 30 mg menunjukkan efektivitas tidak inferior dibandingkan levonorgestrel 1,5 mg pada uji non-inferioritas acak [7]; bukan metode kontrasepsi reguler.</w:t>
            </w:r>
          </w:p>
        </w:tc>
      </w:tr>
    </w:tbl>
    <w:p>
      <w:pPr>
        <w:spacing w:after="160"/>
      </w:pPr>
    </w:p>
    <w:p>
      <w:pPr>
        <w:pStyle w:val="Heading2"/>
        <w:spacing w:after="160" w:before="320"/>
      </w:pPr>
      <w:r>
        <w:rPr>
          <w:rFonts w:ascii="Source Serif 4" w:cs="Source Serif 4" w:eastAsia="Source Serif 4" w:hAnsi="Source Serif 4"/>
        </w:rPr>
        <w:t xml:space="preserve">7.3 Tata Laksana Bedah/Prosedural</w:t>
      </w:r>
    </w:p>
    <w:p>
      <w:pPr>
        <w:pStyle w:val="ListParagraph"/>
        <w:numPr>
          <w:ilvl w:val="0"/>
          <w:numId w:val="2"/>
        </w:numPr>
        <w:spacing w:after="100"/>
      </w:pPr>
      <w:r>
        <w:rPr>
          <w:rFonts w:ascii="IBM Plex Sans" w:cs="IBM Plex Sans" w:eastAsia="IBM Plex Sans" w:hAnsi="IBM Plex Sans"/>
          <w:color w:val="334155"/>
          <w:sz w:val="21"/>
          <w:szCs w:val="21"/>
        </w:rPr>
        <w:t xml:space="preserve">Pemasangan AKDR tembaga (Cu-IUD): efektivitas tinggi jangka panjang (hingga 10 tahun), non-hormonal, angka kelangsungan penggunaan 85% pada 12 bulan [6]; merupakan metode kontrasepsi darurat paling efektif bila dipasang dalam 5 hari pascasenggama tanpa proteksi, sesuai tinjauan sistematis Cochrane mengenai intervensi kontrasepsi darurat [7].</w:t>
      </w:r>
    </w:p>
    <w:p>
      <w:pPr>
        <w:pStyle w:val="ListParagraph"/>
        <w:numPr>
          <w:ilvl w:val="0"/>
          <w:numId w:val="2"/>
        </w:numPr>
        <w:spacing w:after="100"/>
      </w:pPr>
      <w:r>
        <w:rPr>
          <w:rFonts w:ascii="IBM Plex Sans" w:cs="IBM Plex Sans" w:eastAsia="IBM Plex Sans" w:hAnsi="IBM Plex Sans"/>
          <w:color w:val="334155"/>
          <w:sz w:val="21"/>
          <w:szCs w:val="21"/>
        </w:rPr>
        <w:t xml:space="preserve">Tubektomi/kontrasepsi mantap wanita (Metode Operasi Wanita/MOW): metode permanen, dilakukan dengan konseling mendalam mengenai sifat ireversibel.</w:t>
      </w:r>
    </w:p>
    <w:p>
      <w:pPr>
        <w:pStyle w:val="ListParagraph"/>
        <w:numPr>
          <w:ilvl w:val="0"/>
          <w:numId w:val="2"/>
        </w:numPr>
        <w:spacing w:after="100"/>
      </w:pPr>
      <w:r>
        <w:rPr>
          <w:rFonts w:ascii="IBM Plex Sans" w:cs="IBM Plex Sans" w:eastAsia="IBM Plex Sans" w:hAnsi="IBM Plex Sans"/>
          <w:color w:val="334155"/>
          <w:sz w:val="21"/>
          <w:szCs w:val="21"/>
        </w:rPr>
        <w:t xml:space="preserve">Vasektomi/kontrasepsi mantap pria (Metode Operasi Pria/MOP): dirujuk sebagai pilihan pasangan, bersifat permanen dan lebih sederhana secara prosedural dibandingkan tubektomi.</w:t>
      </w:r>
    </w:p>
    <w:p>
      <w:pPr>
        <w:pStyle w:val="ListParagraph"/>
        <w:numPr>
          <w:ilvl w:val="0"/>
          <w:numId w:val="2"/>
        </w:numPr>
        <w:spacing w:after="100"/>
      </w:pPr>
      <w:r>
        <w:rPr>
          <w:rFonts w:ascii="IBM Plex Sans" w:cs="IBM Plex Sans" w:eastAsia="IBM Plex Sans" w:hAnsi="IBM Plex Sans"/>
          <w:color w:val="334155"/>
          <w:sz w:val="21"/>
          <w:szCs w:val="21"/>
        </w:rPr>
        <w:t xml:space="preserve">AKDR pascaplasenta (postpartum intrauterine device/PPIUD): dapat dipasang dalam 48 jam pascasalin sebagai bagian integrasi layanan kontrasepsi pascasalin, sesuai pernyataan posisi FIGO 2025 mengenai PPIUD [9].</w:t>
      </w:r>
    </w:p>
    <w:p>
      <w:pPr>
        <w:pStyle w:val="Heading2"/>
        <w:spacing w:after="160" w:before="320"/>
      </w:pPr>
      <w:r>
        <w:rPr>
          <w:rFonts w:ascii="Source Serif 4" w:cs="Source Serif 4" w:eastAsia="Source Serif 4" w:hAnsi="Source Serif 4"/>
        </w:rPr>
        <w:t xml:space="preserve">7.4 Kriteria Rujukan ke Subspesialis Fetomaternal</w:t>
      </w:r>
    </w:p>
    <w:p>
      <w:pPr>
        <w:spacing w:after="160" w:line="300"/>
      </w:pPr>
      <w:r>
        <w:rPr>
          <w:rFonts w:ascii="IBM Plex Sans" w:cs="IBM Plex Sans" w:eastAsia="IBM Plex Sans" w:hAnsi="IBM Plex Sans"/>
          <w:color w:val="334155"/>
          <w:sz w:val="21"/>
          <w:szCs w:val="21"/>
        </w:rPr>
        <w:t xml:space="preserve">Rujukan ke Konsultan Fetomaternal dipertimbangkan pada kondisi berikut, sesuai kewenangan spesialis umum yang terbatas dalam Kepkonsil:</w:t>
      </w:r>
    </w:p>
    <w:p>
      <w:pPr>
        <w:pStyle w:val="ListParagraph"/>
        <w:numPr>
          <w:ilvl w:val="0"/>
          <w:numId w:val="2"/>
        </w:numPr>
        <w:spacing w:after="100"/>
      </w:pPr>
      <w:r>
        <w:rPr>
          <w:rFonts w:ascii="IBM Plex Sans" w:cs="IBM Plex Sans" w:eastAsia="IBM Plex Sans" w:hAnsi="IBM Plex Sans"/>
          <w:color w:val="334155"/>
          <w:sz w:val="21"/>
          <w:szCs w:val="21"/>
        </w:rPr>
        <w:t xml:space="preserve">Perencanaan interconception pada pasien dengan riwayat komplikasi obstetri berat (preeklamsia berat/eklamsia, perdarahan pascasalin masif) yang memerlukan penyesuaian jarak kehamilan berikutnya.</w:t>
      </w:r>
    </w:p>
    <w:p>
      <w:pPr>
        <w:pStyle w:val="ListParagraph"/>
        <w:numPr>
          <w:ilvl w:val="0"/>
          <w:numId w:val="2"/>
        </w:numPr>
        <w:spacing w:after="100"/>
      </w:pPr>
      <w:r>
        <w:rPr>
          <w:rFonts w:ascii="IBM Plex Sans" w:cs="IBM Plex Sans" w:eastAsia="IBM Plex Sans" w:hAnsi="IBM Plex Sans"/>
          <w:color w:val="334155"/>
          <w:sz w:val="21"/>
          <w:szCs w:val="21"/>
        </w:rPr>
        <w:t xml:space="preserve">Pasien dengan penyakit jantung struktural atau riwayat tromboemboli vena rekuren yang memerlukan penilaian multidisiplin sebelum pemilihan metode hormonal.</w:t>
      </w:r>
    </w:p>
    <w:p>
      <w:pPr>
        <w:pStyle w:val="ListParagraph"/>
        <w:numPr>
          <w:ilvl w:val="0"/>
          <w:numId w:val="2"/>
        </w:numPr>
        <w:spacing w:after="100"/>
      </w:pPr>
      <w:r>
        <w:rPr>
          <w:rFonts w:ascii="IBM Plex Sans" w:cs="IBM Plex Sans" w:eastAsia="IBM Plex Sans" w:hAnsi="IBM Plex Sans"/>
          <w:color w:val="334155"/>
          <w:sz w:val="21"/>
          <w:szCs w:val="21"/>
        </w:rPr>
        <w:t xml:space="preserve">Pasien pascasalin dengan komplikasi medis berat yang memerlukan koordinasi rencana kontrasepsi dengan tata laksana penyakit dasar.</w:t>
      </w:r>
    </w:p>
    <w:p>
      <w:pPr>
        <w:pStyle w:val="Heading1"/>
        <w:spacing w:after="160" w:before="320"/>
      </w:pPr>
      <w:r>
        <w:rPr>
          <w:rFonts w:ascii="Source Serif 4" w:cs="Source Serif 4" w:eastAsia="Source Serif 4" w:hAnsi="Source Serif 4"/>
        </w:rPr>
        <w:t xml:space="preserve">8. Edukasi Pasien dan Keluarga</w:t>
      </w:r>
    </w:p>
    <w:p>
      <w:pPr>
        <w:pStyle w:val="ListParagraph"/>
        <w:numPr>
          <w:ilvl w:val="0"/>
          <w:numId w:val="2"/>
        </w:numPr>
        <w:spacing w:after="100"/>
      </w:pPr>
      <w:r>
        <w:rPr>
          <w:rFonts w:ascii="IBM Plex Sans" w:cs="IBM Plex Sans" w:eastAsia="IBM Plex Sans" w:hAnsi="IBM Plex Sans"/>
          <w:color w:val="334155"/>
          <w:sz w:val="21"/>
          <w:szCs w:val="21"/>
        </w:rPr>
        <w:t xml:space="preserve">Penjelasan efektivitas setiap metode dalam penggunaan sempurna (perfect use) dan penggunaan umum (typical use).</w:t>
      </w:r>
    </w:p>
    <w:p>
      <w:pPr>
        <w:pStyle w:val="ListParagraph"/>
        <w:numPr>
          <w:ilvl w:val="0"/>
          <w:numId w:val="2"/>
        </w:numPr>
        <w:spacing w:after="100"/>
      </w:pPr>
      <w:r>
        <w:rPr>
          <w:rFonts w:ascii="IBM Plex Sans" w:cs="IBM Plex Sans" w:eastAsia="IBM Plex Sans" w:hAnsi="IBM Plex Sans"/>
          <w:color w:val="334155"/>
          <w:sz w:val="21"/>
          <w:szCs w:val="21"/>
        </w:rPr>
        <w:t xml:space="preserve">Efek samping yang mungkin timbul dan waktu kontrol ulang yang dianjurkan.</w:t>
      </w:r>
    </w:p>
    <w:p>
      <w:pPr>
        <w:pStyle w:val="ListParagraph"/>
        <w:numPr>
          <w:ilvl w:val="0"/>
          <w:numId w:val="2"/>
        </w:numPr>
        <w:spacing w:after="100"/>
      </w:pPr>
      <w:r>
        <w:rPr>
          <w:rFonts w:ascii="IBM Plex Sans" w:cs="IBM Plex Sans" w:eastAsia="IBM Plex Sans" w:hAnsi="IBM Plex Sans"/>
          <w:color w:val="334155"/>
          <w:sz w:val="21"/>
          <w:szCs w:val="21"/>
        </w:rPr>
        <w:t xml:space="preserve">Tanda bahaya yang memerlukan kunjungan segera, misalnya nyeri tungkai berat sesisi, nyeri dada, atau perdarahan hebat.</w:t>
      </w:r>
    </w:p>
    <w:p>
      <w:pPr>
        <w:pStyle w:val="ListParagraph"/>
        <w:numPr>
          <w:ilvl w:val="0"/>
          <w:numId w:val="2"/>
        </w:numPr>
        <w:spacing w:after="100"/>
      </w:pPr>
      <w:r>
        <w:rPr>
          <w:rFonts w:ascii="IBM Plex Sans" w:cs="IBM Plex Sans" w:eastAsia="IBM Plex Sans" w:hAnsi="IBM Plex Sans"/>
          <w:color w:val="334155"/>
          <w:sz w:val="21"/>
          <w:szCs w:val="21"/>
        </w:rPr>
        <w:t xml:space="preserve">Hak pasien untuk mengganti atau menghentikan metode kapan saja tanpa memerlukan persetujuan pasangan.</w:t>
      </w:r>
    </w:p>
    <w:p>
      <w:pPr>
        <w:pStyle w:val="ListParagraph"/>
        <w:numPr>
          <w:ilvl w:val="0"/>
          <w:numId w:val="2"/>
        </w:numPr>
        <w:spacing w:after="100"/>
      </w:pPr>
      <w:r>
        <w:rPr>
          <w:rFonts w:ascii="IBM Plex Sans" w:cs="IBM Plex Sans" w:eastAsia="IBM Plex Sans" w:hAnsi="IBM Plex Sans"/>
          <w:color w:val="334155"/>
          <w:sz w:val="21"/>
          <w:szCs w:val="21"/>
        </w:rPr>
        <w:t xml:space="preserve">Keterlibatan pasangan dalam pengambilan keputusan bila pasien menghendaki, tanpa mengurangi otonomi pasien.</w:t>
      </w:r>
    </w:p>
    <w:p>
      <w:pPr>
        <w:pStyle w:val="ListParagraph"/>
        <w:numPr>
          <w:ilvl w:val="0"/>
          <w:numId w:val="2"/>
        </w:numPr>
        <w:spacing w:after="100"/>
      </w:pPr>
      <w:r>
        <w:rPr>
          <w:rFonts w:ascii="IBM Plex Sans" w:cs="IBM Plex Sans" w:eastAsia="IBM Plex Sans" w:hAnsi="IBM Plex Sans"/>
          <w:color w:val="334155"/>
          <w:sz w:val="21"/>
          <w:szCs w:val="21"/>
        </w:rPr>
        <w:t xml:space="preserve">Penjelasan bahwa metode barrier tetap dianjurkan bersamaan dengan metode lain bila terdapat risiko infeksi menular seksual.</w:t>
      </w:r>
    </w:p>
    <w:p>
      <w:pPr>
        <w:pStyle w:val="Heading1"/>
        <w:spacing w:after="160" w:before="320"/>
      </w:pPr>
      <w:r>
        <w:rPr>
          <w:rFonts w:ascii="Source Serif 4" w:cs="Source Serif 4" w:eastAsia="Source Serif 4" w:hAnsi="Source Serif 4"/>
        </w:rPr>
        <w:t xml:space="preserve">9. Prognosis</w:t>
      </w:r>
    </w:p>
    <w:p>
      <w:pPr>
        <w:spacing w:after="160" w:line="300"/>
      </w:pPr>
      <w:r>
        <w:rPr>
          <w:rFonts w:ascii="IBM Plex Sans" w:cs="IBM Plex Sans" w:eastAsia="IBM Plex Sans" w:hAnsi="IBM Plex Sans"/>
          <w:color w:val="334155"/>
          <w:sz w:val="21"/>
          <w:szCs w:val="21"/>
        </w:rPr>
        <w:t xml:space="preserve">Sebagian besar metode kontrasepsi bersifat reversibel dengan kembalinya kesuburan segera hingga beberapa bulan setelah penghentian, kecuali metode suntik progestin (DMPA) yang dapat menunda kembalinya ovulasi beberapa bulan setelah penghentian, dan metode permanen (tubektomi/vasektomi) yang bersifat ireversibel dan harus dikomunikasikan secara eksplisit sebelum tindakan.</w:t>
      </w:r>
    </w:p>
    <w:p>
      <w:pPr>
        <w:pStyle w:val="Heading1"/>
        <w:spacing w:after="160" w:before="320"/>
      </w:pPr>
      <w:r>
        <w:rPr>
          <w:rFonts w:ascii="Source Serif 4" w:cs="Source Serif 4" w:eastAsia="Source Serif 4" w:hAnsi="Source Serif 4"/>
        </w:rPr>
        <w:t xml:space="preserve">10. Tingkat Evidens dan Rekomendasi</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Aspek</w:t>
            </w:r>
          </w:p>
        </w:tc>
        <w:tc>
          <w:tcPr>
            <w:tcW w:type="dxa" w:w="312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Tingkat Evidens</w:t>
            </w:r>
          </w:p>
        </w:tc>
        <w:tc>
          <w:tcPr>
            <w:tcW w:type="dxa" w:w="312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Sumber</w:t>
            </w:r>
          </w:p>
        </w:tc>
      </w:tr>
      <w:tr>
        <w:tc>
          <w:tcPr>
            <w:tcW w:type="dxa" w:w="3120"/>
            <w:tcMar>
              <w:top w:type="dxa" w:w="100"/>
              <w:left w:type="dxa" w:w="120"/>
              <w:bottom w:type="dxa" w:w="100"/>
              <w:right w:type="dxa" w:w="120"/>
            </w:tcMar>
          </w:tcPr>
          <w:p>
            <w:r>
              <w:rPr>
                <w:rFonts w:ascii="IBM Plex Sans" w:cs="IBM Plex Sans" w:eastAsia="IBM Plex Sans" w:hAnsi="IBM Plex Sans"/>
                <w:color w:val="334155"/>
                <w:sz w:val="21"/>
                <w:szCs w:val="21"/>
              </w:rPr>
              <w:t xml:space="preserve">Efektivitas AKDR dan implan sebagai kontrasepsi reversibel jangka panjang</w:t>
            </w:r>
          </w:p>
        </w:tc>
        <w:tc>
          <w:tcPr>
            <w:tcW w:type="dxa" w:w="3120"/>
            <w:tcMar>
              <w:top w:type="dxa" w:w="100"/>
              <w:left w:type="dxa" w:w="120"/>
              <w:bottom w:type="dxa" w:w="100"/>
              <w:right w:type="dxa" w:w="120"/>
            </w:tcMar>
          </w:tcPr>
          <w:p>
            <w:r>
              <w:rPr>
                <w:rFonts w:ascii="IBM Plex Sans" w:cs="IBM Plex Sans" w:eastAsia="IBM Plex Sans" w:hAnsi="IBM Plex Sans"/>
                <w:color w:val="334155"/>
                <w:sz w:val="21"/>
                <w:szCs w:val="21"/>
              </w:rPr>
              <w:t xml:space="preserve">Evidens tingkat I (studi kohort prospektif skala besar)</w:t>
            </w:r>
          </w:p>
        </w:tc>
        <w:tc>
          <w:tcPr>
            <w:tcW w:type="dxa" w:w="3120"/>
            <w:tcMar>
              <w:top w:type="dxa" w:w="100"/>
              <w:left w:type="dxa" w:w="120"/>
              <w:bottom w:type="dxa" w:w="100"/>
              <w:right w:type="dxa" w:w="120"/>
            </w:tcMar>
          </w:tcPr>
          <w:p>
            <w:r>
              <w:rPr>
                <w:rFonts w:ascii="IBM Plex Sans" w:cs="IBM Plex Sans" w:eastAsia="IBM Plex Sans" w:hAnsi="IBM Plex Sans"/>
                <w:color w:val="334155"/>
                <w:sz w:val="21"/>
                <w:szCs w:val="21"/>
              </w:rPr>
              <w:t xml:space="preserve">Winner et al., N Engl J Med 2012 [6]</w:t>
            </w:r>
          </w:p>
        </w:tc>
      </w:tr>
      <w:tr>
        <w:tc>
          <w:tcPr>
            <w:tcW w:type="dxa" w:w="3120"/>
            <w:tcMar>
              <w:top w:type="dxa" w:w="100"/>
              <w:left w:type="dxa" w:w="120"/>
              <w:bottom w:type="dxa" w:w="100"/>
              <w:right w:type="dxa" w:w="120"/>
            </w:tcMar>
          </w:tcPr>
          <w:p>
            <w:r>
              <w:rPr>
                <w:rFonts w:ascii="IBM Plex Sans" w:cs="IBM Plex Sans" w:eastAsia="IBM Plex Sans" w:hAnsi="IBM Plex Sans"/>
                <w:color w:val="334155"/>
                <w:sz w:val="21"/>
                <w:szCs w:val="21"/>
              </w:rPr>
              <w:t xml:space="preserve">Kriteria kelayakan medis per kondisi komorbid</w:t>
            </w:r>
          </w:p>
        </w:tc>
        <w:tc>
          <w:tcPr>
            <w:tcW w:type="dxa" w:w="3120"/>
            <w:tcMar>
              <w:top w:type="dxa" w:w="100"/>
              <w:left w:type="dxa" w:w="120"/>
              <w:bottom w:type="dxa" w:w="100"/>
              <w:right w:type="dxa" w:w="120"/>
            </w:tcMar>
          </w:tcPr>
          <w:p>
            <w:r>
              <w:rPr>
                <w:rFonts w:ascii="IBM Plex Sans" w:cs="IBM Plex Sans" w:eastAsia="IBM Plex Sans" w:hAnsi="IBM Plex Sans"/>
                <w:color w:val="334155"/>
                <w:sz w:val="21"/>
                <w:szCs w:val="21"/>
              </w:rPr>
              <w:t xml:space="preserve">Evidens tingkat I–II (konsensus berbasis tinjauan sistematis)</w:t>
            </w:r>
          </w:p>
        </w:tc>
        <w:tc>
          <w:tcPr>
            <w:tcW w:type="dxa" w:w="3120"/>
            <w:tcMar>
              <w:top w:type="dxa" w:w="100"/>
              <w:left w:type="dxa" w:w="120"/>
              <w:bottom w:type="dxa" w:w="100"/>
              <w:right w:type="dxa" w:w="120"/>
            </w:tcMar>
          </w:tcPr>
          <w:p>
            <w:r>
              <w:rPr>
                <w:rFonts w:ascii="IBM Plex Sans" w:cs="IBM Plex Sans" w:eastAsia="IBM Plex Sans" w:hAnsi="IBM Plex Sans"/>
                <w:color w:val="334155"/>
                <w:sz w:val="21"/>
                <w:szCs w:val="21"/>
              </w:rPr>
              <w:t xml:space="preserve">WHO Medical Eligibility Criteria, edisi keenam, 2025 [2]</w:t>
            </w:r>
          </w:p>
        </w:tc>
      </w:tr>
      <w:tr>
        <w:tc>
          <w:tcPr>
            <w:tcW w:type="dxa" w:w="3120"/>
            <w:tcMar>
              <w:top w:type="dxa" w:w="100"/>
              <w:left w:type="dxa" w:w="120"/>
              <w:bottom w:type="dxa" w:w="100"/>
              <w:right w:type="dxa" w:w="120"/>
            </w:tcMar>
          </w:tcPr>
          <w:p>
            <w:r>
              <w:rPr>
                <w:rFonts w:ascii="IBM Plex Sans" w:cs="IBM Plex Sans" w:eastAsia="IBM Plex Sans" w:hAnsi="IBM Plex Sans"/>
                <w:color w:val="334155"/>
                <w:sz w:val="21"/>
                <w:szCs w:val="21"/>
              </w:rPr>
              <w:t xml:space="preserve">Kontrasepsi darurat oral dan AKDR sebagai kontrasepsi darurat</w:t>
            </w:r>
          </w:p>
        </w:tc>
        <w:tc>
          <w:tcPr>
            <w:tcW w:type="dxa" w:w="3120"/>
            <w:tcMar>
              <w:top w:type="dxa" w:w="100"/>
              <w:left w:type="dxa" w:w="120"/>
              <w:bottom w:type="dxa" w:w="100"/>
              <w:right w:type="dxa" w:w="120"/>
            </w:tcMar>
          </w:tcPr>
          <w:p>
            <w:r>
              <w:rPr>
                <w:rFonts w:ascii="IBM Plex Sans" w:cs="IBM Plex Sans" w:eastAsia="IBM Plex Sans" w:hAnsi="IBM Plex Sans"/>
                <w:color w:val="334155"/>
                <w:sz w:val="21"/>
                <w:szCs w:val="21"/>
              </w:rPr>
              <w:t xml:space="preserve">Evidens tingkat I (tinjauan sistematis Cochrane)</w:t>
            </w:r>
          </w:p>
        </w:tc>
        <w:tc>
          <w:tcPr>
            <w:tcW w:type="dxa" w:w="3120"/>
            <w:tcMar>
              <w:top w:type="dxa" w:w="100"/>
              <w:left w:type="dxa" w:w="120"/>
              <w:bottom w:type="dxa" w:w="100"/>
              <w:right w:type="dxa" w:w="120"/>
            </w:tcMar>
          </w:tcPr>
          <w:p>
            <w:r>
              <w:rPr>
                <w:rFonts w:ascii="IBM Plex Sans" w:cs="IBM Plex Sans" w:eastAsia="IBM Plex Sans" w:hAnsi="IBM Plex Sans"/>
                <w:color w:val="334155"/>
                <w:sz w:val="21"/>
                <w:szCs w:val="21"/>
              </w:rPr>
              <w:t xml:space="preserve">Shen et al., Cochrane Database Syst Rev 2019 [7]</w:t>
            </w:r>
          </w:p>
        </w:tc>
      </w:tr>
      <w:tr>
        <w:tc>
          <w:tcPr>
            <w:tcW w:type="dxa" w:w="3120"/>
            <w:tcMar>
              <w:top w:type="dxa" w:w="100"/>
              <w:left w:type="dxa" w:w="120"/>
              <w:bottom w:type="dxa" w:w="100"/>
              <w:right w:type="dxa" w:w="120"/>
            </w:tcMar>
          </w:tcPr>
          <w:p>
            <w:r>
              <w:rPr>
                <w:rFonts w:ascii="IBM Plex Sans" w:cs="IBM Plex Sans" w:eastAsia="IBM Plex Sans" w:hAnsi="IBM Plex Sans"/>
                <w:color w:val="334155"/>
                <w:sz w:val="21"/>
                <w:szCs w:val="21"/>
              </w:rPr>
              <w:t xml:space="preserve">Kontrasepsi hormonal pada kondisi komorbid</w:t>
            </w:r>
          </w:p>
        </w:tc>
        <w:tc>
          <w:tcPr>
            <w:tcW w:type="dxa" w:w="3120"/>
            <w:tcMar>
              <w:top w:type="dxa" w:w="100"/>
              <w:left w:type="dxa" w:w="120"/>
              <w:bottom w:type="dxa" w:w="100"/>
              <w:right w:type="dxa" w:w="120"/>
            </w:tcMar>
          </w:tcPr>
          <w:p>
            <w:r>
              <w:rPr>
                <w:rFonts w:ascii="IBM Plex Sans" w:cs="IBM Plex Sans" w:eastAsia="IBM Plex Sans" w:hAnsi="IBM Plex Sans"/>
                <w:color w:val="334155"/>
                <w:sz w:val="21"/>
                <w:szCs w:val="21"/>
              </w:rPr>
              <w:t xml:space="preserve">Evidens tingkat II (pedoman berbasis konsensus ahli)</w:t>
            </w:r>
          </w:p>
        </w:tc>
        <w:tc>
          <w:tcPr>
            <w:tcW w:type="dxa" w:w="3120"/>
            <w:tcMar>
              <w:top w:type="dxa" w:w="100"/>
              <w:left w:type="dxa" w:w="120"/>
              <w:bottom w:type="dxa" w:w="100"/>
              <w:right w:type="dxa" w:w="120"/>
            </w:tcMar>
          </w:tcPr>
          <w:p>
            <w:r>
              <w:rPr>
                <w:rFonts w:ascii="IBM Plex Sans" w:cs="IBM Plex Sans" w:eastAsia="IBM Plex Sans" w:hAnsi="IBM Plex Sans"/>
                <w:color w:val="334155"/>
                <w:sz w:val="21"/>
                <w:szCs w:val="21"/>
              </w:rPr>
              <w:t xml:space="preserve">ACOG Practice Bulletin No. 206, 2019 [5]</w:t>
            </w:r>
          </w:p>
        </w:tc>
      </w:tr>
    </w:tbl>
    <w:p>
      <w:pPr>
        <w:spacing w:after="160"/>
      </w:pPr>
    </w:p>
    <w:p>
      <w:pPr>
        <w:pStyle w:val="Heading1"/>
        <w:spacing w:after="160" w:before="320"/>
      </w:pPr>
      <w:r>
        <w:rPr>
          <w:rFonts w:ascii="Source Serif 4" w:cs="Source Serif 4" w:eastAsia="Source Serif 4" w:hAnsi="Source Serif 4"/>
        </w:rPr>
        <w:t xml:space="preserve">11. Indikator Medis</w:t>
      </w:r>
    </w:p>
    <w:p>
      <w:pPr>
        <w:pStyle w:val="ListParagraph"/>
        <w:numPr>
          <w:ilvl w:val="0"/>
          <w:numId w:val="2"/>
        </w:numPr>
        <w:spacing w:after="100"/>
      </w:pPr>
      <w:r>
        <w:rPr>
          <w:rFonts w:ascii="IBM Plex Sans" w:cs="IBM Plex Sans" w:eastAsia="IBM Plex Sans" w:hAnsi="IBM Plex Sans"/>
          <w:color w:val="334155"/>
          <w:sz w:val="21"/>
          <w:szCs w:val="21"/>
        </w:rPr>
        <w:t xml:space="preserve">Proporsi pasien yang menerima konseling metode berbasis kriteria kelayakan medis terstandar sebelum inisiasi kontrasepsi [DATA: rujuk registri resmi terbaru Kementerian Kesehatan RI, Kementerian Kependudukan dan Pembangunan Keluarga/BKKBN, atau POGI].</w:t>
      </w:r>
    </w:p>
    <w:p>
      <w:pPr>
        <w:pStyle w:val="ListParagraph"/>
        <w:numPr>
          <w:ilvl w:val="0"/>
          <w:numId w:val="2"/>
        </w:numPr>
        <w:spacing w:after="100"/>
      </w:pPr>
      <w:r>
        <w:rPr>
          <w:rFonts w:ascii="IBM Plex Sans" w:cs="IBM Plex Sans" w:eastAsia="IBM Plex Sans" w:hAnsi="IBM Plex Sans"/>
          <w:color w:val="334155"/>
          <w:sz w:val="21"/>
          <w:szCs w:val="21"/>
        </w:rPr>
        <w:t xml:space="preserve">Angka kelangsungan penggunaan metode (continuation rate) pada 12 bulan pascainisiasi, dengan acuan pembanding 88% untuk AKDR levonorgestrel dan 85% untuk AKDR tembaga berdasarkan studi kohort Contraceptive CHOICE Project [6].</w:t>
      </w:r>
    </w:p>
    <w:p>
      <w:pPr>
        <w:pStyle w:val="ListParagraph"/>
        <w:numPr>
          <w:ilvl w:val="0"/>
          <w:numId w:val="2"/>
        </w:numPr>
        <w:spacing w:after="100"/>
      </w:pPr>
      <w:r>
        <w:rPr>
          <w:rFonts w:ascii="IBM Plex Sans" w:cs="IBM Plex Sans" w:eastAsia="IBM Plex Sans" w:hAnsi="IBM Plex Sans"/>
          <w:color w:val="334155"/>
          <w:sz w:val="21"/>
          <w:szCs w:val="21"/>
        </w:rPr>
        <w:t xml:space="preserve">Proporsi kejadian efek samping berat yang tertangani sesuai standar tanpa keterlambatan rujukan.</w:t>
      </w:r>
    </w:p>
    <w:p>
      <w:pPr>
        <w:pStyle w:val="ListParagraph"/>
        <w:numPr>
          <w:ilvl w:val="0"/>
          <w:numId w:val="2"/>
        </w:numPr>
        <w:spacing w:after="100"/>
      </w:pPr>
      <w:r>
        <w:rPr>
          <w:rFonts w:ascii="IBM Plex Sans" w:cs="IBM Plex Sans" w:eastAsia="IBM Plex Sans" w:hAnsi="IBM Plex Sans"/>
          <w:color w:val="334155"/>
          <w:sz w:val="21"/>
          <w:szCs w:val="21"/>
        </w:rPr>
        <w:t xml:space="preserve">Kepatuhan dokumentasi persetujuan tindakan (informed consent) pada seluruh prosedur bedah/prosedural kontrasepsi.</w:t>
      </w:r>
    </w:p>
    <w:p>
      <w:pPr>
        <w:pStyle w:val="Heading1"/>
        <w:spacing w:after="160" w:before="320"/>
      </w:pPr>
      <w:r>
        <w:rPr>
          <w:rFonts w:ascii="Source Serif 4" w:cs="Source Serif 4" w:eastAsia="Source Serif 4" w:hAnsi="Source Serif 4"/>
        </w:rPr>
        <w:t xml:space="preserve">12. Perbandingan dan Pengayaan Standar Internasional</w:t>
      </w:r>
    </w:p>
    <w:p>
      <w:pPr>
        <w:spacing w:after="160" w:line="300"/>
      </w:pPr>
      <w:r>
        <w:rPr>
          <w:rFonts w:ascii="IBM Plex Sans" w:cs="IBM Plex Sans" w:eastAsia="IBM Plex Sans" w:hAnsi="IBM Plex Sans"/>
          <w:color w:val="334155"/>
          <w:sz w:val="21"/>
          <w:szCs w:val="21"/>
        </w:rPr>
        <w:t xml:space="preserve">Standar nasional (Kepkonsil) menetapkan cakupan layanan kontrasepsi sebagai kompetensi inti spesialis Obstetri dan Ginekologi tanpa merinci kategori kelayakan medis per kondisi komorbid secara eksplisit dalam Tabel 7; standar internasional World Health Organization melalui Medical Eligibility Criteria for Contraceptive Use edisi keenam (2025) merekomendasikan klasifikasi eksplisit empat kategori kelayakan (1–4) untuk memandu keputusan klinis pada kondisi komorbid, menggantikan edisi kelima (2015) dengan lebih dari 2.000 rekomendasi terbarukan untuk 25 metode [2]; praktik di Indonesia mengikuti standar nasional dengan mengadopsi kerangka kategori WHO sebagai alat bantu klinis operasional, bukan pengganti kewenangan Kepkonsil.</w:t>
      </w:r>
    </w:p>
    <w:p>
      <w:pPr>
        <w:spacing w:after="160" w:line="300"/>
      </w:pPr>
      <w:r>
        <w:rPr>
          <w:rFonts w:ascii="IBM Plex Sans" w:cs="IBM Plex Sans" w:eastAsia="IBM Plex Sans" w:hAnsi="IBM Plex Sans"/>
          <w:color w:val="334155"/>
          <w:sz w:val="21"/>
          <w:szCs w:val="21"/>
        </w:rPr>
        <w:t xml:space="preserve">Standar nasional tidak merinci ambang usia spesifik untuk pembatasan kontrasepsi hormonal kombinasi pada perokok; standar internasional American College of Obstetricians and Gynecologists melalui Practice Bulletin No. 206 (2019) merekomendasikan kehati-hatian pada perokok usia di atas 35 tahun karena peningkatan risiko kardiovaskular [5]; praktik di Indonesia mengikuti standar nasional dengan tetap mempertimbangkan rekomendasi tersebut dalam penilaian klinis individual.</w:t>
      </w:r>
    </w:p>
    <w:p>
      <w:pPr>
        <w:spacing w:after="160" w:line="300"/>
      </w:pPr>
      <w:r>
        <w:rPr>
          <w:rFonts w:ascii="IBM Plex Sans" w:cs="IBM Plex Sans" w:eastAsia="IBM Plex Sans" w:hAnsi="IBM Plex Sans"/>
          <w:color w:val="334155"/>
          <w:sz w:val="21"/>
          <w:szCs w:val="21"/>
        </w:rPr>
        <w:t xml:space="preserve">Pernyataan bersama FIGO dan ICM tahun 2024 merekomendasikan integrasi layanan kontrasepsi ke dalam setiap titik kontak pelayanan kesehatan ibu — termasuk asuhan antenatal, persalinan, dan imunisasi anak — serta konseling berbasis pengambilan keputusan bersama dan otonomi pasien [8]; standar nasional belum mengatur integrasi lintas titik layanan ini secara eksplisit, sehingga PPK ini merekomendasikan penerapan prinsip tersebut sebagai praktik baik tambahan yang tidak bertentangan dengan Kepkonsil.</w:t>
      </w:r>
    </w:p>
    <w:p>
      <w:pPr>
        <w:spacing w:after="160" w:line="300"/>
      </w:pPr>
      <w:r>
        <w:rPr>
          <w:rFonts w:ascii="IBM Plex Sans" w:cs="IBM Plex Sans" w:eastAsia="IBM Plex Sans" w:hAnsi="IBM Plex Sans"/>
          <w:color w:val="334155"/>
          <w:sz w:val="21"/>
          <w:szCs w:val="21"/>
        </w:rPr>
        <w:t xml:space="preserve">Pernyataan posisi FIGO tahun 2025 mengenai AKDR pascaplasenta (PPIUD) merekomendasikan pemasangan AKDR dalam 48 jam pascasalin sebagai bagian integrasi layanan sebelum pasien pulang, guna memanfaatkan setiap kontak pelayanan kesehatan secara optimal mengingat keterbatasan akses kontrol pascasalin di banyak wilayah [9]; praktik ini sejalan dengan arah pengembangan layanan kontrasepsi pascasalin terintegrasi di fasilitas rujukan Indonesia.</w:t>
      </w:r>
    </w:p>
    <w:p>
      <w:pPr>
        <w:pStyle w:val="Heading1"/>
        <w:spacing w:after="160" w:before="320"/>
      </w:pPr>
      <w:r>
        <w:rPr>
          <w:rFonts w:ascii="Source Serif 4" w:cs="Source Serif 4" w:eastAsia="Source Serif 4" w:hAnsi="Source Serif 4"/>
        </w:rPr>
        <w:t xml:space="preserve">13. Kepustakaan</w:t>
      </w:r>
    </w:p>
    <w:p>
      <w:pPr>
        <w:spacing w:after="140" w:line="300"/>
      </w:pPr>
      <w:r>
        <w:rPr>
          <w:rFonts w:ascii="IBM Plex Sans" w:cs="IBM Plex Sans" w:eastAsia="IBM Plex Sans" w:hAnsi="IBM Plex Sans"/>
          <w:color w:val="334155"/>
          <w:sz w:val="21"/>
          <w:szCs w:val="21"/>
        </w:rPr>
        <w:t xml:space="preserve">1. Konsil Kesehatan Indonesia. Keputusan Ketua Konsil Kesehatan Indonesia No. HK.01.02/KKI/1318/2026 tentang Standar Kompetensi Dokter Spesialis dan Subspesialis Bidang Obstetri dan Ginekologi.</w:t>
      </w:r>
    </w:p>
    <w:p>
      <w:pPr>
        <w:spacing w:after="140" w:line="300"/>
      </w:pPr>
      <w:r>
        <w:rPr>
          <w:rFonts w:ascii="IBM Plex Sans" w:cs="IBM Plex Sans" w:eastAsia="IBM Plex Sans" w:hAnsi="IBM Plex Sans"/>
          <w:color w:val="334155"/>
          <w:sz w:val="21"/>
          <w:szCs w:val="21"/>
        </w:rPr>
        <w:t xml:space="preserve">2. World Health Organization. Medical Eligibility Criteria for Contraceptive Use, 6th ed. Geneva: WHO; 2025. ISBN 978-92-4-011558-3.</w:t>
      </w:r>
      <w:r>
        <w:rPr>
          <w:rFonts w:ascii="IBM Plex Sans" w:cs="IBM Plex Sans" w:eastAsia="IBM Plex Sans" w:hAnsi="IBM Plex Sans"/>
          <w:color w:val="334155"/>
          <w:sz w:val="21"/>
          <w:szCs w:val="21"/>
        </w:rPr>
        <w:t xml:space="preserve">  </w:t>
      </w:r>
      <w:hyperlink w:history="1" r:id="rIdqyb-6r7seakinz7loeuzt">
        <w:r>
          <w:rPr>
            <w:rStyle w:val="Hyperlink"/>
            <w:rFonts w:ascii="IBM Plex Mono" w:cs="IBM Plex Mono" w:eastAsia="IBM Plex Mono" w:hAnsi="IBM Plex Mono"/>
            <w:color w:val="4F46E5"/>
            <w:sz w:val="18"/>
            <w:szCs w:val="18"/>
          </w:rPr>
          <w:t xml:space="preserve">https://www.who.int/publications/i/item/9789240115583</w:t>
        </w:r>
      </w:hyperlink>
    </w:p>
    <w:p>
      <w:pPr>
        <w:spacing w:after="140" w:line="300"/>
      </w:pPr>
      <w:r>
        <w:rPr>
          <w:rFonts w:ascii="IBM Plex Sans" w:cs="IBM Plex Sans" w:eastAsia="IBM Plex Sans" w:hAnsi="IBM Plex Sans"/>
          <w:color w:val="334155"/>
          <w:sz w:val="21"/>
          <w:szCs w:val="21"/>
        </w:rPr>
        <w:t xml:space="preserve">3. World Health Organization. Selected Practice Recommendations for Contraceptive Use, 4th ed. Geneva: WHO; 2025. ISBN 978-92-4-011560-6.</w:t>
      </w:r>
      <w:r>
        <w:rPr>
          <w:rFonts w:ascii="IBM Plex Sans" w:cs="IBM Plex Sans" w:eastAsia="IBM Plex Sans" w:hAnsi="IBM Plex Sans"/>
          <w:color w:val="334155"/>
          <w:sz w:val="21"/>
          <w:szCs w:val="21"/>
        </w:rPr>
        <w:t xml:space="preserve">  </w:t>
      </w:r>
      <w:hyperlink w:history="1" r:id="rIdyndgfsinspkh2mw8a6i5u">
        <w:r>
          <w:rPr>
            <w:rStyle w:val="Hyperlink"/>
            <w:rFonts w:ascii="IBM Plex Mono" w:cs="IBM Plex Mono" w:eastAsia="IBM Plex Mono" w:hAnsi="IBM Plex Mono"/>
            <w:color w:val="4F46E5"/>
            <w:sz w:val="18"/>
            <w:szCs w:val="18"/>
          </w:rPr>
          <w:t xml:space="preserve">https://www.who.int/publications/i/item/9789240115606</w:t>
        </w:r>
      </w:hyperlink>
    </w:p>
    <w:p>
      <w:pPr>
        <w:spacing w:after="140" w:line="300"/>
      </w:pPr>
      <w:r>
        <w:rPr>
          <w:rFonts w:ascii="IBM Plex Sans" w:cs="IBM Plex Sans" w:eastAsia="IBM Plex Sans" w:hAnsi="IBM Plex Sans"/>
          <w:color w:val="334155"/>
          <w:sz w:val="21"/>
          <w:szCs w:val="21"/>
        </w:rPr>
        <w:t xml:space="preserve">4. Curtis KM, Nguyen AT, Tepper NK, et al. U.S. Selected Practice Recommendations for Contraceptive Use, 2024. MMWR Recomm Rep. 2024;73(3):1–77.</w:t>
      </w:r>
      <w:r>
        <w:rPr>
          <w:rFonts w:ascii="IBM Plex Sans" w:cs="IBM Plex Sans" w:eastAsia="IBM Plex Sans" w:hAnsi="IBM Plex Sans"/>
          <w:color w:val="334155"/>
          <w:sz w:val="21"/>
          <w:szCs w:val="21"/>
        </w:rPr>
        <w:t xml:space="preserve">  </w:t>
      </w:r>
      <w:hyperlink w:history="1" r:id="rId2byau5ozd53jwarmiuvbt">
        <w:r>
          <w:rPr>
            <w:rStyle w:val="Hyperlink"/>
            <w:rFonts w:ascii="IBM Plex Mono" w:cs="IBM Plex Mono" w:eastAsia="IBM Plex Mono" w:hAnsi="IBM Plex Mono"/>
            <w:color w:val="4F46E5"/>
            <w:sz w:val="18"/>
            <w:szCs w:val="18"/>
          </w:rPr>
          <w:t xml:space="preserve">https://doi.org/10.15585/mmwr.rr7303a1</w:t>
        </w:r>
      </w:hyperlink>
    </w:p>
    <w:p>
      <w:pPr>
        <w:spacing w:after="140" w:line="300"/>
      </w:pPr>
      <w:r>
        <w:rPr>
          <w:rFonts w:ascii="IBM Plex Sans" w:cs="IBM Plex Sans" w:eastAsia="IBM Plex Sans" w:hAnsi="IBM Plex Sans"/>
          <w:color w:val="334155"/>
          <w:sz w:val="21"/>
          <w:szCs w:val="21"/>
        </w:rPr>
        <w:t xml:space="preserve">5. American College of Obstetricians and Gynecologists. Practice Bulletin No. 206: Use of Hormonal Contraception in Women With Coexisting Medical Conditions. Obstet Gynecol. 2019;133(2):e128–e150.</w:t>
      </w:r>
      <w:r>
        <w:rPr>
          <w:rFonts w:ascii="IBM Plex Sans" w:cs="IBM Plex Sans" w:eastAsia="IBM Plex Sans" w:hAnsi="IBM Plex Sans"/>
          <w:color w:val="334155"/>
          <w:sz w:val="21"/>
          <w:szCs w:val="21"/>
        </w:rPr>
        <w:t xml:space="preserve">  </w:t>
      </w:r>
      <w:hyperlink w:history="1" r:id="rIdgro6_hpufyrpzo9eoqwn2">
        <w:r>
          <w:rPr>
            <w:rStyle w:val="Hyperlink"/>
            <w:rFonts w:ascii="IBM Plex Mono" w:cs="IBM Plex Mono" w:eastAsia="IBM Plex Mono" w:hAnsi="IBM Plex Mono"/>
            <w:color w:val="4F46E5"/>
            <w:sz w:val="18"/>
            <w:szCs w:val="18"/>
          </w:rPr>
          <w:t xml:space="preserve">https://doi.org/10.1097/AOG.0000000000003072</w:t>
        </w:r>
      </w:hyperlink>
    </w:p>
    <w:p>
      <w:pPr>
        <w:spacing w:after="140" w:line="300"/>
      </w:pPr>
      <w:r>
        <w:rPr>
          <w:rFonts w:ascii="IBM Plex Sans" w:cs="IBM Plex Sans" w:eastAsia="IBM Plex Sans" w:hAnsi="IBM Plex Sans"/>
          <w:color w:val="334155"/>
          <w:sz w:val="21"/>
          <w:szCs w:val="21"/>
        </w:rPr>
        <w:t xml:space="preserve">6. Winner B, Peipert JF, Zhao Q, et al. Effectiveness of Long-Acting Reversible Contraception. N Engl J Med. 2012;366:1998–2007.</w:t>
      </w:r>
      <w:r>
        <w:rPr>
          <w:rFonts w:ascii="IBM Plex Sans" w:cs="IBM Plex Sans" w:eastAsia="IBM Plex Sans" w:hAnsi="IBM Plex Sans"/>
          <w:color w:val="334155"/>
          <w:sz w:val="21"/>
          <w:szCs w:val="21"/>
        </w:rPr>
        <w:t xml:space="preserve">  </w:t>
      </w:r>
      <w:hyperlink w:history="1" r:id="rIdlfgw6pc8p7ioyrbzulgas">
        <w:r>
          <w:rPr>
            <w:rStyle w:val="Hyperlink"/>
            <w:rFonts w:ascii="IBM Plex Mono" w:cs="IBM Plex Mono" w:eastAsia="IBM Plex Mono" w:hAnsi="IBM Plex Mono"/>
            <w:color w:val="4F46E5"/>
            <w:sz w:val="18"/>
            <w:szCs w:val="18"/>
          </w:rPr>
          <w:t xml:space="preserve">https://doi.org/10.1056/NEJMoa1110855</w:t>
        </w:r>
      </w:hyperlink>
    </w:p>
    <w:p>
      <w:pPr>
        <w:spacing w:after="140" w:line="300"/>
      </w:pPr>
      <w:r>
        <w:rPr>
          <w:rFonts w:ascii="IBM Plex Sans" w:cs="IBM Plex Sans" w:eastAsia="IBM Plex Sans" w:hAnsi="IBM Plex Sans"/>
          <w:color w:val="334155"/>
          <w:sz w:val="21"/>
          <w:szCs w:val="21"/>
        </w:rPr>
        <w:t xml:space="preserve">7. Shen J, Che Y, Showell E, Chen K, Cheng L. Interventions for Emergency Contraception. Cochrane Database Syst Rev. 2019;1:CD001324.</w:t>
      </w:r>
      <w:r>
        <w:rPr>
          <w:rFonts w:ascii="IBM Plex Sans" w:cs="IBM Plex Sans" w:eastAsia="IBM Plex Sans" w:hAnsi="IBM Plex Sans"/>
          <w:color w:val="334155"/>
          <w:sz w:val="21"/>
          <w:szCs w:val="21"/>
        </w:rPr>
        <w:t xml:space="preserve">  </w:t>
      </w:r>
      <w:hyperlink w:history="1" r:id="rIdafygzseja_t7kbuvl1tlt">
        <w:r>
          <w:rPr>
            <w:rStyle w:val="Hyperlink"/>
            <w:rFonts w:ascii="IBM Plex Mono" w:cs="IBM Plex Mono" w:eastAsia="IBM Plex Mono" w:hAnsi="IBM Plex Mono"/>
            <w:color w:val="4F46E5"/>
            <w:sz w:val="18"/>
            <w:szCs w:val="18"/>
          </w:rPr>
          <w:t xml:space="preserve">https://doi.org/10.1002/14651858.CD001324.pub6</w:t>
        </w:r>
      </w:hyperlink>
    </w:p>
    <w:p>
      <w:pPr>
        <w:spacing w:after="140" w:line="300"/>
      </w:pPr>
      <w:r>
        <w:rPr>
          <w:rFonts w:ascii="IBM Plex Sans" w:cs="IBM Plex Sans" w:eastAsia="IBM Plex Sans" w:hAnsi="IBM Plex Sans"/>
          <w:color w:val="334155"/>
          <w:sz w:val="21"/>
          <w:szCs w:val="21"/>
        </w:rPr>
        <w:t xml:space="preserve">8. Koch MR, Rimal P, Echeverria G, Robrahn M, Sridhar A, et al. FIGO and ICM Joint Statement on Contraception: 2024. Int J Gynecol Obstet. 2024;167:972–975.</w:t>
      </w:r>
      <w:r>
        <w:rPr>
          <w:rFonts w:ascii="IBM Plex Sans" w:cs="IBM Plex Sans" w:eastAsia="IBM Plex Sans" w:hAnsi="IBM Plex Sans"/>
          <w:color w:val="334155"/>
          <w:sz w:val="21"/>
          <w:szCs w:val="21"/>
        </w:rPr>
        <w:t xml:space="preserve">  </w:t>
      </w:r>
      <w:hyperlink w:history="1" r:id="rId8wwtse635a7oxyk7em80l">
        <w:r>
          <w:rPr>
            <w:rStyle w:val="Hyperlink"/>
            <w:rFonts w:ascii="IBM Plex Mono" w:cs="IBM Plex Mono" w:eastAsia="IBM Plex Mono" w:hAnsi="IBM Plex Mono"/>
            <w:color w:val="4F46E5"/>
            <w:sz w:val="18"/>
            <w:szCs w:val="18"/>
          </w:rPr>
          <w:t xml:space="preserve">https://doi.org/10.1002/ijgo.15936</w:t>
        </w:r>
      </w:hyperlink>
    </w:p>
    <w:p>
      <w:pPr>
        <w:spacing w:after="140" w:line="300"/>
      </w:pPr>
      <w:r>
        <w:rPr>
          <w:rFonts w:ascii="IBM Plex Sans" w:cs="IBM Plex Sans" w:eastAsia="IBM Plex Sans" w:hAnsi="IBM Plex Sans"/>
          <w:color w:val="334155"/>
          <w:sz w:val="21"/>
          <w:szCs w:val="21"/>
        </w:rPr>
        <w:t xml:space="preserve">9. Makins A, Ahsan A, Waqas M, Kasliwal A, et al. FIGO Position Statement on Postpartum Intrauterine Devices (PPIUD). Int J Gynecol Obstet. 2025.</w:t>
      </w:r>
      <w:r>
        <w:rPr>
          <w:rFonts w:ascii="IBM Plex Sans" w:cs="IBM Plex Sans" w:eastAsia="IBM Plex Sans" w:hAnsi="IBM Plex Sans"/>
          <w:color w:val="334155"/>
          <w:sz w:val="21"/>
          <w:szCs w:val="21"/>
        </w:rPr>
        <w:t xml:space="preserve">  </w:t>
      </w:r>
      <w:hyperlink w:history="1" r:id="rId_blhswlx39gyqkwhgqnxs">
        <w:r>
          <w:rPr>
            <w:rStyle w:val="Hyperlink"/>
            <w:rFonts w:ascii="IBM Plex Mono" w:cs="IBM Plex Mono" w:eastAsia="IBM Plex Mono" w:hAnsi="IBM Plex Mono"/>
            <w:color w:val="4F46E5"/>
            <w:sz w:val="18"/>
            <w:szCs w:val="18"/>
          </w:rPr>
          <w:t xml:space="preserve">https://doi.org/10.1002/ijgo.70146</w:t>
        </w:r>
      </w:hyperlink>
    </w:p>
    <w:p>
      <w:pPr>
        <w:spacing w:after="140" w:line="300"/>
      </w:pPr>
      <w:r>
        <w:rPr>
          <w:rFonts w:ascii="IBM Plex Sans" w:cs="IBM Plex Sans" w:eastAsia="IBM Plex Sans" w:hAnsi="IBM Plex Sans"/>
          <w:color w:val="334155"/>
          <w:sz w:val="21"/>
          <w:szCs w:val="21"/>
        </w:rPr>
        <w:t xml:space="preserve">10. Kementerian Kependudukan dan Pembangunan Keluarga/Badan Kependudukan dan Keluarga Berencana Nasional (Kemendukbangga/BKKBN). Data dan kebijakan program keluarga berencana nasional.</w:t>
      </w:r>
      <w:r>
        <w:rPr>
          <w:rFonts w:ascii="IBM Plex Sans" w:cs="IBM Plex Sans" w:eastAsia="IBM Plex Sans" w:hAnsi="IBM Plex Sans"/>
          <w:color w:val="334155"/>
          <w:sz w:val="21"/>
          <w:szCs w:val="21"/>
        </w:rPr>
        <w:t xml:space="preserve">  </w:t>
      </w:r>
      <w:hyperlink w:history="1" r:id="rIdx9bylf3jecg6vl28svwh5">
        <w:r>
          <w:rPr>
            <w:rStyle w:val="Hyperlink"/>
            <w:rFonts w:ascii="IBM Plex Mono" w:cs="IBM Plex Mono" w:eastAsia="IBM Plex Mono" w:hAnsi="IBM Plex Mono"/>
            <w:color w:val="4F46E5"/>
            <w:sz w:val="18"/>
            <w:szCs w:val="18"/>
          </w:rPr>
          <w:t xml:space="preserve">https://www.kemendukbangga.go.id/</w:t>
        </w:r>
      </w:hyperlink>
    </w:p>
    <w:p>
      <w:pPr>
        <w:pStyle w:val="Heading1"/>
        <w:spacing w:after="160" w:before="320"/>
      </w:pPr>
      <w:r>
        <w:rPr>
          <w:rFonts w:ascii="Source Serif 4" w:cs="Source Serif 4" w:eastAsia="Source Serif 4" w:hAnsi="Source Serif 4"/>
        </w:rPr>
        <w:t xml:space="preserve">Glosarium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Istilah</w:t>
            </w:r>
          </w:p>
        </w:tc>
        <w:tc>
          <w:tcPr>
            <w:tcW w:type="dxa" w:w="468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Definisi</w:t>
            </w:r>
          </w:p>
        </w:tc>
      </w:tr>
      <w:tr>
        <w:tc>
          <w:tcPr>
            <w:tcW w:type="dxa" w:w="4680"/>
            <w:tcMar>
              <w:top w:type="dxa" w:w="100"/>
              <w:left w:type="dxa" w:w="120"/>
              <w:bottom w:type="dxa" w:w="100"/>
              <w:right w:type="dxa" w:w="120"/>
            </w:tcMar>
          </w:tcPr>
          <w:p>
            <w:r>
              <w:rPr>
                <w:rFonts w:ascii="IBM Plex Sans" w:cs="IBM Plex Sans" w:eastAsia="IBM Plex Sans" w:hAnsi="IBM Plex Sans"/>
                <w:color w:val="334155"/>
                <w:sz w:val="21"/>
                <w:szCs w:val="21"/>
              </w:rPr>
              <w:t xml:space="preserve">Kontrasepsi (Contraception)</w:t>
            </w:r>
          </w:p>
        </w:tc>
        <w:tc>
          <w:tcPr>
            <w:tcW w:type="dxa" w:w="4680"/>
            <w:tcMar>
              <w:top w:type="dxa" w:w="100"/>
              <w:left w:type="dxa" w:w="120"/>
              <w:bottom w:type="dxa" w:w="100"/>
              <w:right w:type="dxa" w:w="120"/>
            </w:tcMar>
          </w:tcPr>
          <w:p>
            <w:r>
              <w:rPr>
                <w:rFonts w:ascii="IBM Plex Sans" w:cs="IBM Plex Sans" w:eastAsia="IBM Plex Sans" w:hAnsi="IBM Plex Sans"/>
                <w:color w:val="334155"/>
                <w:sz w:val="21"/>
                <w:szCs w:val="21"/>
              </w:rPr>
              <w:t xml:space="preserve">Upaya sengaja untuk mencegah kehamilan melalui metode alami, mekanis, hormonal, atau bedah.</w:t>
            </w:r>
          </w:p>
        </w:tc>
      </w:tr>
      <w:tr>
        <w:tc>
          <w:tcPr>
            <w:tcW w:type="dxa" w:w="4680"/>
            <w:tcMar>
              <w:top w:type="dxa" w:w="100"/>
              <w:left w:type="dxa" w:w="120"/>
              <w:bottom w:type="dxa" w:w="100"/>
              <w:right w:type="dxa" w:w="120"/>
            </w:tcMar>
          </w:tcPr>
          <w:p>
            <w:r>
              <w:rPr>
                <w:rFonts w:ascii="IBM Plex Sans" w:cs="IBM Plex Sans" w:eastAsia="IBM Plex Sans" w:hAnsi="IBM Plex Sans"/>
                <w:color w:val="334155"/>
                <w:sz w:val="21"/>
                <w:szCs w:val="21"/>
              </w:rPr>
              <w:t xml:space="preserve">Pilihan Bermakna (Informed Choice)</w:t>
            </w:r>
          </w:p>
        </w:tc>
        <w:tc>
          <w:tcPr>
            <w:tcW w:type="dxa" w:w="4680"/>
            <w:tcMar>
              <w:top w:type="dxa" w:w="100"/>
              <w:left w:type="dxa" w:w="120"/>
              <w:bottom w:type="dxa" w:w="100"/>
              <w:right w:type="dxa" w:w="120"/>
            </w:tcMar>
          </w:tcPr>
          <w:p>
            <w:r>
              <w:rPr>
                <w:rFonts w:ascii="IBM Plex Sans" w:cs="IBM Plex Sans" w:eastAsia="IBM Plex Sans" w:hAnsi="IBM Plex Sans"/>
                <w:color w:val="334155"/>
                <w:sz w:val="21"/>
                <w:szCs w:val="21"/>
              </w:rPr>
              <w:t xml:space="preserve">Prinsip konseling yang memastikan pasien memahami seluruh pilihan metode sebelum menentukan keputusan tanpa arahan sepihak.</w:t>
            </w:r>
          </w:p>
        </w:tc>
      </w:tr>
      <w:tr>
        <w:tc>
          <w:tcPr>
            <w:tcW w:type="dxa" w:w="4680"/>
            <w:tcMar>
              <w:top w:type="dxa" w:w="100"/>
              <w:left w:type="dxa" w:w="120"/>
              <w:bottom w:type="dxa" w:w="100"/>
              <w:right w:type="dxa" w:w="120"/>
            </w:tcMar>
          </w:tcPr>
          <w:p>
            <w:r>
              <w:rPr>
                <w:rFonts w:ascii="IBM Plex Sans" w:cs="IBM Plex Sans" w:eastAsia="IBM Plex Sans" w:hAnsi="IBM Plex Sans"/>
                <w:color w:val="334155"/>
                <w:sz w:val="21"/>
                <w:szCs w:val="21"/>
              </w:rPr>
              <w:t xml:space="preserve">Kriteria Kelayakan Medis (Medical Eligibility Criteria)</w:t>
            </w:r>
          </w:p>
        </w:tc>
        <w:tc>
          <w:tcPr>
            <w:tcW w:type="dxa" w:w="4680"/>
            <w:tcMar>
              <w:top w:type="dxa" w:w="100"/>
              <w:left w:type="dxa" w:w="120"/>
              <w:bottom w:type="dxa" w:w="100"/>
              <w:right w:type="dxa" w:w="120"/>
            </w:tcMar>
          </w:tcPr>
          <w:p>
            <w:r>
              <w:rPr>
                <w:rFonts w:ascii="IBM Plex Sans" w:cs="IBM Plex Sans" w:eastAsia="IBM Plex Sans" w:hAnsi="IBM Plex Sans"/>
                <w:color w:val="334155"/>
                <w:sz w:val="21"/>
                <w:szCs w:val="21"/>
              </w:rPr>
              <w:t xml:space="preserve">Kerangka klasifikasi WHO (kategori 1–4) yang menilai kesesuaian suatu metode kontrasepsi terhadap kondisi kesehatan tertentu; edisi terkini adalah edisi keenam (2025).</w:t>
            </w:r>
          </w:p>
        </w:tc>
      </w:tr>
      <w:tr>
        <w:tc>
          <w:tcPr>
            <w:tcW w:type="dxa" w:w="4680"/>
            <w:tcMar>
              <w:top w:type="dxa" w:w="100"/>
              <w:left w:type="dxa" w:w="120"/>
              <w:bottom w:type="dxa" w:w="100"/>
              <w:right w:type="dxa" w:w="120"/>
            </w:tcMar>
          </w:tcPr>
          <w:p>
            <w:r>
              <w:rPr>
                <w:rFonts w:ascii="IBM Plex Sans" w:cs="IBM Plex Sans" w:eastAsia="IBM Plex Sans" w:hAnsi="IBM Plex Sans"/>
                <w:color w:val="334155"/>
                <w:sz w:val="21"/>
                <w:szCs w:val="21"/>
              </w:rPr>
              <w:t xml:space="preserve">AKDR (Alat Kontrasepsi Dalam Rahim/IUD)</w:t>
            </w:r>
          </w:p>
        </w:tc>
        <w:tc>
          <w:tcPr>
            <w:tcW w:type="dxa" w:w="4680"/>
            <w:tcMar>
              <w:top w:type="dxa" w:w="100"/>
              <w:left w:type="dxa" w:w="120"/>
              <w:bottom w:type="dxa" w:w="100"/>
              <w:right w:type="dxa" w:w="120"/>
            </w:tcMar>
          </w:tcPr>
          <w:p>
            <w:r>
              <w:rPr>
                <w:rFonts w:ascii="IBM Plex Sans" w:cs="IBM Plex Sans" w:eastAsia="IBM Plex Sans" w:hAnsi="IBM Plex Sans"/>
                <w:color w:val="334155"/>
                <w:sz w:val="21"/>
                <w:szCs w:val="21"/>
              </w:rPr>
              <w:t xml:space="preserve">Perangkat yang dipasang di dalam kavum uteri untuk mencegah kehamilan, tersedia dalam varian tembaga (non-hormonal) dan levonorgestrel (hormonal).</w:t>
            </w:r>
          </w:p>
        </w:tc>
      </w:tr>
      <w:tr>
        <w:tc>
          <w:tcPr>
            <w:tcW w:type="dxa" w:w="4680"/>
            <w:tcMar>
              <w:top w:type="dxa" w:w="100"/>
              <w:left w:type="dxa" w:w="120"/>
              <w:bottom w:type="dxa" w:w="100"/>
              <w:right w:type="dxa" w:w="120"/>
            </w:tcMar>
          </w:tcPr>
          <w:p>
            <w:r>
              <w:rPr>
                <w:rFonts w:ascii="IBM Plex Sans" w:cs="IBM Plex Sans" w:eastAsia="IBM Plex Sans" w:hAnsi="IBM Plex Sans"/>
                <w:color w:val="334155"/>
                <w:sz w:val="21"/>
                <w:szCs w:val="21"/>
              </w:rPr>
              <w:t xml:space="preserve">LARC (Long-Acting Reversible Contraception)</w:t>
            </w:r>
          </w:p>
        </w:tc>
        <w:tc>
          <w:tcPr>
            <w:tcW w:type="dxa" w:w="4680"/>
            <w:tcMar>
              <w:top w:type="dxa" w:w="100"/>
              <w:left w:type="dxa" w:w="120"/>
              <w:bottom w:type="dxa" w:w="100"/>
              <w:right w:type="dxa" w:w="120"/>
            </w:tcMar>
          </w:tcPr>
          <w:p>
            <w:r>
              <w:rPr>
                <w:rFonts w:ascii="IBM Plex Sans" w:cs="IBM Plex Sans" w:eastAsia="IBM Plex Sans" w:hAnsi="IBM Plex Sans"/>
                <w:color w:val="334155"/>
                <w:sz w:val="21"/>
                <w:szCs w:val="21"/>
              </w:rPr>
              <w:t xml:space="preserve">Kelompok metode kontrasepsi reversibel jangka panjang, mencakup AKDR dan implan subdermal.</w:t>
            </w:r>
          </w:p>
        </w:tc>
      </w:tr>
      <w:tr>
        <w:tc>
          <w:tcPr>
            <w:tcW w:type="dxa" w:w="4680"/>
            <w:tcMar>
              <w:top w:type="dxa" w:w="100"/>
              <w:left w:type="dxa" w:w="120"/>
              <w:bottom w:type="dxa" w:w="100"/>
              <w:right w:type="dxa" w:w="120"/>
            </w:tcMar>
          </w:tcPr>
          <w:p>
            <w:r>
              <w:rPr>
                <w:rFonts w:ascii="IBM Plex Sans" w:cs="IBM Plex Sans" w:eastAsia="IBM Plex Sans" w:hAnsi="IBM Plex Sans"/>
                <w:color w:val="334155"/>
                <w:sz w:val="21"/>
                <w:szCs w:val="21"/>
              </w:rPr>
              <w:t xml:space="preserve">LAM (Lactational Amenorrhea Method)</w:t>
            </w:r>
          </w:p>
        </w:tc>
        <w:tc>
          <w:tcPr>
            <w:tcW w:type="dxa" w:w="4680"/>
            <w:tcMar>
              <w:top w:type="dxa" w:w="100"/>
              <w:left w:type="dxa" w:w="120"/>
              <w:bottom w:type="dxa" w:w="100"/>
              <w:right w:type="dxa" w:w="120"/>
            </w:tcMar>
          </w:tcPr>
          <w:p>
            <w:r>
              <w:rPr>
                <w:rFonts w:ascii="IBM Plex Sans" w:cs="IBM Plex Sans" w:eastAsia="IBM Plex Sans" w:hAnsi="IBM Plex Sans"/>
                <w:color w:val="334155"/>
                <w:sz w:val="21"/>
                <w:szCs w:val="21"/>
              </w:rPr>
              <w:t xml:space="preserve">Metode kontrasepsi alami berbasis menyusui eksklusif pada 6 bulan pertama pascasalin selama pasien belum mengalami haid kembali.</w:t>
            </w:r>
          </w:p>
        </w:tc>
      </w:tr>
      <w:tr>
        <w:tc>
          <w:tcPr>
            <w:tcW w:type="dxa" w:w="4680"/>
            <w:tcMar>
              <w:top w:type="dxa" w:w="100"/>
              <w:left w:type="dxa" w:w="120"/>
              <w:bottom w:type="dxa" w:w="100"/>
              <w:right w:type="dxa" w:w="120"/>
            </w:tcMar>
          </w:tcPr>
          <w:p>
            <w:r>
              <w:rPr>
                <w:rFonts w:ascii="IBM Plex Sans" w:cs="IBM Plex Sans" w:eastAsia="IBM Plex Sans" w:hAnsi="IBM Plex Sans"/>
                <w:color w:val="334155"/>
                <w:sz w:val="21"/>
                <w:szCs w:val="21"/>
              </w:rPr>
              <w:t xml:space="preserve">PPIUD (Postpartum Intrauterine Device)</w:t>
            </w:r>
          </w:p>
        </w:tc>
        <w:tc>
          <w:tcPr>
            <w:tcW w:type="dxa" w:w="4680"/>
            <w:tcMar>
              <w:top w:type="dxa" w:w="100"/>
              <w:left w:type="dxa" w:w="120"/>
              <w:bottom w:type="dxa" w:w="100"/>
              <w:right w:type="dxa" w:w="120"/>
            </w:tcMar>
          </w:tcPr>
          <w:p>
            <w:r>
              <w:rPr>
                <w:rFonts w:ascii="IBM Plex Sans" w:cs="IBM Plex Sans" w:eastAsia="IBM Plex Sans" w:hAnsi="IBM Plex Sans"/>
                <w:color w:val="334155"/>
                <w:sz w:val="21"/>
                <w:szCs w:val="21"/>
              </w:rPr>
              <w:t xml:space="preserve">Pemasangan AKDR dalam 48 jam pascasalin sebagai bagian integrasi layanan kontrasepsi sebelum pasien pulang dari fasilitas persalinan.</w:t>
            </w:r>
          </w:p>
        </w:tc>
      </w:tr>
      <w:tr>
        <w:tc>
          <w:tcPr>
            <w:tcW w:type="dxa" w:w="4680"/>
            <w:tcMar>
              <w:top w:type="dxa" w:w="100"/>
              <w:left w:type="dxa" w:w="120"/>
              <w:bottom w:type="dxa" w:w="100"/>
              <w:right w:type="dxa" w:w="120"/>
            </w:tcMar>
          </w:tcPr>
          <w:p>
            <w:r>
              <w:rPr>
                <w:rFonts w:ascii="IBM Plex Sans" w:cs="IBM Plex Sans" w:eastAsia="IBM Plex Sans" w:hAnsi="IBM Plex Sans"/>
                <w:color w:val="334155"/>
                <w:sz w:val="21"/>
                <w:szCs w:val="21"/>
              </w:rPr>
              <w:t xml:space="preserve">Continuation Rate</w:t>
            </w:r>
          </w:p>
        </w:tc>
        <w:tc>
          <w:tcPr>
            <w:tcW w:type="dxa" w:w="4680"/>
            <w:tcMar>
              <w:top w:type="dxa" w:w="100"/>
              <w:left w:type="dxa" w:w="120"/>
              <w:bottom w:type="dxa" w:w="100"/>
              <w:right w:type="dxa" w:w="120"/>
            </w:tcMar>
          </w:tcPr>
          <w:p>
            <w:r>
              <w:rPr>
                <w:rFonts w:ascii="IBM Plex Sans" w:cs="IBM Plex Sans" w:eastAsia="IBM Plex Sans" w:hAnsi="IBM Plex Sans"/>
                <w:color w:val="334155"/>
                <w:sz w:val="21"/>
                <w:szCs w:val="21"/>
              </w:rPr>
              <w:t xml:space="preserve">Angka kelangsungan penggunaan suatu metode kontrasepsi pada periode waktu tertentu, umumnya diukur pada 12 bulan pascainisiasi.</w:t>
            </w:r>
          </w:p>
        </w:tc>
      </w:tr>
    </w:tbl>
    <w:p>
      <w:r>
        <w:br w:type="page"/>
      </w:r>
    </w:p>
    <w:p>
      <w:pPr>
        <w:pStyle w:val="Heading1"/>
        <w:spacing w:after="200" w:before="320"/>
      </w:pPr>
      <w:r>
        <w:rPr>
          <w:rFonts w:ascii="Source Serif 4" w:cs="Source Serif 4" w:eastAsia="Source Serif 4" w:hAnsi="Source Serif 4"/>
        </w:rPr>
        <w:t xml:space="preserve">Kolofon</w:t>
      </w:r>
    </w:p>
    <w:p>
      <w:pPr>
        <w:spacing w:after="160" w:line="300"/>
      </w:pPr>
      <w:r>
        <w:rPr>
          <w:rFonts w:ascii="IBM Plex Sans" w:cs="IBM Plex Sans" w:eastAsia="IBM Plex Sans" w:hAnsi="IBM Plex Sans"/>
          <w:color w:val="334155"/>
          <w:sz w:val="21"/>
          <w:szCs w:val="21"/>
        </w:rPr>
        <w:t xml:space="preserve">Kontrasepsi (Contraception) — PPK No. 70 dari 73, bagian dari Buku Tematik B2 — Obstetri Fisiologis dan Asuhan Antenatal, Perpustakaan Digital ABBA.</w:t>
      </w:r>
    </w:p>
    <w:p>
      <w:pPr>
        <w:spacing w:after="160" w:line="300"/>
      </w:pPr>
      <w:r>
        <w:rPr>
          <w:rFonts w:ascii="IBM Plex Sans" w:cs="IBM Plex Sans" w:eastAsia="IBM Plex Sans" w:hAnsi="IBM Plex Sans"/>
          <w:color w:val="334155"/>
          <w:sz w:val="21"/>
          <w:szCs w:val="21"/>
        </w:rPr>
        <w:t xml:space="preserve">Penulis: Dr.dr. Budi Siswanto, Sp.OG., Subsp.Obginsos., SH., S.Kom.</w:t>
      </w:r>
    </w:p>
    <w:p>
      <w:pPr>
        <w:spacing w:after="160" w:line="300"/>
      </w:pPr>
      <w:r>
        <w:rPr>
          <w:rFonts w:ascii="IBM Plex Sans" w:cs="IBM Plex Sans" w:eastAsia="IBM Plex Sans" w:hAnsi="IBM Plex Sans"/>
          <w:color w:val="334155"/>
          <w:sz w:val="21"/>
          <w:szCs w:val="21"/>
        </w:rPr>
        <w:t xml:space="preserve">Divisi Pengampu: Fetomaternal</w:t>
      </w:r>
    </w:p>
    <w:p>
      <w:pPr>
        <w:spacing w:after="160" w:line="300"/>
      </w:pPr>
      <w:r>
        <w:rPr>
          <w:rFonts w:ascii="IBM Plex Sans" w:cs="IBM Plex Sans" w:eastAsia="IBM Plex Sans" w:hAnsi="IBM Plex Sans"/>
          <w:color w:val="334155"/>
          <w:sz w:val="21"/>
          <w:szCs w:val="21"/>
        </w:rPr>
        <w:t xml:space="preserve">Dasar Regulasi: Tabel 7 — Spektrum Penyakit dan Kondisi Klinis yang Ditangani Spesialis Obstetri dan Ginekologi, entri No. 70, Keputusan Ketua Konsil Kesehatan Indonesia No. HK.01.02/KKI/1318/2026 tentang Standar Kompetensi Dokter Spesialis dan Subspesialis Bidang Obstetri dan Ginekologi.</w:t>
      </w:r>
    </w:p>
    <w:p>
      <w:pPr>
        <w:spacing w:after="160" w:line="300"/>
      </w:pPr>
      <w:r>
        <w:rPr>
          <w:rFonts w:ascii="IBM Plex Sans" w:cs="IBM Plex Sans" w:eastAsia="IBM Plex Sans" w:hAnsi="IBM Plex Sans"/>
          <w:color w:val="334155"/>
          <w:sz w:val="21"/>
          <w:szCs w:val="21"/>
        </w:rPr>
        <w:t xml:space="preserve">Perpustakaan Digital ABBA, Jl. Kerinci Raya No. 9, Malang 65138.</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Sans" w:cs="IBM Plex Sans" w:eastAsia="IBM Plex Sans" w:hAnsi="IBM Plex Sans"/>
        <w:color w:val="64748B"/>
        <w:sz w:val="15"/>
        <w:szCs w:val="15"/>
      </w:rPr>
      <w:t xml:space="preserve">Dokumen 70 dari 73 · </w:t>
    </w:r>
    <w:r>
      <w:rPr>
        <w:rFonts w:ascii="IBM Plex Sans" w:cs="IBM Plex Sans" w:eastAsia="IBM Plex Sans" w:hAnsi="IBM Plex Sans"/>
        <w:color w:val="64748B"/>
        <w:sz w:val="15"/>
        <w:szCs w:val="15"/>
      </w:rPr>
      <w:t xml:space="preserve">← PPK 69 Kehamilan Remaja   |   </w:t>
    </w:r>
    <w:r>
      <w:rPr>
        <w:rFonts w:ascii="IBM Plex Sans" w:cs="IBM Plex Sans" w:eastAsia="IBM Plex Sans" w:hAnsi="IBM Plex Sans"/>
        <w:color w:val="64748B"/>
        <w:sz w:val="15"/>
        <w:szCs w:val="15"/>
      </w:rPr>
      <w:t xml:space="preserve">PPK 71 Infeksi Menular Seksual →</w:t>
    </w:r>
    <w:r>
      <w:rPr>
        <w:rFonts w:ascii="IBM Plex Sans" w:cs="IBM Plex Sans" w:eastAsia="IBM Plex Sans" w:hAnsi="IBM Plex Sans"/>
        <w:color w:val="64748B"/>
        <w:sz w:val="15"/>
        <w:szCs w:val="15"/>
      </w:rPr>
      <w:t xml:space="preserve">   ·   Hal. </w:t>
    </w:r>
    <w:r>
      <w:rPr>
        <w:rFonts w:ascii="IBM Plex Sans" w:cs="IBM Plex Sans" w:eastAsia="IBM Plex Sans" w:hAnsi="IBM Plex Sans"/>
        <w:color w:val="64748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IBM Plex Sans" w:cs="IBM Plex Sans" w:eastAsia="IBM Plex Sans" w:hAnsi="IBM Plex Sans"/>
        <w:color w:val="64748B"/>
        <w:sz w:val="15"/>
        <w:szCs w:val="15"/>
      </w:rPr>
      <w:t xml:space="preserve">Perpustakaan Digital ABBA · PPK No. 70 — Kontrasepsi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60"/>
      </w:pPr>
    </w:lvl>
  </w:abstractNum>
  <w:abstractNum w:abstractNumId="3" w15:restartNumberingAfterBreak="0">
    <w:multiLevelType w:val="hybridMultilevel"/>
    <w:lvl w:ilvl="0" w15:tentative="1">
      <w:start w:val="1"/>
      <w:numFmt w:val="decimal"/>
      <w:lvlText w:val="%1."/>
      <w:lvlJc w:val="left"/>
      <w:pPr>
        <w:ind w:left="48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20"/>
      <w:outlineLvl w:val="0"/>
    </w:pPr>
    <w:rPr>
      <w:rFonts w:ascii="Source Serif 4" w:cs="Source Serif 4" w:eastAsia="Source Serif 4" w:hAnsi="Source Serif 4"/>
      <w:b/>
      <w:bCs/>
      <w:color w:val="4F46E5"/>
      <w:sz w:val="32"/>
      <w:szCs w:val="32"/>
    </w:rPr>
  </w:style>
  <w:style w:type="paragraph" w:styleId="Heading2">
    <w:name w:val="Heading 2"/>
    <w:basedOn w:val="Normal"/>
    <w:next w:val="Normal"/>
    <w:qFormat/>
    <w:pPr>
      <w:spacing w:after="120" w:before="260"/>
      <w:outlineLvl w:val="1"/>
    </w:pPr>
    <w:rPr>
      <w:rFonts w:ascii="Source Serif 4" w:cs="Source Serif 4" w:eastAsia="Source Serif 4" w:hAnsi="Source Serif 4"/>
      <w:b/>
      <w:bCs/>
      <w:color w:val="334155"/>
      <w:sz w:val="26"/>
      <w:szCs w:val="26"/>
    </w:rPr>
  </w:style>
  <w:style w:type="paragraph" w:styleId="Heading3">
    <w:name w:val="Heading 3"/>
    <w:basedOn w:val="Normal"/>
    <w:next w:val="Normal"/>
    <w:qFormat/>
    <w:pPr>
      <w:spacing w:after="100" w:before="200"/>
      <w:outlineLvl w:val="2"/>
    </w:pPr>
    <w:rPr>
      <w:rFonts w:ascii="Source Serif 4" w:cs="Source Serif 4" w:eastAsia="Source Serif 4" w:hAnsi="Source Serif 4"/>
      <w:b/>
      <w:bCs/>
      <w:color w:val="B45309"/>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qyb-6r7seakinz7loeuzt" Type="http://schemas.openxmlformats.org/officeDocument/2006/relationships/hyperlink" Target="https://www.who.int/publications/i/item/9789240115583" TargetMode="External"/><Relationship Id="rIdyndgfsinspkh2mw8a6i5u" Type="http://schemas.openxmlformats.org/officeDocument/2006/relationships/hyperlink" Target="https://www.who.int/publications/i/item/9789240115606" TargetMode="External"/><Relationship Id="rId2byau5ozd53jwarmiuvbt" Type="http://schemas.openxmlformats.org/officeDocument/2006/relationships/hyperlink" Target="https://doi.org/10.15585/mmwr.rr7303a1" TargetMode="External"/><Relationship Id="rIdgro6_hpufyrpzo9eoqwn2" Type="http://schemas.openxmlformats.org/officeDocument/2006/relationships/hyperlink" Target="https://doi.org/10.1097/AOG.0000000000003072" TargetMode="External"/><Relationship Id="rIdlfgw6pc8p7ioyrbzulgas" Type="http://schemas.openxmlformats.org/officeDocument/2006/relationships/hyperlink" Target="https://doi.org/10.1056/NEJMoa1110855" TargetMode="External"/><Relationship Id="rIdafygzseja_t7kbuvl1tlt" Type="http://schemas.openxmlformats.org/officeDocument/2006/relationships/hyperlink" Target="https://doi.org/10.1002/14651858.CD001324.pub6" TargetMode="External"/><Relationship Id="rId8wwtse635a7oxyk7em80l" Type="http://schemas.openxmlformats.org/officeDocument/2006/relationships/hyperlink" Target="https://doi.org/10.1002/ijgo.15936" TargetMode="External"/><Relationship Id="rId_blhswlx39gyqkwhgqnxs" Type="http://schemas.openxmlformats.org/officeDocument/2006/relationships/hyperlink" Target="https://doi.org/10.1002/ijgo.70146" TargetMode="External"/><Relationship Id="rIdx9bylf3jecg6vl28svwh5" Type="http://schemas.openxmlformats.org/officeDocument/2006/relationships/hyperlink" Target="https://www.kemendukbangga.go.id/" TargetMode="External"/><Relationship Id="rId1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2026-08-18T07:28:08.051Z</dcterms:created>
  <dcterms:modified xsi:type="dcterms:W3CDTF">2026-08-18T07:28:08.064Z</dcterms:modified>
</cp:coreProperties>
</file>

<file path=docProps/custom.xml><?xml version="1.0" encoding="utf-8"?>
<Properties xmlns="http://schemas.openxmlformats.org/officeDocument/2006/custom-properties" xmlns:vt="http://schemas.openxmlformats.org/officeDocument/2006/docPropsVTypes"/>
</file>