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r>
        <w:rPr>
          <w:rFonts w:ascii="IBM Plex Mono" w:cs="IBM Plex Mono" w:eastAsia="IBM Plex Mono" w:hAnsi="IBM Plex Mono"/>
          <w:b/>
          <w:bCs/>
          <w:color w:val="B45309"/>
          <w:sz w:val="20"/>
          <w:szCs w:val="20"/>
        </w:rPr>
        <w:t xml:space="preserve">Perpustakaan Digital ABBA</w:t>
      </w:r>
    </w:p>
    <w:p>
      <w:pPr>
        <w:spacing w:after="400"/>
      </w:pPr>
      <w:r>
        <w:rPr>
          <w:rFonts w:ascii="IBM Plex Mono" w:cs="IBM Plex Mono" w:eastAsia="IBM Plex Mono" w:hAnsi="IBM Plex Mono"/>
          <w:color w:val="334155"/>
          <w:sz w:val="18"/>
          <w:szCs w:val="18"/>
        </w:rPr>
        <w:t xml:space="preserve">Jl Kerinci Raya No 9 Malang 65138</w:t>
      </w:r>
    </w:p>
    <w:p>
      <w:pPr>
        <w:spacing w:after="200" w:before="800"/>
      </w:pPr>
      <w:r>
        <w:rPr>
          <w:rFonts w:ascii="IBM Plex Mono" w:cs="IBM Plex Mono" w:eastAsia="IBM Plex Mono" w:hAnsi="IBM Plex Mono"/>
          <w:b/>
          <w:bCs/>
          <w:color w:val="B45309"/>
          <w:sz w:val="22"/>
          <w:szCs w:val="22"/>
        </w:rPr>
        <w:t xml:space="preserve">PANDUAN PRAKTIK KLINIS — PPK-073</w:t>
      </w:r>
    </w:p>
    <w:p>
      <w:pPr>
        <w:spacing w:after="200"/>
      </w:pPr>
      <w:r>
        <w:rPr>
          <w:rFonts w:ascii="Source Serif 4" w:cs="Source Serif 4" w:eastAsia="Source Serif 4" w:hAnsi="Source Serif 4"/>
          <w:b/>
          <w:bCs/>
          <w:color w:val="4F46E5"/>
          <w:sz w:val="44"/>
          <w:szCs w:val="44"/>
        </w:rPr>
        <w:t xml:space="preserve">Vaksinasi pada Perempuan dengan Kehamilan Insidental (Pregnant State, Incidental)</w:t>
      </w:r>
    </w:p>
    <w:p>
      <w:pPr>
        <w:spacing w:after="600"/>
      </w:pPr>
      <w:r>
        <w:rPr>
          <w:rFonts w:ascii="Source Serif 4" w:cs="Source Serif 4" w:eastAsia="Source Serif 4" w:hAnsi="Source Serif 4"/>
          <w:i/>
          <w:iCs/>
          <w:color w:val="334155"/>
          <w:sz w:val="26"/>
          <w:szCs w:val="26"/>
        </w:rPr>
        <w:t xml:space="preserve">Vaccination in Women with Incidental Pregnancy State</w:t>
      </w:r>
    </w:p>
    <w:p>
      <w:pPr>
        <w:spacing w:after="100"/>
      </w:pPr>
      <w:r>
        <w:rPr>
          <w:rFonts w:ascii="IBM Plex Sans" w:cs="IBM Plex Sans" w:eastAsia="IBM Plex Sans" w:hAnsi="IBM Plex Sans"/>
          <w:color w:val="334155"/>
          <w:sz w:val="20"/>
          <w:szCs w:val="20"/>
        </w:rPr>
        <w:t xml:space="preserve">Dokumen 73 dari 73 — Kategori PPK</w:t>
      </w:r>
    </w:p>
    <w:p>
      <w:pPr>
        <w:spacing w:after="100"/>
      </w:pPr>
      <w:r>
        <w:rPr>
          <w:rFonts w:ascii="IBM Plex Sans" w:cs="IBM Plex Sans" w:eastAsia="IBM Plex Sans" w:hAnsi="IBM Plex Sans"/>
          <w:color w:val="334155"/>
          <w:sz w:val="20"/>
          <w:szCs w:val="20"/>
        </w:rPr>
        <w:t xml:space="preserve">Turunan operasional Buku Tematik B11 — Kedokteran Sosial, Mediko-Legal, Kontrasepsi, dan Kesehatan Reproduksi Remaja</w:t>
      </w:r>
    </w:p>
    <w:p>
      <w:pPr>
        <w:spacing w:after="100"/>
      </w:pPr>
      <w:r>
        <w:rPr>
          <w:rFonts w:ascii="IBM Plex Sans" w:cs="IBM Plex Sans" w:eastAsia="IBM Plex Sans" w:hAnsi="IBM Plex Sans"/>
          <w:color w:val="334155"/>
          <w:sz w:val="20"/>
          <w:szCs w:val="20"/>
        </w:rPr>
        <w:t xml:space="preserve">Divisi Pengampu: Obstetri Ginekologi Sosial</w:t>
      </w:r>
    </w:p>
    <w:p>
      <w:pPr>
        <w:spacing w:after="600"/>
      </w:pPr>
      <w:r>
        <w:rPr>
          <w:rFonts w:ascii="IBM Plex Sans" w:cs="IBM Plex Sans" w:eastAsia="IBM Plex Sans" w:hAnsi="IBM Plex Sans"/>
          <w:color w:val="334155"/>
          <w:sz w:val="20"/>
          <w:szCs w:val="20"/>
        </w:rPr>
        <w:t xml:space="preserve">Dasar Regulasi: Keputusan Ketua Konsil Kesehatan Indonesia No. HK.01.02/KKI/1318/2026, Tabel 7 No. 73</w:t>
      </w:r>
    </w:p>
    <w:p>
      <w:pPr>
        <w:spacing w:before="1600"/>
      </w:pPr>
      <w:r>
        <w:rPr>
          <w:rFonts w:ascii="IBM Plex Sans" w:cs="IBM Plex Sans" w:eastAsia="IBM Plex Sans" w:hAnsi="IBM Plex Sans"/>
          <w:b/>
          <w:bCs/>
          <w:color w:val="334155"/>
          <w:sz w:val="20"/>
          <w:szCs w:val="20"/>
        </w:rPr>
        <w:t xml:space="preserve">Dr.dr. Budi Siswanto, Sp.OG., Subsp.Obginsos., SH., S.Kom.</w:t>
      </w:r>
    </w:p>
    <w:p>
      <w:r>
        <w:rPr>
          <w:rFonts w:ascii="IBM Plex Sans" w:cs="IBM Plex Sans" w:eastAsia="IBM Plex Sans" w:hAnsi="IBM Plex Sans"/>
          <w:color w:val="334155"/>
          <w:sz w:val="20"/>
          <w:szCs w:val="20"/>
        </w:rPr>
        <w:t xml:space="preserve">Malang, 2026</w:t>
      </w:r>
    </w:p>
    <w:p>
      <w:r>
        <w:br w:type="page"/>
      </w:r>
    </w:p>
    <w:tbl>
      <w:tblPr>
        <w:tblW w:type="pct" w:w="100%"/>
        <w:tblBorders>
          <w:top w:val="single" w:color="B45309" w:sz="12"/>
          <w:left w:val="single" w:color="B45309" w:sz="12"/>
          <w:bottom w:val="single" w:color="B45309" w:sz="12"/>
          <w:right w:val="single" w:color="B45309" w:sz="12"/>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80"/>
            </w:pPr>
            <w:r>
              <w:rPr>
                <w:rFonts w:ascii="IBM Plex Mono" w:cs="IBM Plex Mono" w:eastAsia="IBM Plex Mono" w:hAnsi="IBM Plex Mono"/>
                <w:b/>
                <w:bCs/>
                <w:color w:val="B45309"/>
                <w:sz w:val="20"/>
                <w:szCs w:val="20"/>
              </w:rPr>
              <w:t xml:space="preserve">Ringkasan Dokumen</w:t>
            </w:r>
          </w:p>
          <w:p>
            <w:r>
              <w:rPr>
                <w:rFonts w:ascii="IBM Plex Sans" w:cs="IBM Plex Sans" w:eastAsia="IBM Plex Sans" w:hAnsi="IBM Plex Sans"/>
                <w:color w:val="334155"/>
                <w:sz w:val="20"/>
                <w:szCs w:val="20"/>
              </w:rPr>
              <w:t xml:space="preserve">Vaksinasi pada Perempuan dengan Kehamilan Insidental (Pregnant State, Incidental) — Populasi sasaran: Perempuan usia reproduksi yang berstatus hamil, di mana status kehamilan tersebut bersifat insidental terhadap tujuan utama kunjungan (mis. perempuan yang datang untuk vaksinasi rutin dewasa dan diketahui/ditemukan hamil pada saat skrining, atau perempuan hamil yang memerlukan vaksinasi terkait indikasi lain di luar konteks antenatal terjadwal). ICD-10: Z33.1 (Pregnant state, incidental). ICD-11: QC02.Z.</w:t>
            </w:r>
          </w:p>
        </w:tc>
      </w:tr>
    </w:tbl>
    <w:p>
      <w:pPr>
        <w:spacing w:after="300"/>
      </w:pPr>
    </w:p>
    <w:p>
      <w:pPr>
        <w:pStyle w:val="Heading1"/>
        <w:spacing w:after="160" w:before="320"/>
      </w:pPr>
      <w:r>
        <w:rPr>
          <w:rFonts w:ascii="Source Serif 4" w:cs="Source Serif 4" w:eastAsia="Source Serif 4" w:hAnsi="Source Serif 4"/>
          <w:b/>
          <w:bCs/>
          <w:color w:val="4F46E5"/>
          <w:sz w:val="28"/>
          <w:szCs w:val="28"/>
        </w:rPr>
        <w:t xml:space="preserve">1. Pengertian/Definisi</w:t>
      </w:r>
    </w:p>
    <w:p>
      <w:pPr>
        <w:spacing w:after="160" w:line="276"/>
      </w:pPr>
      <w:r>
        <w:rPr>
          <w:rFonts w:ascii="IBM Plex Sans" w:cs="IBM Plex Sans" w:eastAsia="IBM Plex Sans" w:hAnsi="IBM Plex Sans"/>
          <w:color w:val="334155"/>
          <w:sz w:val="22"/>
          <w:szCs w:val="22"/>
        </w:rPr>
        <w:t xml:space="preserve">PPK ini merupakan turunan operasional dari Bab yang relevan pada Buku Tematik B11 — Kedokteran Sosial, Mediko-Legal, Kontrasepsi, dan Kesehatan Reproduksi Remaja.</w:t>
      </w:r>
    </w:p>
    <w:p>
      <w:pPr>
        <w:spacing w:after="160" w:line="276"/>
      </w:pPr>
      <w:r>
        <w:rPr>
          <w:rFonts w:ascii="IBM Plex Sans" w:cs="IBM Plex Sans" w:eastAsia="IBM Plex Sans" w:hAnsi="IBM Plex Sans"/>
          <w:color w:val="334155"/>
          <w:sz w:val="22"/>
          <w:szCs w:val="22"/>
        </w:rPr>
        <w:t xml:space="preserve">Vaksinasi pada perempuan dengan kehamilan insidental (bahasa Inggris: vaccination in women with incidental pregnancy state) adalah pemberian imunisasi aktif kepada perempuan usia reproduksi pada situasi klinis ketika status kehamilan bukan merupakan alasan utama kunjungan, melainkan ditemukan secara insidental — baik pada saat skrining pra-vaksinasi rutin dewasa, kunjungan kegawatdaruratan non-obstetri, maupun program imunisasi massal/komunitas. Istilah "insidental" pada konteks ini merujuk pada notasi administratif rekam medis "Pregnant state, incidental" (padanan ICD-10 Z33.1), yang menandai kehamilan sebagai temuan penyerta, bukan diagnosis utama episode layanan.</w:t>
      </w:r>
    </w:p>
    <w:p>
      <w:pPr>
        <w:spacing w:after="160" w:line="276"/>
      </w:pPr>
      <w:r>
        <w:rPr>
          <w:rFonts w:ascii="IBM Plex Sans" w:cs="IBM Plex Sans" w:eastAsia="IBM Plex Sans" w:hAnsi="IBM Plex Sans"/>
          <w:color w:val="334155"/>
          <w:sz w:val="22"/>
          <w:szCs w:val="22"/>
        </w:rPr>
        <w:t xml:space="preserve">Landasan klinis PPK ini adalah mekanisme transfer antibodi transplasenta: imunoglobulin G (IgG) yang terbentuk pada ibu setelah vaksinasi berpindah melalui plasenta ke janin, memberikan perlindungan pasif kepada bayi pada bulan-bulan pertama kehidupan sebelum bayi dapat menerima imunisasi aktifnya sendiri. Mekanisme inilah yang mendasari mengapa vaksinasi terhadap tetanus, difteri, pertusis, dan influenza secara internasional dianjurkan selama kehamilan, bukan hanya untuk perlindungan ibu.</w:t>
      </w:r>
    </w:p>
    <w:p>
      <w:pPr>
        <w:spacing w:after="160" w:line="276"/>
      </w:pPr>
      <w:r>
        <w:rPr>
          <w:rFonts w:ascii="IBM Plex Sans" w:cs="IBM Plex Sans" w:eastAsia="IBM Plex Sans" w:hAnsi="IBM Plex Sans"/>
          <w:color w:val="334155"/>
          <w:sz w:val="22"/>
          <w:szCs w:val="22"/>
        </w:rPr>
        <w:t xml:space="preserve">Kondisi ini secara klinis penting karena keputusan untuk melanjutkan, menunda, atau mengganti jenis vaksin sangat bergantung pada klasifikasi vaksin (hidup dilemahkan versus inaktif/toksoid/subunit/mRNA), usia gestasi, indikasi mendesak (misalnya pascapajanan tetanus, wabah pertusis, atau musim penularan influenza), dan preferensi pasien setelah konseling risiko-manfaat yang memadai.</w:t>
      </w:r>
    </w:p>
    <w:tbl>
      <w:tblPr>
        <w:tblW w:type="pct" w:w="100%"/>
        <w:tblBorders>
          <w:top w:val="single" w:color="B45309" w:sz="12"/>
          <w:left w:val="single" w:color="B45309" w:sz="12"/>
          <w:bottom w:val="single" w:color="B45309" w:sz="12"/>
          <w:right w:val="single" w:color="B45309" w:sz="12"/>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80"/>
            </w:pPr>
            <w:r>
              <w:rPr>
                <w:rFonts w:ascii="IBM Plex Mono" w:cs="IBM Plex Mono" w:eastAsia="IBM Plex Mono" w:hAnsi="IBM Plex Mono"/>
                <w:b/>
                <w:bCs/>
                <w:color w:val="B45309"/>
                <w:sz w:val="20"/>
                <w:szCs w:val="20"/>
              </w:rPr>
              <w:t xml:space="preserve">Dasar Regulasi</w:t>
            </w:r>
          </w:p>
          <w:p>
            <w:r>
              <w:rPr>
                <w:rFonts w:ascii="IBM Plex Sans" w:cs="IBM Plex Sans" w:eastAsia="IBM Plex Sans" w:hAnsi="IBM Plex Sans"/>
                <w:color w:val="334155"/>
                <w:sz w:val="20"/>
                <w:szCs w:val="20"/>
              </w:rPr>
              <w:t xml:space="preserve">Keputusan Ketua Konsil Kesehatan Indonesia No. HK.01.02/KKI/1318/2026, Tabel 7 No. 73 — "Vaksinasi pada perempuan / Pregnancy state, insidental". Kode hasil verifikasi ulang tercantum pada tabel di bagian 4.</w:t>
            </w:r>
          </w:p>
        </w:tc>
      </w:tr>
    </w:tbl>
    <w:p>
      <w:pPr>
        <w:spacing w:after="160"/>
      </w:pPr>
    </w:p>
    <w:p>
      <w:pPr>
        <w:pStyle w:val="Heading1"/>
        <w:spacing w:after="160" w:before="320"/>
      </w:pPr>
      <w:r>
        <w:rPr>
          <w:rFonts w:ascii="Source Serif 4" w:cs="Source Serif 4" w:eastAsia="Source Serif 4" w:hAnsi="Source Serif 4"/>
          <w:b/>
          <w:bCs/>
          <w:color w:val="4F46E5"/>
          <w:sz w:val="28"/>
          <w:szCs w:val="28"/>
        </w:rPr>
        <w:t xml:space="preserve">2. Anamnesis</w:t>
      </w:r>
    </w:p>
    <w:p>
      <w:pPr>
        <w:spacing w:after="160" w:line="276"/>
      </w:pPr>
      <w:r>
        <w:rPr>
          <w:rFonts w:ascii="IBM Plex Sans" w:cs="IBM Plex Sans" w:eastAsia="IBM Plex Sans" w:hAnsi="IBM Plex Sans"/>
          <w:color w:val="334155"/>
          <w:sz w:val="22"/>
          <w:szCs w:val="22"/>
        </w:rPr>
        <w:t xml:space="preserve">Anamnesis diarahkan untuk mengonfirmasi status kehamilan, usia gestasi, riwayat imunisasi, dan faktor risiko yang memengaruhi pilihan serta waktu pemberian vaksin.</w:t>
      </w:r>
    </w:p>
    <w:p>
      <w:pPr>
        <w:pStyle w:val="ListParagraph"/>
        <w:numPr>
          <w:ilvl w:val="0"/>
          <w:numId w:val="1"/>
        </w:numPr>
        <w:spacing w:after="100"/>
      </w:pPr>
      <w:r>
        <w:rPr>
          <w:rFonts w:ascii="IBM Plex Sans" w:cs="IBM Plex Sans" w:eastAsia="IBM Plex Sans" w:hAnsi="IBM Plex Sans"/>
          <w:color w:val="334155"/>
          <w:sz w:val="22"/>
          <w:szCs w:val="22"/>
        </w:rPr>
        <w:t xml:space="preserve">Hari pertama haid terakhir (HPHT) dan taksiran usia gestasi; konfirmasi dengan hasil tes kehamilan atau ultrasonografi bila tersedia.</w:t>
      </w:r>
    </w:p>
    <w:p>
      <w:pPr>
        <w:pStyle w:val="ListParagraph"/>
        <w:numPr>
          <w:ilvl w:val="0"/>
          <w:numId w:val="1"/>
        </w:numPr>
        <w:spacing w:after="100"/>
      </w:pPr>
      <w:r>
        <w:rPr>
          <w:rFonts w:ascii="IBM Plex Sans" w:cs="IBM Plex Sans" w:eastAsia="IBM Plex Sans" w:hAnsi="IBM Plex Sans"/>
          <w:color w:val="334155"/>
          <w:sz w:val="22"/>
          <w:szCs w:val="22"/>
        </w:rPr>
        <w:t xml:space="preserve">Alasan kunjungan awal (skrining vaksinasi rutin dewasa, kontak tetanus-rawan luka, program vaksinasi komunitas, pemeriksaan pranikah, atau lainnya) dan sejauh mana kehamilan diketahui sebelum vaksinasi diberikan atau direncanakan.</w:t>
      </w:r>
    </w:p>
    <w:p>
      <w:pPr>
        <w:pStyle w:val="ListParagraph"/>
        <w:numPr>
          <w:ilvl w:val="0"/>
          <w:numId w:val="1"/>
        </w:numPr>
        <w:spacing w:after="100"/>
      </w:pPr>
      <w:r>
        <w:rPr>
          <w:rFonts w:ascii="IBM Plex Sans" w:cs="IBM Plex Sans" w:eastAsia="IBM Plex Sans" w:hAnsi="IBM Plex Sans"/>
          <w:color w:val="334155"/>
          <w:sz w:val="22"/>
          <w:szCs w:val="22"/>
        </w:rPr>
        <w:t xml:space="preserve">Riwayat imunisasi sebelumnya, termasuk status T5 (imunisasi tetanus lengkap lima dosis) sesuai catatan pada Buku Kesehatan Ibu dan Anak (Buku KIA) bila tersedia: jenis vaksin, tanggal, jumlah dosis, dan reaksi yang pernah dialami (termasuk riwayat anafilaksis terhadap komponen vaksin, telur, atau lateks bila relevan).</w:t>
      </w:r>
    </w:p>
    <w:p>
      <w:pPr>
        <w:pStyle w:val="ListParagraph"/>
        <w:numPr>
          <w:ilvl w:val="0"/>
          <w:numId w:val="1"/>
        </w:numPr>
        <w:spacing w:after="100"/>
      </w:pPr>
      <w:r>
        <w:rPr>
          <w:rFonts w:ascii="IBM Plex Sans" w:cs="IBM Plex Sans" w:eastAsia="IBM Plex Sans" w:hAnsi="IBM Plex Sans"/>
          <w:color w:val="334155"/>
          <w:sz w:val="22"/>
          <w:szCs w:val="22"/>
        </w:rPr>
        <w:t xml:space="preserve">Riwayat kehamilan sebelumnya dan status imunisasi Tdap/tetanus pada kehamilan tersebut.</w:t>
      </w:r>
    </w:p>
    <w:p>
      <w:pPr>
        <w:pStyle w:val="ListParagraph"/>
        <w:numPr>
          <w:ilvl w:val="0"/>
          <w:numId w:val="1"/>
        </w:numPr>
        <w:spacing w:after="100"/>
      </w:pPr>
      <w:r>
        <w:rPr>
          <w:rFonts w:ascii="IBM Plex Sans" w:cs="IBM Plex Sans" w:eastAsia="IBM Plex Sans" w:hAnsi="IBM Plex Sans"/>
          <w:color w:val="334155"/>
          <w:sz w:val="22"/>
          <w:szCs w:val="22"/>
        </w:rPr>
        <w:t xml:space="preserve">Riwayat paparan penyakit yang dapat dicegah dengan vaksin pada kehamilan berjalan (misalnya kontak kasus pertusis, luka berisiko tetanus, atau wabah influenza di lingkungan tempat tinggal atau kerja).</w:t>
      </w:r>
    </w:p>
    <w:p>
      <w:pPr>
        <w:pStyle w:val="ListParagraph"/>
        <w:numPr>
          <w:ilvl w:val="0"/>
          <w:numId w:val="1"/>
        </w:numPr>
        <w:spacing w:after="100"/>
      </w:pPr>
      <w:r>
        <w:rPr>
          <w:rFonts w:ascii="IBM Plex Sans" w:cs="IBM Plex Sans" w:eastAsia="IBM Plex Sans" w:hAnsi="IBM Plex Sans"/>
          <w:color w:val="334155"/>
          <w:sz w:val="22"/>
          <w:szCs w:val="22"/>
        </w:rPr>
        <w:t xml:space="preserve">Riwayat penyakit penyerta yang memengaruhi status imunokompromais (HIV, keganasan, terapi imunosupresif, asplenia) karena kondisi ini mengubah kalkulasi risiko-manfaat vaksin hidup dilemahkan.</w:t>
      </w:r>
    </w:p>
    <w:p>
      <w:pPr>
        <w:pStyle w:val="ListParagraph"/>
        <w:numPr>
          <w:ilvl w:val="0"/>
          <w:numId w:val="1"/>
        </w:numPr>
        <w:spacing w:after="100"/>
      </w:pPr>
      <w:r>
        <w:rPr>
          <w:rFonts w:ascii="IBM Plex Sans" w:cs="IBM Plex Sans" w:eastAsia="IBM Plex Sans" w:hAnsi="IBM Plex Sans"/>
          <w:color w:val="334155"/>
          <w:sz w:val="22"/>
          <w:szCs w:val="22"/>
        </w:rPr>
        <w:t xml:space="preserve">Riwayat alergi obat/vaksin dan riwayat reaksi hipersensitivitas berat sebelumnya.</w:t>
      </w:r>
    </w:p>
    <w:p>
      <w:pPr>
        <w:pStyle w:val="ListParagraph"/>
        <w:numPr>
          <w:ilvl w:val="0"/>
          <w:numId w:val="1"/>
        </w:numPr>
        <w:spacing w:after="100"/>
      </w:pPr>
      <w:r>
        <w:rPr>
          <w:rFonts w:ascii="IBM Plex Sans" w:cs="IBM Plex Sans" w:eastAsia="IBM Plex Sans" w:hAnsi="IBM Plex Sans"/>
          <w:color w:val="334155"/>
          <w:sz w:val="22"/>
          <w:szCs w:val="22"/>
        </w:rPr>
        <w:t xml:space="preserve">Rencana atau kekhawatiran pasien terkait vaksinasi selama kehamilan, termasuk sumber informasi yang memengaruhi keraguan vaksin (vaccine hesitancy), agar dapat ditangani secara spesifik saat konseling.</w:t>
      </w:r>
    </w:p>
    <w:p>
      <w:pPr>
        <w:pStyle w:val="Heading1"/>
        <w:spacing w:after="160" w:before="320"/>
      </w:pPr>
      <w:r>
        <w:rPr>
          <w:rFonts w:ascii="Source Serif 4" w:cs="Source Serif 4" w:eastAsia="Source Serif 4" w:hAnsi="Source Serif 4"/>
          <w:b/>
          <w:bCs/>
          <w:color w:val="4F46E5"/>
          <w:sz w:val="28"/>
          <w:szCs w:val="28"/>
        </w:rPr>
        <w:t xml:space="preserve">3. Pemeriksaan Fisik</w:t>
      </w:r>
    </w:p>
    <w:p>
      <w:pPr>
        <w:spacing w:after="160" w:line="276"/>
      </w:pPr>
      <w:r>
        <w:rPr>
          <w:rFonts w:ascii="IBM Plex Sans" w:cs="IBM Plex Sans" w:eastAsia="IBM Plex Sans" w:hAnsi="IBM Plex Sans"/>
          <w:color w:val="334155"/>
          <w:sz w:val="22"/>
          <w:szCs w:val="22"/>
        </w:rPr>
        <w:t xml:space="preserve">Pemeriksaan fisik pada konteks ini bersifat suportif terhadap keputusan vaksinasi, bukan pemeriksaan obstetri lengkap (kecuali kunjungan tersebut memang mencakup pemeriksaan antenatal terjadwal sesuai pedoman 10T Kementerian Kesehatan RI).</w:t>
      </w:r>
    </w:p>
    <w:p>
      <w:pPr>
        <w:pStyle w:val="ListParagraph"/>
        <w:numPr>
          <w:ilvl w:val="0"/>
          <w:numId w:val="1"/>
        </w:numPr>
        <w:spacing w:after="100"/>
      </w:pPr>
      <w:r>
        <w:rPr>
          <w:rFonts w:ascii="IBM Plex Sans" w:cs="IBM Plex Sans" w:eastAsia="IBM Plex Sans" w:hAnsi="IBM Plex Sans"/>
          <w:color w:val="334155"/>
          <w:sz w:val="22"/>
          <w:szCs w:val="22"/>
        </w:rPr>
        <w:t xml:space="preserve">Tanda vital dasar (tekanan darah, nadi, suhu, frekuensi napas) untuk menyingkirkan kontraindikasi umum vaksinasi seperti demam akut sedang-berat.</w:t>
      </w:r>
    </w:p>
    <w:p>
      <w:pPr>
        <w:pStyle w:val="ListParagraph"/>
        <w:numPr>
          <w:ilvl w:val="0"/>
          <w:numId w:val="1"/>
        </w:numPr>
        <w:spacing w:after="100"/>
      </w:pPr>
      <w:r>
        <w:rPr>
          <w:rFonts w:ascii="IBM Plex Sans" w:cs="IBM Plex Sans" w:eastAsia="IBM Plex Sans" w:hAnsi="IBM Plex Sans"/>
          <w:color w:val="334155"/>
          <w:sz w:val="22"/>
          <w:szCs w:val="22"/>
        </w:rPr>
        <w:t xml:space="preserve">Pemeriksaan tinggi fundus uteri bila usia gestasi memungkinkan palpasi abdominal, sebagai konfirmasi klinis tambahan usia gestasi.</w:t>
      </w:r>
    </w:p>
    <w:p>
      <w:pPr>
        <w:pStyle w:val="ListParagraph"/>
        <w:numPr>
          <w:ilvl w:val="0"/>
          <w:numId w:val="1"/>
        </w:numPr>
        <w:spacing w:after="100"/>
      </w:pPr>
      <w:r>
        <w:rPr>
          <w:rFonts w:ascii="IBM Plex Sans" w:cs="IBM Plex Sans" w:eastAsia="IBM Plex Sans" w:hAnsi="IBM Plex Sans"/>
          <w:color w:val="334155"/>
          <w:sz w:val="22"/>
          <w:szCs w:val="22"/>
        </w:rPr>
        <w:t xml:space="preserve">Inspeksi lokasi rencana penyuntikan (biasanya deltoid) untuk menyingkirkan infeksi kulit lokal atau kondisi yang mengontraindikasikan injeksi intramuskular pada lokasi tersebut.</w:t>
      </w:r>
    </w:p>
    <w:p>
      <w:pPr>
        <w:pStyle w:val="ListParagraph"/>
        <w:numPr>
          <w:ilvl w:val="0"/>
          <w:numId w:val="1"/>
        </w:numPr>
        <w:spacing w:after="100"/>
      </w:pPr>
      <w:r>
        <w:rPr>
          <w:rFonts w:ascii="IBM Plex Sans" w:cs="IBM Plex Sans" w:eastAsia="IBM Plex Sans" w:hAnsi="IBM Plex Sans"/>
          <w:color w:val="334155"/>
          <w:sz w:val="22"/>
          <w:szCs w:val="22"/>
        </w:rPr>
        <w:t xml:space="preserve">Penilaian umum kondisi akut yang dapat menunda vaksinasi non-darurat (penyakit akut sedang-berat, dengan atau tanpa demam); penyakit ringan seperti selesma (common cold) bukan alasan penundaan.</w:t>
      </w:r>
    </w:p>
    <w:p>
      <w:pPr>
        <w:pStyle w:val="Heading1"/>
        <w:spacing w:after="160" w:before="320"/>
      </w:pPr>
      <w:r>
        <w:rPr>
          <w:rFonts w:ascii="Source Serif 4" w:cs="Source Serif 4" w:eastAsia="Source Serif 4" w:hAnsi="Source Serif 4"/>
          <w:b/>
          <w:bCs/>
          <w:color w:val="4F46E5"/>
          <w:sz w:val="28"/>
          <w:szCs w:val="28"/>
        </w:rPr>
        <w:t xml:space="preserve">4. Kriteria Diagnosis</w:t>
      </w:r>
    </w:p>
    <w:p>
      <w:pPr>
        <w:spacing w:after="160" w:line="276"/>
      </w:pPr>
      <w:r>
        <w:rPr>
          <w:rFonts w:ascii="IBM Plex Sans" w:cs="IBM Plex Sans" w:eastAsia="IBM Plex Sans" w:hAnsi="IBM Plex Sans"/>
          <w:color w:val="334155"/>
          <w:sz w:val="22"/>
          <w:szCs w:val="22"/>
        </w:rPr>
        <w:t xml:space="preserve">Penegakan status "kehamilan insidental pada konteks vaksinasi" ditegakkan berdasarkan konfirmasi kehamilan (tes beta-hCG positif dan/atau visualisasi kantung gestasi/embrio pada ultrasonografi) yang terjadi bersamaan dengan atau segera sebelum episode layanan vaksinasi, tanpa kehamilan menjadi indikasi utama kunjungan.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Kategori</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Deskripsi</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ICD-10</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Z33.1 (Pregnant state, incidental)</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Pregnant state, incidental — status kehamilan sebagai temuan penyerta pada episode layanan</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ICD-11</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QC02.Z</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Kelompok QC02 — kebutuhan berkaitan dengan imunisasi (ekstensi perlu diverifikasi)</w:t>
            </w:r>
          </w:p>
        </w:tc>
      </w:tr>
    </w:tbl>
    <w:p>
      <w:pPr>
        <w:spacing w:after="160"/>
      </w:pPr>
    </w:p>
    <w:tbl>
      <w:tblPr>
        <w:tblW w:type="pct" w:w="100%"/>
        <w:tblBorders>
          <w:top w:val="single" w:color="B45309" w:sz="12"/>
          <w:left w:val="single" w:color="B45309" w:sz="12"/>
          <w:bottom w:val="single" w:color="B45309" w:sz="12"/>
          <w:right w:val="single" w:color="B45309" w:sz="12"/>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80"/>
            </w:pPr>
            <w:r>
              <w:rPr>
                <w:rFonts w:ascii="IBM Plex Mono" w:cs="IBM Plex Mono" w:eastAsia="IBM Plex Mono" w:hAnsi="IBM Plex Mono"/>
                <w:b/>
                <w:bCs/>
                <w:color w:val="B45309"/>
                <w:sz w:val="20"/>
                <w:szCs w:val="20"/>
              </w:rPr>
              <w:t xml:space="preserve">Catatan Verifikasi Kode</w:t>
            </w:r>
          </w:p>
          <w:p>
            <w:r>
              <w:rPr>
                <w:rFonts w:ascii="IBM Plex Sans" w:cs="IBM Plex Sans" w:eastAsia="IBM Plex Sans" w:hAnsi="IBM Plex Sans"/>
                <w:color w:val="334155"/>
                <w:sz w:val="20"/>
                <w:szCs w:val="20"/>
              </w:rPr>
              <w:t xml:space="preserve">Ekstraksi baris No. 73 Tabel 7 memuat satu notasi kode tambahan yang tidak dapat dikonfirmasi maknanya secara independen dari sumber yang tersedia. Notasi tersebut tidak dicantumkan pada tabel di bawah sampai dapat diverifikasi langsung terhadap salinan resmi Kepkonsil No. HK.01.02/KKI/1318/2026 Tabel 7 baris 73. Kode kelompok QC02 (kebutuhan berkaitan dengan imunisasi) sesuai konteks judul entri; ekstensi ".Z" (unspecified) agar diverifikasi ulang terhadap tabel resmi sebelum dicantumkan pada rekam medis atau klaim.</w:t>
            </w:r>
          </w:p>
        </w:tc>
      </w:tr>
    </w:tbl>
    <w:p>
      <w:pPr>
        <w:spacing w:after="160"/>
      </w:pPr>
    </w:p>
    <w:p>
      <w:pPr>
        <w:pStyle w:val="Heading1"/>
        <w:spacing w:after="160" w:before="320"/>
      </w:pPr>
      <w:r>
        <w:rPr>
          <w:rFonts w:ascii="Source Serif 4" w:cs="Source Serif 4" w:eastAsia="Source Serif 4" w:hAnsi="Source Serif 4"/>
          <w:b/>
          <w:bCs/>
          <w:color w:val="4F46E5"/>
          <w:sz w:val="28"/>
          <w:szCs w:val="28"/>
        </w:rP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kehamilan insidental pada perempuan yang menjalani atau direncanakan menjalani vaksinasi (Z33.1). Ini bukan diagnosis penyakit, melainkan status administratif-klinis yang mengarahkan alur keputusan vaksinasi.</w:t>
      </w:r>
    </w:p>
    <w:p>
      <w:pPr>
        <w:spacing w:after="160" w:line="276"/>
      </w:pPr>
      <w:r>
        <w:rPr>
          <w:rFonts w:ascii="IBM Plex Sans" w:cs="IBM Plex Sans" w:eastAsia="IBM Plex Sans" w:hAnsi="IBM Plex Sans"/>
          <w:color w:val="334155"/>
          <w:sz w:val="22"/>
          <w:szCs w:val="22"/>
        </w:rPr>
        <w:t xml:space="preserve">Diagnosis banding yang perlu disingkirkan sebelum status ini ditegakkan meliputi kondisi yang menyerupai kehamilan pada anamnesis awal namun memerlukan alur tata laksana berbeda:</w:t>
      </w:r>
    </w:p>
    <w:p>
      <w:pPr>
        <w:pStyle w:val="ListParagraph"/>
        <w:numPr>
          <w:ilvl w:val="0"/>
          <w:numId w:val="1"/>
        </w:numPr>
        <w:spacing w:after="100"/>
      </w:pPr>
      <w:r>
        <w:rPr>
          <w:rFonts w:ascii="IBM Plex Sans" w:cs="IBM Plex Sans" w:eastAsia="IBM Plex Sans" w:hAnsi="IBM Plex Sans"/>
          <w:color w:val="334155"/>
          <w:sz w:val="22"/>
          <w:szCs w:val="22"/>
        </w:rPr>
        <w:t xml:space="preserve">Kehamilan ektopik — bila ditemukan nyeri abdomen atau perdarahan pervaginam disertai beta-hCG positif, rujuk segera untuk evaluasi obstetri sebelum melanjutkan proses vaksinasi elektif.</w:t>
      </w:r>
    </w:p>
    <w:p>
      <w:pPr>
        <w:pStyle w:val="ListParagraph"/>
        <w:numPr>
          <w:ilvl w:val="0"/>
          <w:numId w:val="1"/>
        </w:numPr>
        <w:spacing w:after="100"/>
      </w:pPr>
      <w:r>
        <w:rPr>
          <w:rFonts w:ascii="IBM Plex Sans" w:cs="IBM Plex Sans" w:eastAsia="IBM Plex Sans" w:hAnsi="IBM Plex Sans"/>
          <w:color w:val="334155"/>
          <w:sz w:val="22"/>
          <w:szCs w:val="22"/>
        </w:rPr>
        <w:t xml:space="preserve">Mola hidatidosa atau kehamilan tidak viabel — memerlukan konfirmasi ultrasonografi; vaksinasi elektif ditunda hingga status kehamilan jelas.</w:t>
      </w:r>
    </w:p>
    <w:p>
      <w:pPr>
        <w:pStyle w:val="ListParagraph"/>
        <w:numPr>
          <w:ilvl w:val="0"/>
          <w:numId w:val="1"/>
        </w:numPr>
        <w:spacing w:after="100"/>
      </w:pPr>
      <w:r>
        <w:rPr>
          <w:rFonts w:ascii="IBM Plex Sans" w:cs="IBM Plex Sans" w:eastAsia="IBM Plex Sans" w:hAnsi="IBM Plex Sans"/>
          <w:color w:val="334155"/>
          <w:sz w:val="22"/>
          <w:szCs w:val="22"/>
        </w:rPr>
        <w:t xml:space="preserve">Hasil tes kehamilan positif palsu (jarang) — dipertimbangkan pada kondisi tertentu (misalnya tumor penghasil hCG) bila gambaran klinis tidak sesuai.</w:t>
      </w:r>
    </w:p>
    <w:p>
      <w:pPr>
        <w:pStyle w:val="Heading1"/>
        <w:spacing w:after="160" w:before="320"/>
      </w:pPr>
      <w:r>
        <w:rPr>
          <w:rFonts w:ascii="Source Serif 4" w:cs="Source Serif 4" w:eastAsia="Source Serif 4" w:hAnsi="Source Serif 4"/>
          <w:b/>
          <w:bCs/>
          <w:color w:val="4F46E5"/>
          <w:sz w:val="28"/>
          <w:szCs w:val="28"/>
        </w:rPr>
        <w:t xml:space="preserve">6. Pemeriksaan Penunjang</w:t>
      </w:r>
    </w:p>
    <w:p>
      <w:pPr>
        <w:pStyle w:val="ListParagraph"/>
        <w:numPr>
          <w:ilvl w:val="0"/>
          <w:numId w:val="1"/>
        </w:numPr>
        <w:spacing w:after="100"/>
      </w:pPr>
      <w:r>
        <w:rPr>
          <w:rFonts w:ascii="IBM Plex Sans" w:cs="IBM Plex Sans" w:eastAsia="IBM Plex Sans" w:hAnsi="IBM Plex Sans"/>
          <w:color w:val="334155"/>
          <w:sz w:val="22"/>
          <w:szCs w:val="22"/>
        </w:rPr>
        <w:t xml:space="preserve">Tes kehamilan urin/serum (beta-hCG) untuk konfirmasi bila anamnesis mengarah pada kemungkinan hamil namun belum terkonfirmasi.</w:t>
      </w:r>
    </w:p>
    <w:p>
      <w:pPr>
        <w:pStyle w:val="ListParagraph"/>
        <w:numPr>
          <w:ilvl w:val="0"/>
          <w:numId w:val="1"/>
        </w:numPr>
        <w:spacing w:after="100"/>
      </w:pPr>
      <w:r>
        <w:rPr>
          <w:rFonts w:ascii="IBM Plex Sans" w:cs="IBM Plex Sans" w:eastAsia="IBM Plex Sans" w:hAnsi="IBM Plex Sans"/>
          <w:color w:val="334155"/>
          <w:sz w:val="22"/>
          <w:szCs w:val="22"/>
        </w:rPr>
        <w:t xml:space="preserve">Ultrasonografi obstetri untuk konfirmasi viabilitas dan usia gestasi bila hasilnya memengaruhi keputusan jenis/waktu vaksin, khususnya pada trimester pertama.</w:t>
      </w:r>
    </w:p>
    <w:p>
      <w:pPr>
        <w:pStyle w:val="ListParagraph"/>
        <w:numPr>
          <w:ilvl w:val="0"/>
          <w:numId w:val="1"/>
        </w:numPr>
        <w:spacing w:after="100"/>
      </w:pPr>
      <w:r>
        <w:rPr>
          <w:rFonts w:ascii="IBM Plex Sans" w:cs="IBM Plex Sans" w:eastAsia="IBM Plex Sans" w:hAnsi="IBM Plex Sans"/>
          <w:color w:val="334155"/>
          <w:sz w:val="22"/>
          <w:szCs w:val="22"/>
        </w:rPr>
        <w:t xml:space="preserve">Skrining status imun spesifik bila tersedia dan relevan (misalnya titer antibodi rubela/varisela pada perempuan dengan riwayat imunisasi tidak jelas), untuk perencanaan vaksinasi pascasalin bila vaksin hidup dilemahkan diindikasikan namun dikontraindikasikan selama hamil.</w:t>
      </w:r>
    </w:p>
    <w:p>
      <w:pPr>
        <w:pStyle w:val="ListParagraph"/>
        <w:numPr>
          <w:ilvl w:val="0"/>
          <w:numId w:val="1"/>
        </w:numPr>
        <w:spacing w:after="100"/>
      </w:pPr>
      <w:r>
        <w:rPr>
          <w:rFonts w:ascii="IBM Plex Sans" w:cs="IBM Plex Sans" w:eastAsia="IBM Plex Sans" w:hAnsi="IBM Plex Sans"/>
          <w:color w:val="334155"/>
          <w:sz w:val="22"/>
          <w:szCs w:val="22"/>
        </w:rPr>
        <w:t xml:space="preserve">Pemeriksaan laboratorium tambahan sesuai indikasi klinis individual — bukan bagian rutin protokol vaksinasi dan tidak wajib untuk seluruh populasi sasaran.</w:t>
      </w:r>
    </w:p>
    <w:p>
      <w:pPr>
        <w:pStyle w:val="Heading1"/>
        <w:spacing w:after="160" w:before="320"/>
      </w:pPr>
      <w:r>
        <w:rPr>
          <w:rFonts w:ascii="Source Serif 4" w:cs="Source Serif 4" w:eastAsia="Source Serif 4" w:hAnsi="Source Serif 4"/>
          <w:b/>
          <w:bCs/>
          <w:color w:val="4F46E5"/>
          <w:sz w:val="28"/>
          <w:szCs w:val="28"/>
        </w:rPr>
        <w:t xml:space="preserve">7. Tata Laksana</w:t>
      </w:r>
    </w:p>
    <w:p>
      <w:pPr>
        <w:spacing w:after="160" w:line="276"/>
      </w:pPr>
      <w:r>
        <w:rPr>
          <w:rFonts w:ascii="IBM Plex Sans" w:cs="IBM Plex Sans" w:eastAsia="IBM Plex Sans" w:hAnsi="IBM Plex Sans"/>
          <w:color w:val="334155"/>
          <w:sz w:val="22"/>
          <w:szCs w:val="22"/>
        </w:rPr>
        <w:t xml:space="preserve">Prinsip umum: vaksin inaktif, toksoid, subunit protein, dan vaksin berbasis mRNA umumnya aman diberikan selama kehamilan dan menjadi pilihan utama; vaksin hidup dilemahkan umumnya ditunda hingga pascasalin kecuali risiko paparan penyakit melebihi risiko teoretis terhadap janin.</w:t>
      </w:r>
    </w:p>
    <w:p>
      <w:pPr>
        <w:pStyle w:val="Heading2"/>
        <w:spacing w:after="120" w:before="24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1"/>
        </w:numPr>
        <w:spacing w:after="100"/>
      </w:pPr>
      <w:r>
        <w:rPr>
          <w:rFonts w:ascii="IBM Plex Sans" w:cs="IBM Plex Sans" w:eastAsia="IBM Plex Sans" w:hAnsi="IBM Plex Sans"/>
          <w:color w:val="334155"/>
          <w:sz w:val="22"/>
          <w:szCs w:val="22"/>
        </w:rPr>
        <w:t xml:space="preserve">Konseling risiko-manfaat terstruktur: jelaskan bahwa penyakit yang dicegah (influenza, pertusis, tetanus) berisiko lebih besar terhadap ibu dan janin dibandingkan risiko teoretis vaksin inaktif/toksoid/subunit yang direkomendasikan.</w:t>
      </w:r>
    </w:p>
    <w:p>
      <w:pPr>
        <w:pStyle w:val="ListParagraph"/>
        <w:numPr>
          <w:ilvl w:val="0"/>
          <w:numId w:val="1"/>
        </w:numPr>
        <w:spacing w:after="100"/>
      </w:pPr>
      <w:r>
        <w:rPr>
          <w:rFonts w:ascii="IBM Plex Sans" w:cs="IBM Plex Sans" w:eastAsia="IBM Plex Sans" w:hAnsi="IBM Plex Sans"/>
          <w:color w:val="334155"/>
          <w:sz w:val="22"/>
          <w:szCs w:val="22"/>
        </w:rPr>
        <w:t xml:space="preserve">Verifikasi ulang usia gestasi dan riwayat imunisasi sebagai dasar penentuan jenis dan waktu vaksin.</w:t>
      </w:r>
    </w:p>
    <w:p>
      <w:pPr>
        <w:pStyle w:val="ListParagraph"/>
        <w:numPr>
          <w:ilvl w:val="0"/>
          <w:numId w:val="1"/>
        </w:numPr>
        <w:spacing w:after="100"/>
      </w:pPr>
      <w:r>
        <w:rPr>
          <w:rFonts w:ascii="IBM Plex Sans" w:cs="IBM Plex Sans" w:eastAsia="IBM Plex Sans" w:hAnsi="IBM Plex Sans"/>
          <w:color w:val="334155"/>
          <w:sz w:val="22"/>
          <w:szCs w:val="22"/>
        </w:rPr>
        <w:t xml:space="preserve">Dokumentasi status kehamilan insidental pada rekam medis dan Buku KIA, termasuk rencana tindak lanjut antenatal bila pasien belum terdaftar dalam program pelayanan antenatal.</w:t>
      </w:r>
    </w:p>
    <w:p>
      <w:pPr>
        <w:pStyle w:val="ListParagraph"/>
        <w:numPr>
          <w:ilvl w:val="0"/>
          <w:numId w:val="1"/>
        </w:numPr>
        <w:spacing w:after="100"/>
      </w:pPr>
      <w:r>
        <w:rPr>
          <w:rFonts w:ascii="IBM Plex Sans" w:cs="IBM Plex Sans" w:eastAsia="IBM Plex Sans" w:hAnsi="IBM Plex Sans"/>
          <w:color w:val="334155"/>
          <w:sz w:val="22"/>
          <w:szCs w:val="22"/>
        </w:rPr>
        <w:t xml:space="preserve">Koordinasi rujukan ke layanan antenatal terjadwal setelah episode vaksinasi, mengingat kehamilan ditemukan secara insidental, sejalan dengan pedoman 10T pemeriksaan kehamilan yang mencakup skrining status imunisasi tetanus pada setiap kunjungan.</w:t>
      </w:r>
    </w:p>
    <w:p>
      <w:pPr>
        <w:pStyle w:val="Heading2"/>
        <w:spacing w:after="120" w:before="240"/>
      </w:pPr>
      <w:r>
        <w:rPr>
          <w:rFonts w:ascii="Source Serif 4" w:cs="Source Serif 4" w:eastAsia="Source Serif 4" w:hAnsi="Source Serif 4"/>
          <w:b/>
          <w:bCs/>
          <w:color w:val="B45309"/>
          <w:sz w:val="24"/>
          <w:szCs w:val="24"/>
        </w:rPr>
        <w:t xml:space="preserve">7.2 Tata Laksana Farmakologis</w:t>
      </w:r>
    </w:p>
    <w:p>
      <w:pPr>
        <w:spacing w:after="160" w:line="276"/>
      </w:pPr>
      <w:r>
        <w:rPr>
          <w:rFonts w:ascii="IBM Plex Sans" w:cs="IBM Plex Sans" w:eastAsia="IBM Plex Sans" w:hAnsi="IBM Plex Sans"/>
          <w:color w:val="334155"/>
          <w:sz w:val="22"/>
          <w:szCs w:val="22"/>
        </w:rPr>
        <w:t xml:space="preserve">Pemilihan vaksin mengikuti klasifikasi keamanan pada kehamilan berikut. Dosis dan jadwal produk mengikuti Program Imunisasi Nasional Kementerian Kesehatan RI yang berlaku dan tidak dicantumkan spesifik di sini karena bervariasi antarmerek [DATA: rujuk jadwal Imunisasi Ibu Hamil Kemenkes RI dan Buku KIA terbaru].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Vaksin</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Status pada Kehamilan</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Catatan</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Tdap (tetanus, difteri, pertusis aselular)</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setiap kehamilan</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Diberikan idealnya pada jendela 27–36 minggu gestasi untuk memaksimalkan transfer antibodi transplasenta ke janin; studi observasional di Inggris melaporkan efektivitas 91% (IK95% 84–95) terhadap pertusis pada bayi berusia di bawah 3 bulan</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Influenza (inaktif/rekombinan)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pada trimester berapa pun selama musim penularan influenza</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Vaksin influenza hidup dilemahkan (intranasal) dikontraindikasikan selama kehamilan; hanya produk vaksin inaktif (IIV) atau rekombinan (RIV) yang diberikan</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COVID-19 (mRNA/subunit protein)</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oleh ACOG pada trimester berapa pun; lihat catatan divergensi kebijakan pada bagian 12</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Dapat diberikan bersamaan (koadministrasi) dengan vaksin lain bila diindikasikan</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RSV (vaksin ibu hamil)</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pada jendela gestasi tertentu sesuai label produk</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Alternatif: antibodi monoklonal bayi (nirsevimab) pascasalin bila vaksinasi antenatal tidak diberikan</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Hepatitis B (subunit)</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Dapat diberikan bila terindikasi (skrining risiko/serologi negatif)</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Termasuk kategori vaksin inaktif, tidak dikontraindikasikan pada kehamilan</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MMR (campak-gondongan-rubela)</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Dikontraindikasikan selama kehamilan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Vaksin hidup dilemahkan; berikan pascasalin, aman selama laktasi</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Varisela</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Dikontraindikasikan selama kehamilan</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Vaksin hidup dilemahkan; berikan pascasalin bila status imun tidak diketahui/negatif</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HPV</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Ditunda hingga pascasalin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Bukan kontraindikasi absolut yang berbahaya, namun data keamanan pada kehamilan masih terbatas — kebijakan konservatif menunda hingga pascasalin</w:t>
            </w:r>
          </w:p>
        </w:tc>
      </w:tr>
    </w:tbl>
    <w:p>
      <w:pPr>
        <w:spacing w:after="160"/>
      </w:pPr>
    </w:p>
    <w:p>
      <w:pPr>
        <w:spacing w:after="160" w:line="276"/>
      </w:pPr>
      <w:r>
        <w:rPr>
          <w:rFonts w:ascii="IBM Plex Sans" w:cs="IBM Plex Sans" w:eastAsia="IBM Plex Sans" w:hAnsi="IBM Plex Sans"/>
          <w:color w:val="334155"/>
          <w:sz w:val="22"/>
          <w:szCs w:val="22"/>
        </w:rPr>
        <w:t xml:space="preserve">Bukti efektivitas: sebuah studi kohort populasi di Lombardia, Italia (2018–2022) melaporkan vaksinasi Tdap pada kehamilan berkaitan dengan penurunan 88,6% risiko rawat inap/kunjungan gawat darurat akibat pertusis pada bayi usia di bawah 6 bulan, dan vaksinasi influenza berkaitan dengan penurunan 69,7% risiko serupa akibat influenza. Tinjauan sistematis Cochrane (Demicheli dkk., 2018) mengonfirmasi manfaat vaksinasi influenza pada kehamilan, sembari mencatat keterbatasan jumlah uji klinis acak bermutu tinggi yang tersedia hingga saat ini.</w:t>
      </w:r>
    </w:p>
    <w:p>
      <w:pPr>
        <w:pStyle w:val="Heading2"/>
        <w:spacing w:after="120" w:before="240"/>
      </w:pPr>
      <w:r>
        <w:rPr>
          <w:rFonts w:ascii="Source Serif 4" w:cs="Source Serif 4" w:eastAsia="Source Serif 4" w:hAnsi="Source Serif 4"/>
          <w:b/>
          <w:bCs/>
          <w:color w:val="B45309"/>
          <w:sz w:val="24"/>
          <w:szCs w:val="24"/>
        </w:rPr>
        <w:t xml:space="preserve">7.3 Tata Laksana Bedah/Prosedural</w:t>
      </w:r>
    </w:p>
    <w:p>
      <w:pPr>
        <w:spacing w:after="160" w:line="276"/>
      </w:pPr>
      <w:r>
        <w:rPr>
          <w:rFonts w:ascii="IBM Plex Sans" w:cs="IBM Plex Sans" w:eastAsia="IBM Plex Sans" w:hAnsi="IBM Plex Sans"/>
          <w:color w:val="334155"/>
          <w:sz w:val="22"/>
          <w:szCs w:val="22"/>
        </w:rPr>
        <w:t xml:space="preserve">Tidak berlaku untuk PPK ini — vaksinasi tidak melibatkan tindakan bedah atau prosedural invasif di luar injeksi intramuskular/subkutan rutin.</w:t>
      </w:r>
    </w:p>
    <w:p>
      <w:pPr>
        <w:pStyle w:val="Heading2"/>
        <w:spacing w:after="120" w:before="240"/>
      </w:pPr>
      <w:r>
        <w:rPr>
          <w:rFonts w:ascii="Source Serif 4" w:cs="Source Serif 4" w:eastAsia="Source Serif 4" w:hAnsi="Source Serif 4"/>
          <w:b/>
          <w:bCs/>
          <w:color w:val="B45309"/>
          <w:sz w:val="24"/>
          <w:szCs w:val="24"/>
        </w:rPr>
        <w:t xml:space="preserve">7.4 Kriteria Rujukan ke Subspesialis Obstetri Ginekologi Sosial</w:t>
      </w:r>
    </w:p>
    <w:p>
      <w:pPr>
        <w:pStyle w:val="ListParagraph"/>
        <w:numPr>
          <w:ilvl w:val="0"/>
          <w:numId w:val="1"/>
        </w:numPr>
        <w:spacing w:after="100"/>
      </w:pPr>
      <w:r>
        <w:rPr>
          <w:rFonts w:ascii="IBM Plex Sans" w:cs="IBM Plex Sans" w:eastAsia="IBM Plex Sans" w:hAnsi="IBM Plex Sans"/>
          <w:color w:val="334155"/>
          <w:sz w:val="22"/>
          <w:szCs w:val="22"/>
        </w:rPr>
        <w:t xml:space="preserve">Keraguan vaksin (vaccine hesitancy) yang signifikan dan memerlukan pendekatan konseling mendalam berbasis konteks sosial-budaya pasien.</w:t>
      </w:r>
    </w:p>
    <w:p>
      <w:pPr>
        <w:pStyle w:val="ListParagraph"/>
        <w:numPr>
          <w:ilvl w:val="0"/>
          <w:numId w:val="1"/>
        </w:numPr>
        <w:spacing w:after="100"/>
      </w:pPr>
      <w:r>
        <w:rPr>
          <w:rFonts w:ascii="IBM Plex Sans" w:cs="IBM Plex Sans" w:eastAsia="IBM Plex Sans" w:hAnsi="IBM Plex Sans"/>
          <w:color w:val="334155"/>
          <w:sz w:val="22"/>
          <w:szCs w:val="22"/>
        </w:rPr>
        <w:t xml:space="preserve">Kehamilan insidental ditemukan pada perempuan tanpa akses layanan antenatal terdaftar — memerlukan koordinasi rujukan sosial-medis untuk integrasi ke program pelayanan antenatal.</w:t>
      </w:r>
    </w:p>
    <w:p>
      <w:pPr>
        <w:pStyle w:val="ListParagraph"/>
        <w:numPr>
          <w:ilvl w:val="0"/>
          <w:numId w:val="1"/>
        </w:numPr>
        <w:spacing w:after="100"/>
      </w:pPr>
      <w:r>
        <w:rPr>
          <w:rFonts w:ascii="IBM Plex Sans" w:cs="IBM Plex Sans" w:eastAsia="IBM Plex Sans" w:hAnsi="IBM Plex Sans"/>
          <w:color w:val="334155"/>
          <w:sz w:val="22"/>
          <w:szCs w:val="22"/>
        </w:rPr>
        <w:t xml:space="preserve">Kasus dengan dugaan hambatan sosial-ekonomi, hukum, atau administratif terhadap akses vaksinasi/layanan antenatal berkelanjutan (misalnya status kependudukan tidak jelas, kekerasan dalam rumah tangga, remaja tanpa pendamping).</w:t>
      </w:r>
    </w:p>
    <w:p>
      <w:pPr>
        <w:pStyle w:val="ListParagraph"/>
        <w:numPr>
          <w:ilvl w:val="0"/>
          <w:numId w:val="1"/>
        </w:numPr>
        <w:spacing w:after="100"/>
      </w:pPr>
      <w:r>
        <w:rPr>
          <w:rFonts w:ascii="IBM Plex Sans" w:cs="IBM Plex Sans" w:eastAsia="IBM Plex Sans" w:hAnsi="IBM Plex Sans"/>
          <w:color w:val="334155"/>
          <w:sz w:val="22"/>
          <w:szCs w:val="22"/>
        </w:rPr>
        <w:t xml:space="preserve">Kebutuhan dokumentasi mediko-legal terkait status kehamilan insidental pada konteks pemeriksaan kesehatan kerja, pranikah, atau administratif lain.</w:t>
      </w:r>
    </w:p>
    <w:p>
      <w:pPr>
        <w:pStyle w:val="Heading1"/>
        <w:spacing w:after="160" w:before="320"/>
      </w:pPr>
      <w:r>
        <w:rPr>
          <w:rFonts w:ascii="Source Serif 4" w:cs="Source Serif 4" w:eastAsia="Source Serif 4" w:hAnsi="Source Serif 4"/>
          <w:b/>
          <w:bCs/>
          <w:color w:val="4F46E5"/>
          <w:sz w:val="28"/>
          <w:szCs w:val="28"/>
        </w:rPr>
        <w:t xml:space="preserve">8. Edukasi Pasien dan Keluarga</w:t>
      </w:r>
    </w:p>
    <w:p>
      <w:pPr>
        <w:pStyle w:val="ListParagraph"/>
        <w:numPr>
          <w:ilvl w:val="0"/>
          <w:numId w:val="1"/>
        </w:numPr>
        <w:spacing w:after="100"/>
      </w:pPr>
      <w:r>
        <w:rPr>
          <w:rFonts w:ascii="IBM Plex Sans" w:cs="IBM Plex Sans" w:eastAsia="IBM Plex Sans" w:hAnsi="IBM Plex Sans"/>
          <w:color w:val="334155"/>
          <w:sz w:val="22"/>
          <w:szCs w:val="22"/>
        </w:rPr>
        <w:t xml:space="preserve">Jelaskan bahwa temuan kehamilan bersifat insidental terhadap kunjungan awal, dan pentingnya segera mendaftar pada layanan antenatal terjadwal serta melengkapi pencatatan pada Buku KIA.</w:t>
      </w:r>
    </w:p>
    <w:p>
      <w:pPr>
        <w:pStyle w:val="ListParagraph"/>
        <w:numPr>
          <w:ilvl w:val="0"/>
          <w:numId w:val="1"/>
        </w:numPr>
        <w:spacing w:after="100"/>
      </w:pPr>
      <w:r>
        <w:rPr>
          <w:rFonts w:ascii="IBM Plex Sans" w:cs="IBM Plex Sans" w:eastAsia="IBM Plex Sans" w:hAnsi="IBM Plex Sans"/>
          <w:color w:val="334155"/>
          <w:sz w:val="22"/>
          <w:szCs w:val="22"/>
        </w:rPr>
        <w:t xml:space="preserve">Jelaskan perbedaan mendasar antara vaksin yang aman (inaktif/toksoid/subunit/mRNA) dan vaksin yang ditunda (hidup dilemahkan) selama kehamilan, dengan bahasa yang mudah dipahami.</w:t>
      </w:r>
    </w:p>
    <w:p>
      <w:pPr>
        <w:pStyle w:val="ListParagraph"/>
        <w:numPr>
          <w:ilvl w:val="0"/>
          <w:numId w:val="1"/>
        </w:numPr>
        <w:spacing w:after="100"/>
      </w:pPr>
      <w:r>
        <w:rPr>
          <w:rFonts w:ascii="IBM Plex Sans" w:cs="IBM Plex Sans" w:eastAsia="IBM Plex Sans" w:hAnsi="IBM Plex Sans"/>
          <w:color w:val="334155"/>
          <w:sz w:val="22"/>
          <w:szCs w:val="22"/>
        </w:rPr>
        <w:t xml:space="preserve">Sampaikan manfaat perlindungan pasif bagi bayi melalui transfer antibodi transplasenta, khususnya untuk Tdap dan influenza, disertai angka efektivitas dari studi yang relevan bila pasien menghendaki penjelasan lebih rinci.</w:t>
      </w:r>
    </w:p>
    <w:p>
      <w:pPr>
        <w:pStyle w:val="ListParagraph"/>
        <w:numPr>
          <w:ilvl w:val="0"/>
          <w:numId w:val="1"/>
        </w:numPr>
        <w:spacing w:after="100"/>
      </w:pPr>
      <w:r>
        <w:rPr>
          <w:rFonts w:ascii="IBM Plex Sans" w:cs="IBM Plex Sans" w:eastAsia="IBM Plex Sans" w:hAnsi="IBM Plex Sans"/>
          <w:color w:val="334155"/>
          <w:sz w:val="22"/>
          <w:szCs w:val="22"/>
        </w:rPr>
        <w:t xml:space="preserve">Diskusikan kekhawatiran umum terkait keamanan vaksin pada kehamilan dengan pendekatan berbasis bukti, tanpa meremehkan kekhawatiran pasien.</w:t>
      </w:r>
    </w:p>
    <w:p>
      <w:pPr>
        <w:pStyle w:val="ListParagraph"/>
        <w:numPr>
          <w:ilvl w:val="0"/>
          <w:numId w:val="1"/>
        </w:numPr>
        <w:spacing w:after="100"/>
      </w:pPr>
      <w:r>
        <w:rPr>
          <w:rFonts w:ascii="IBM Plex Sans" w:cs="IBM Plex Sans" w:eastAsia="IBM Plex Sans" w:hAnsi="IBM Plex Sans"/>
          <w:color w:val="334155"/>
          <w:sz w:val="22"/>
          <w:szCs w:val="22"/>
        </w:rPr>
        <w:t xml:space="preserve">Informasikan efek samping lokal/sistemik ringan yang umum terjadi dan kapan harus mencari pertolongan medis (reaksi alergi berat/anafilaksis).</w:t>
      </w:r>
    </w:p>
    <w:p>
      <w:pPr>
        <w:pStyle w:val="ListParagraph"/>
        <w:numPr>
          <w:ilvl w:val="0"/>
          <w:numId w:val="1"/>
        </w:numPr>
        <w:spacing w:after="100"/>
      </w:pPr>
      <w:r>
        <w:rPr>
          <w:rFonts w:ascii="IBM Plex Sans" w:cs="IBM Plex Sans" w:eastAsia="IBM Plex Sans" w:hAnsi="IBM Plex Sans"/>
          <w:color w:val="334155"/>
          <w:sz w:val="22"/>
          <w:szCs w:val="22"/>
        </w:rPr>
        <w:t xml:space="preserve">Libatkan pasangan/keluarga bila pasien menghendaki, khususnya pada konteks pengambilan keputusan bersama terkait kehamilan yang baru diketahui.</w:t>
      </w:r>
    </w:p>
    <w:p>
      <w:pPr>
        <w:pStyle w:val="Heading1"/>
        <w:spacing w:after="160" w:before="320"/>
      </w:pPr>
      <w:r>
        <w:rPr>
          <w:rFonts w:ascii="Source Serif 4" w:cs="Source Serif 4" w:eastAsia="Source Serif 4" w:hAnsi="Source Serif 4"/>
          <w:b/>
          <w:bCs/>
          <w:color w:val="4F46E5"/>
          <w:sz w:val="28"/>
          <w:szCs w:val="28"/>
        </w:rPr>
        <w:t xml:space="preserve">9. Prognosis</w:t>
      </w:r>
    </w:p>
    <w:p>
      <w:pPr>
        <w:spacing w:after="160" w:line="276"/>
      </w:pPr>
      <w:r>
        <w:rPr>
          <w:rFonts w:ascii="IBM Plex Sans" w:cs="IBM Plex Sans" w:eastAsia="IBM Plex Sans" w:hAnsi="IBM Plex Sans"/>
          <w:color w:val="334155"/>
          <w:sz w:val="22"/>
          <w:szCs w:val="22"/>
        </w:rPr>
        <w:t xml:space="preserve">Prognosis kehamilan pada perempuan yang menerima vaksinasi sesuai indikasi (inaktif/toksoid/subunit/mRNA) tidak berbeda dari populasi umum; tidak terdapat bukti peningkatan risiko keguguran, kelainan kongenital, kelahiran prematur, atau berat lahir rendah akibat vaksinasi yang direkomendasikan. Sebaliknya, tanpa vaksinasi pada indikasi yang tepat, ibu dan janin/neonatus berisiko lebih tinggi mengalami morbiditas berat akibat penyakit yang sebenarnya dapat dicegah — sebagaimana ditunjukkan oleh penurunan risiko rawat inap bayi sebesar 69–89% pada studi kohort populasi yang dikutip pada bagian 7.2.</w:t>
      </w:r>
    </w:p>
    <w:p>
      <w:pPr>
        <w:spacing w:after="160" w:line="276"/>
      </w:pPr>
      <w:r>
        <w:rPr>
          <w:rFonts w:ascii="IBM Plex Sans" w:cs="IBM Plex Sans" w:eastAsia="IBM Plex Sans" w:hAnsi="IBM Plex Sans"/>
          <w:color w:val="334155"/>
          <w:sz w:val="22"/>
          <w:szCs w:val="22"/>
        </w:rPr>
        <w:t xml:space="preserve">Bila vaksin hidup dilemahkan tidak sengaja diberikan sebelum kehamilan diketahui, sebagian besar data registri observasional tidak menunjukkan peningkatan risiko malformasi kongenital yang bermakna secara klinis; kehamilan tidak diindikasikan untuk diakhiri semata karena paparan vaksin hidup dilemahkan yang tidak disengaja — pasien dirujuk untuk konseling dan pemantauan antenatal standar.</w:t>
      </w:r>
    </w:p>
    <w:p>
      <w:pPr>
        <w:pStyle w:val="Heading1"/>
        <w:spacing w:after="160" w:before="320"/>
      </w:pPr>
      <w:r>
        <w:rPr>
          <w:rFonts w:ascii="Source Serif 4" w:cs="Source Serif 4" w:eastAsia="Source Serif 4" w:hAnsi="Source Serif 4"/>
          <w:b/>
          <w:bCs/>
          <w:color w:val="4F46E5"/>
          <w:sz w:val="28"/>
          <w:szCs w:val="28"/>
        </w:rPr>
        <w:t xml:space="preserve">10. Tingkat Evidens dan Rekomendasi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Pernyataan</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Kekuatan Rekomendasi</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Vaksinasi Tdap dianjurkan setiap kehamilan pada jendela 27–36 minggu</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II-2 (studi kohort/observasional besar)</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 — direkomendasikan kuat</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Committee Statement No. 26 (2026); WHO Position Paper (2015); Amirthalingam dkk. (2014)</w:t>
            </w:r>
          </w:p>
        </w:tc>
      </w:tr>
      <w:tr>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Vaksinasi influenza inaktif dianjurkan pada trimester berapa pun selama musim penularan</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I–II (meta-analisis Cochrane dan studi kohort populasi, dengan keterbatasan jumlah RCT bermutu tinggi)</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 — direkomendasikan, dengan pengungkapan keterbatasan bukti RCT kepada pasien</w:t>
            </w:r>
          </w:p>
        </w:tc>
        <w:tc>
          <w:tcPr>
            <w:tcW w:type="dxa" w:w="2256"/>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Cochrane CD001269.pub6 (Demicheli dkk., 2018); ACOG (2026)</w:t>
            </w:r>
          </w:p>
        </w:tc>
      </w:tr>
      <w:tr>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Vaksin hidup dilemahkan (MMR, varisela) dikontraindikasikan selama kehamilan</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III (konsensus ahli, data keamanan farmakologis)</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 — kontraindikasi kuat</w:t>
            </w:r>
          </w:p>
        </w:tc>
        <w:tc>
          <w:tcPr>
            <w:tcW w:type="dxa" w:w="2256"/>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(2015); ACOG (2026); RCOG</w:t>
            </w:r>
          </w:p>
        </w:tc>
      </w:tr>
    </w:tbl>
    <w:p>
      <w:pPr>
        <w:spacing w:after="160"/>
      </w:pPr>
    </w:p>
    <w:p>
      <w:pPr>
        <w:spacing w:after="160" w:line="276"/>
      </w:pPr>
      <w:r>
        <w:rPr>
          <w:rFonts w:ascii="IBM Plex Sans" w:cs="IBM Plex Sans" w:eastAsia="IBM Plex Sans" w:hAnsi="IBM Plex Sans"/>
          <w:color w:val="334155"/>
          <w:sz w:val="22"/>
          <w:szCs w:val="22"/>
        </w:rPr>
        <w:t xml:space="preserve">Skala evidens mengikuti sistem tingkatan bukti yang lazim digunakan pada Panduan Praktik Klinis (I: uji klinis acak terkontrol; II-1/II-2: studi kohort/kasus-kontrol terkendali baik; II-3: seri kasus/data observasional; III: opini ahli/konsensus).</w:t>
      </w:r>
    </w:p>
    <w:p>
      <w:pPr>
        <w:pStyle w:val="Heading1"/>
        <w:spacing w:after="160" w:before="320"/>
      </w:pPr>
      <w:r>
        <w:rPr>
          <w:rFonts w:ascii="Source Serif 4" w:cs="Source Serif 4" w:eastAsia="Source Serif 4" w:hAnsi="Source Serif 4"/>
          <w:b/>
          <w:bCs/>
          <w:color w:val="4F46E5"/>
          <w:sz w:val="28"/>
          <w:szCs w:val="28"/>
        </w:rPr>
        <w:t xml:space="preserve">11. Indikator Medis</w:t>
      </w:r>
    </w:p>
    <w:p>
      <w:pPr>
        <w:pStyle w:val="ListParagraph"/>
        <w:numPr>
          <w:ilvl w:val="0"/>
          <w:numId w:val="1"/>
        </w:numPr>
        <w:spacing w:after="100"/>
      </w:pPr>
      <w:r>
        <w:rPr>
          <w:rFonts w:ascii="IBM Plex Sans" w:cs="IBM Plex Sans" w:eastAsia="IBM Plex Sans" w:hAnsi="IBM Plex Sans"/>
          <w:color w:val="334155"/>
          <w:sz w:val="22"/>
          <w:szCs w:val="22"/>
        </w:rPr>
        <w:t xml:space="preserve">Proporsi perempuan hamil dengan temuan insidental yang menerima konseling vaksinasi terdokumentasi pada kunjungan indeks (target: seluruh populasi sasaran yang teridentifikasi).</w:t>
      </w:r>
    </w:p>
    <w:p>
      <w:pPr>
        <w:pStyle w:val="ListParagraph"/>
        <w:numPr>
          <w:ilvl w:val="0"/>
          <w:numId w:val="1"/>
        </w:numPr>
        <w:spacing w:after="100"/>
      </w:pPr>
      <w:r>
        <w:rPr>
          <w:rFonts w:ascii="IBM Plex Sans" w:cs="IBM Plex Sans" w:eastAsia="IBM Plex Sans" w:hAnsi="IBM Plex Sans"/>
          <w:color w:val="334155"/>
          <w:sz w:val="22"/>
          <w:szCs w:val="22"/>
        </w:rPr>
        <w:t xml:space="preserve">Proporsi perempuan hamil yang menerima Tdap pada jendela gestasi yang direkomendasikan (27–36 minggu) dari seluruh kehamilan yang teridentifikasi melalui PPK ini.</w:t>
      </w:r>
    </w:p>
    <w:p>
      <w:pPr>
        <w:pStyle w:val="ListParagraph"/>
        <w:numPr>
          <w:ilvl w:val="0"/>
          <w:numId w:val="1"/>
        </w:numPr>
        <w:spacing w:after="100"/>
      </w:pPr>
      <w:r>
        <w:rPr>
          <w:rFonts w:ascii="IBM Plex Sans" w:cs="IBM Plex Sans" w:eastAsia="IBM Plex Sans" w:hAnsi="IBM Plex Sans"/>
          <w:color w:val="334155"/>
          <w:sz w:val="22"/>
          <w:szCs w:val="22"/>
        </w:rPr>
        <w:t xml:space="preserve">Proporsi kasus dengan vaksin hidup dilemahkan yang secara tepat ditunda hingga pascasalin, bukan diberikan selama kehamilan (target kepatuhan kontraindikasi: seluruh kasus).</w:t>
      </w:r>
    </w:p>
    <w:p>
      <w:pPr>
        <w:pStyle w:val="ListParagraph"/>
        <w:numPr>
          <w:ilvl w:val="0"/>
          <w:numId w:val="1"/>
        </w:numPr>
        <w:spacing w:after="100"/>
      </w:pPr>
      <w:r>
        <w:rPr>
          <w:rFonts w:ascii="IBM Plex Sans" w:cs="IBM Plex Sans" w:eastAsia="IBM Plex Sans" w:hAnsi="IBM Plex Sans"/>
          <w:color w:val="334155"/>
          <w:sz w:val="22"/>
          <w:szCs w:val="22"/>
        </w:rPr>
        <w:t xml:space="preserve">Proporsi perempuan hamil insidental yang berhasil dirujuk dan terdaftar pada layanan antenatal terjadwal dalam waktu yang wajar setelah episode vaksinasi.</w:t>
      </w:r>
    </w:p>
    <w:p>
      <w:pPr>
        <w:pStyle w:val="ListParagraph"/>
        <w:numPr>
          <w:ilvl w:val="0"/>
          <w:numId w:val="1"/>
        </w:numPr>
        <w:spacing w:after="100"/>
      </w:pPr>
      <w:r>
        <w:rPr>
          <w:rFonts w:ascii="IBM Plex Sans" w:cs="IBM Plex Sans" w:eastAsia="IBM Plex Sans" w:hAnsi="IBM Plex Sans"/>
          <w:color w:val="334155"/>
          <w:sz w:val="22"/>
          <w:szCs w:val="22"/>
        </w:rPr>
        <w:t xml:space="preserve">Angka kejadian ikutan pasca-imunisasi (KIPI) berat yang dilaporkan pada populasi sasaran, dipantau sesuai sistem surveilans farmakovigilans nasional [DATA: rujuk sistem pelaporan KIPI Kemenkes RI/BPOM terbaru].</w:t>
      </w:r>
    </w:p>
    <w:p>
      <w:pPr>
        <w:pStyle w:val="Heading1"/>
        <w:spacing w:after="16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Standar nasional (Kepkonsil) menetapkan kategori "Vaksinasi pada perempuan / Pregnancy state, insidental" sebagai entri tersendiri dalam Tabel 7 tanpa memerinci jenis vaksin per situasi klinis; PPK ini karenanya menyusun kerangka operasional berbasis rujukan internasional berikut, dengan penegasan bahwa praktik di Indonesia tetap mengikuti Program Imunisasi Nasional yang berlaku.</w:t>
      </w:r>
    </w:p>
    <w:p>
      <w:pPr>
        <w:pStyle w:val="ListParagraph"/>
        <w:numPr>
          <w:ilvl w:val="0"/>
          <w:numId w:val="1"/>
        </w:numPr>
        <w:spacing w:after="100"/>
      </w:pPr>
      <w:r>
        <w:rPr>
          <w:rFonts w:ascii="IBM Plex Sans" w:cs="IBM Plex Sans" w:eastAsia="IBM Plex Sans" w:hAnsi="IBM Plex Sans"/>
          <w:color w:val="334155"/>
          <w:sz w:val="22"/>
          <w:szCs w:val="22"/>
        </w:rPr>
        <w:t xml:space="preserve">ACOG (Committee Statement No. 26 — Maternal Immunizations, 2026) merekomendasikan Tdap setiap kehamilan pada jendela 27–36 minggu, influenza inaktif/rekombinan pada trimester berapa pun selama musim penularan, RSV pada jendela gestasi tertentu, dan COVID-19 pada trimester berapa pun, dengan penegasan tidak ada bukti efek fetal merugikan dari vaksin mRNA, inaktif, bakteri, atau toksoid.</w:t>
      </w:r>
    </w:p>
    <w:p>
      <w:pPr>
        <w:pStyle w:val="ListParagraph"/>
        <w:numPr>
          <w:ilvl w:val="0"/>
          <w:numId w:val="1"/>
        </w:numPr>
        <w:spacing w:after="100"/>
      </w:pPr>
      <w:r>
        <w:rPr>
          <w:rFonts w:ascii="IBM Plex Sans" w:cs="IBM Plex Sans" w:eastAsia="IBM Plex Sans" w:hAnsi="IBM Plex Sans"/>
          <w:color w:val="334155"/>
          <w:sz w:val="22"/>
          <w:szCs w:val="22"/>
        </w:rPr>
        <w:t xml:space="preserve">WHO (Position Paper Pertusis, 2015) menyatakan vaksinasi pertusis pada ibu hamil sebagai strategi tambahan yang cost-effective untuk mencegah penyakit pada bayi yang terlalu muda untuk divaksinasi langsung.</w:t>
      </w:r>
    </w:p>
    <w:p>
      <w:pPr>
        <w:pStyle w:val="ListParagraph"/>
        <w:numPr>
          <w:ilvl w:val="0"/>
          <w:numId w:val="1"/>
        </w:numPr>
        <w:spacing w:after="100"/>
      </w:pPr>
      <w:r>
        <w:rPr>
          <w:rFonts w:ascii="IBM Plex Sans" w:cs="IBM Plex Sans" w:eastAsia="IBM Plex Sans" w:hAnsi="IBM Plex Sans"/>
          <w:color w:val="334155"/>
          <w:sz w:val="22"/>
          <w:szCs w:val="22"/>
        </w:rPr>
        <w:t xml:space="preserve">Amirthalingam dkk. (Lancet, 2014) melaporkan efektivitas vaksinasi pertusis maternal sebesar 91% (IK95% 84–95) dalam mencegah pertusis pada bayi berusia di bawah 3 bulan, berdasarkan program vaksinasi kehamilan di Inggris.</w:t>
      </w:r>
    </w:p>
    <w:p>
      <w:pPr>
        <w:pStyle w:val="ListParagraph"/>
        <w:numPr>
          <w:ilvl w:val="0"/>
          <w:numId w:val="1"/>
        </w:numPr>
        <w:spacing w:after="100"/>
      </w:pPr>
      <w:r>
        <w:rPr>
          <w:rFonts w:ascii="IBM Plex Sans" w:cs="IBM Plex Sans" w:eastAsia="IBM Plex Sans" w:hAnsi="IBM Plex Sans"/>
          <w:color w:val="334155"/>
          <w:sz w:val="22"/>
          <w:szCs w:val="22"/>
        </w:rPr>
        <w:t xml:space="preserve">Cochrane Systematic Review (Demicheli dkk., 2018, CD001269.pub6) mengonfirmasi vaksinasi influenza pada ibu hamil direkomendasikan secara internasional, sembari mencatat keterbatasan jumlah uji klinis acak bermutu tinggi — mendukung pendekatan pengungkapan ketidakpastian bukti kepada pasien saat konseling, bukan penundaan vaksinasi itu sendiri.</w:t>
      </w:r>
    </w:p>
    <w:p>
      <w:pPr>
        <w:pStyle w:val="ListParagraph"/>
        <w:numPr>
          <w:ilvl w:val="0"/>
          <w:numId w:val="1"/>
        </w:numPr>
        <w:spacing w:after="100"/>
      </w:pPr>
      <w:r>
        <w:rPr>
          <w:rFonts w:ascii="IBM Plex Sans" w:cs="IBM Plex Sans" w:eastAsia="IBM Plex Sans" w:hAnsi="IBM Plex Sans"/>
          <w:color w:val="334155"/>
          <w:sz w:val="22"/>
          <w:szCs w:val="22"/>
        </w:rPr>
        <w:t xml:space="preserve">RCOG (COVID-19 Vaccines, Pregnancy and Breastfeeding FAQs, diperbarui Oktober 2023) menegaskan vaksin hidup dilemahkan umumnya dikontraindikasikan pada kehamilan karena risiko teoretis terhadap janin, sejalan dengan posisi ACOG dan WHO di atas.</w:t>
      </w:r>
    </w:p>
    <w:p>
      <w:pPr>
        <w:pStyle w:val="ListParagraph"/>
        <w:numPr>
          <w:ilvl w:val="0"/>
          <w:numId w:val="1"/>
        </w:numPr>
        <w:spacing w:after="100"/>
      </w:pPr>
      <w:r>
        <w:rPr>
          <w:rFonts w:ascii="IBM Plex Sans" w:cs="IBM Plex Sans" w:eastAsia="IBM Plex Sans" w:hAnsi="IBM Plex Sans"/>
          <w:color w:val="334155"/>
          <w:sz w:val="22"/>
          <w:szCs w:val="22"/>
        </w:rPr>
        <w:t xml:space="preserve">NICE (Quality Standard QS22) memasukkan vaksinasi influenza dan pertusis ke dalam standar kualitas rutin layanan antenatal di Inggris, menegaskan bahwa penawaran vaksinasi pada setiap kunjungan antenatal — termasuk kunjungan yang bukan primer untuk tujuan vaksinasi — meningkatkan cakupan populasi.</w:t>
      </w:r>
    </w:p>
    <w:tbl>
      <w:tblPr>
        <w:tblW w:type="pct" w:w="100%"/>
        <w:tblBorders>
          <w:top w:val="single" w:color="B45309" w:sz="12"/>
          <w:left w:val="single" w:color="B45309" w:sz="12"/>
          <w:bottom w:val="single" w:color="B45309" w:sz="12"/>
          <w:right w:val="single" w:color="B45309" w:sz="12"/>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80"/>
            </w:pPr>
            <w:r>
              <w:rPr>
                <w:rFonts w:ascii="IBM Plex Mono" w:cs="IBM Plex Mono" w:eastAsia="IBM Plex Mono" w:hAnsi="IBM Plex Mono"/>
                <w:b/>
                <w:bCs/>
                <w:color w:val="B45309"/>
                <w:sz w:val="20"/>
                <w:szCs w:val="20"/>
              </w:rPr>
              <w:t xml:space="preserve">Catatan Perkembangan Kebijakan Internasional Terkini</w:t>
            </w:r>
          </w:p>
          <w:p>
            <w:r>
              <w:rPr>
                <w:rFonts w:ascii="IBM Plex Sans" w:cs="IBM Plex Sans" w:eastAsia="IBM Plex Sans" w:hAnsi="IBM Plex Sans"/>
                <w:color w:val="334155"/>
                <w:sz w:val="20"/>
                <w:szCs w:val="20"/>
              </w:rPr>
              <w:t xml:space="preserve">Sejak pertengahan 2025, otoritas kesehatan federal Amerika Serikat (CDC) mengubah rekomendasi vaksinasi COVID-19 pada kehamilan dari rekomendasi universal menjadi model pengambilan keputusan bersama (shared clinical decision-making), berbeda dari posisi ACOG yang tetap merekomendasikan vaksinasi COVID-19 pada trimester berapa pun. Pada Juni 2026, ACOG untuk pertama kalinya menerbitkan jadwal imunisasi maternal secara independen dari CDC. Perbedaan ini bersifat spesifik terhadap konteks kebijakan Amerika Serikat dan tidak mengubah dasar ilmiah keamanan-efektivitas vaksin COVID-19 pada kehamilan; praktik di Indonesia tetap mengacu pada Program Imunisasi Nasional Kementerian Kesehatan RI yang berlaku.</w:t>
            </w:r>
          </w:p>
        </w:tc>
      </w:tr>
    </w:tbl>
    <w:p>
      <w:pPr>
        <w:spacing w:after="160"/>
      </w:pPr>
    </w:p>
    <w:tbl>
      <w:tblPr>
        <w:tblW w:type="pct" w:w="100%"/>
        <w:tblBorders>
          <w:top w:val="single" w:color="B45309" w:sz="12"/>
          <w:left w:val="single" w:color="B45309" w:sz="12"/>
          <w:bottom w:val="single" w:color="B45309" w:sz="12"/>
          <w:right w:val="single" w:color="B45309" w:sz="12"/>
          <w:insideH w:val="single" w:color="auto" w:sz="4"/>
          <w:insideV w:val="single" w:color="auto" w:sz="4"/>
        </w:tblBorders>
      </w:tblPr>
      <w:tblGrid>
        <w:gridCol w:w="100"/>
      </w:tblGrid>
      <w:tr>
        <w:tc>
          <w:tcPr>
            <w:shd w:fill="FFFBEB" w:val="clear"/>
            <w:tcMar>
              <w:top w:type="dxa" w:w="160"/>
              <w:left w:type="dxa" w:w="200"/>
              <w:bottom w:type="dxa" w:w="160"/>
              <w:right w:type="dxa" w:w="200"/>
            </w:tcMar>
          </w:tcPr>
          <w:p>
            <w:pPr>
              <w:spacing w:after="80"/>
            </w:pPr>
            <w:r>
              <w:rPr>
                <w:rFonts w:ascii="IBM Plex Mono" w:cs="IBM Plex Mono" w:eastAsia="IBM Plex Mono" w:hAnsi="IBM Plex Mono"/>
                <w:b/>
                <w:bCs/>
                <w:color w:val="B45309"/>
                <w:sz w:val="20"/>
                <w:szCs w:val="20"/>
              </w:rPr>
              <w:t xml:space="preserve">Pernyataan Perbedaan Standar</w:t>
            </w:r>
          </w:p>
          <w:p>
            <w:r>
              <w:rPr>
                <w:rFonts w:ascii="IBM Plex Sans" w:cs="IBM Plex Sans" w:eastAsia="IBM Plex Sans" w:hAnsi="IBM Plex Sans"/>
                <w:color w:val="334155"/>
                <w:sz w:val="20"/>
                <w:szCs w:val="20"/>
              </w:rPr>
              <w:t xml:space="preserve">Tidak terdapat perbedaan signifikan antara standar nasional dan standar internasional pada prinsip keamanan vaksin selama kehamilan (vaksin inaktif/toksoid/subunit/mRNA aman, vaksin hidup dilemahkan ditunda). Perbedaan utama terletak pada ketersediaan produk vaksin tertentu (misalnya vaksin RSV ibu hamil) dan jadwal Program Imunisasi Nasional, yang mengikuti kebijakan Kementerian Kesehatan RI dan bukan standar internasional secara langsung.</w:t>
            </w:r>
          </w:p>
        </w:tc>
      </w:tr>
    </w:tbl>
    <w:p>
      <w:pPr>
        <w:spacing w:after="160"/>
      </w:pPr>
    </w:p>
    <w:p>
      <w:pPr>
        <w:pStyle w:val="Heading1"/>
        <w:spacing w:after="160" w:before="320"/>
      </w:pPr>
      <w:r>
        <w:rPr>
          <w:rFonts w:ascii="Source Serif 4" w:cs="Source Serif 4" w:eastAsia="Source Serif 4" w:hAnsi="Source Serif 4"/>
          <w:b/>
          <w:bCs/>
          <w:color w:val="4F46E5"/>
          <w:sz w:val="28"/>
          <w:szCs w:val="28"/>
        </w:rPr>
        <w:t xml:space="preserve">13. Kepustakaan</w:t>
      </w:r>
    </w:p>
    <w:p>
      <w:pPr>
        <w:spacing w:after="120"/>
      </w:pPr>
      <w:r>
        <w:rPr>
          <w:rFonts w:ascii="IBM Plex Sans" w:cs="IBM Plex Sans" w:eastAsia="IBM Plex Sans" w:hAnsi="IBM Plex Sans"/>
          <w:color w:val="334155"/>
          <w:sz w:val="20"/>
          <w:szCs w:val="20"/>
        </w:rPr>
        <w:t xml:space="preserve">1. Konsil Kesehatan Indonesia. Keputusan Ketua Konsil Kesehatan Indonesia No. HK.01.02/KKI/1318/2026 tentang Standar Kompetensi Dokter Spesialis dan Subspesialis Bidang Obstetri dan Ginekologi. Tabel 7, No. 73.</w:t>
      </w:r>
    </w:p>
    <w:p>
      <w:pPr>
        <w:spacing w:after="120"/>
      </w:pPr>
      <w:r>
        <w:rPr>
          <w:rFonts w:ascii="IBM Plex Sans" w:cs="IBM Plex Sans" w:eastAsia="IBM Plex Sans" w:hAnsi="IBM Plex Sans"/>
          <w:color w:val="334155"/>
          <w:sz w:val="20"/>
          <w:szCs w:val="20"/>
        </w:rPr>
        <w:t xml:space="preserve">2. American College of Obstetricians and Gynecologists (ACOG). Maternal Immunizations. Committee Statement No. 26. Obstet Gynecol. 2026 Feb 17.</w:t>
      </w:r>
    </w:p>
    <w:p>
      <w:pPr>
        <w:spacing w:after="120"/>
      </w:pPr>
      <w:r>
        <w:rPr>
          <w:rFonts w:ascii="IBM Plex Sans" w:cs="IBM Plex Sans" w:eastAsia="IBM Plex Sans" w:hAnsi="IBM Plex Sans"/>
          <w:color w:val="334155"/>
          <w:sz w:val="20"/>
          <w:szCs w:val="20"/>
        </w:rPr>
        <w:t xml:space="preserve">3. American College of Obstetricians and Gynecologists (ACOG). 2026 Maternal Immunization Schedule.</w:t>
      </w:r>
    </w:p>
    <w:p>
      <w:pPr>
        <w:spacing w:after="120"/>
      </w:pPr>
      <w:r>
        <w:rPr>
          <w:rFonts w:ascii="IBM Plex Sans" w:cs="IBM Plex Sans" w:eastAsia="IBM Plex Sans" w:hAnsi="IBM Plex Sans"/>
          <w:color w:val="334155"/>
          <w:sz w:val="20"/>
          <w:szCs w:val="20"/>
        </w:rPr>
        <w:t xml:space="preserve">4. World Health Organization (WHO). Pertussis vaccines: WHO position paper, August 2015. Weekly Epidemiological Record. 2015;90(35):433–460.</w:t>
      </w:r>
    </w:p>
    <w:p>
      <w:pPr>
        <w:spacing w:after="120"/>
      </w:pPr>
      <w:r>
        <w:rPr>
          <w:rFonts w:ascii="IBM Plex Sans" w:cs="IBM Plex Sans" w:eastAsia="IBM Plex Sans" w:hAnsi="IBM Plex Sans"/>
          <w:color w:val="334155"/>
          <w:sz w:val="20"/>
          <w:szCs w:val="20"/>
        </w:rPr>
        <w:t xml:space="preserve">5. Amirthalingam G, Andrews N, Campbell H, Ribeiro S, Kara E, Donegan K, Fry NK, Miller E, Ramsay M. Effectiveness of maternal pertussis vaccination in England: an observational study. Lancet. 2014;384(9953):1521–1528.</w:t>
      </w:r>
    </w:p>
    <w:p>
      <w:pPr>
        <w:spacing w:after="120"/>
      </w:pPr>
      <w:r>
        <w:rPr>
          <w:rFonts w:ascii="IBM Plex Sans" w:cs="IBM Plex Sans" w:eastAsia="IBM Plex Sans" w:hAnsi="IBM Plex Sans"/>
          <w:color w:val="334155"/>
          <w:sz w:val="20"/>
          <w:szCs w:val="20"/>
        </w:rPr>
        <w:t xml:space="preserve">6. Demicheli V, Jefferson T, Ferroni E, Rivetti A, Di Pietrantonj C. Vaccines for preventing influenza in healthy adults. Cochrane Database Syst Rev. 2018;2(2):CD001269.</w:t>
      </w:r>
    </w:p>
    <w:p>
      <w:pPr>
        <w:spacing w:after="120"/>
      </w:pPr>
      <w:r>
        <w:rPr>
          <w:rFonts w:ascii="IBM Plex Sans" w:cs="IBM Plex Sans" w:eastAsia="IBM Plex Sans" w:hAnsi="IBM Plex Sans"/>
          <w:color w:val="334155"/>
          <w:sz w:val="20"/>
          <w:szCs w:val="20"/>
        </w:rPr>
        <w:t xml:space="preserve">7. Demicheli V, Barale A, Rivetti A. Vaccines for women for preventing neonatal tetanus. Cochrane Database Syst Rev. 2015;2015(7):CD002959.</w:t>
      </w:r>
    </w:p>
    <w:p>
      <w:pPr>
        <w:spacing w:after="120"/>
      </w:pPr>
      <w:r>
        <w:rPr>
          <w:rFonts w:ascii="IBM Plex Sans" w:cs="IBM Plex Sans" w:eastAsia="IBM Plex Sans" w:hAnsi="IBM Plex Sans"/>
          <w:color w:val="334155"/>
          <w:sz w:val="20"/>
          <w:szCs w:val="20"/>
        </w:rPr>
        <w:t xml:space="preserve">8. Corrao G, et al. Maternal vaccine receipt and infant hospital and emergency visits for influenza and pertussis. [studi kohort populasi, Lombardia, Italia, 2018–2022].</w:t>
      </w:r>
    </w:p>
    <w:p>
      <w:pPr>
        <w:spacing w:after="120"/>
      </w:pPr>
      <w:r>
        <w:rPr>
          <w:rFonts w:ascii="IBM Plex Sans" w:cs="IBM Plex Sans" w:eastAsia="IBM Plex Sans" w:hAnsi="IBM Plex Sans"/>
          <w:color w:val="334155"/>
          <w:sz w:val="20"/>
          <w:szCs w:val="20"/>
        </w:rPr>
        <w:t xml:space="preserve">9. Royal College of Obstetricians and Gynaecologists (RCOG). COVID-19 vaccines, pregnancy and breastfeeding FAQs. Diperbarui Oktober 2023.</w:t>
      </w:r>
    </w:p>
    <w:p>
      <w:pPr>
        <w:spacing w:after="120"/>
      </w:pPr>
      <w:r>
        <w:rPr>
          <w:rFonts w:ascii="IBM Plex Sans" w:cs="IBM Plex Sans" w:eastAsia="IBM Plex Sans" w:hAnsi="IBM Plex Sans"/>
          <w:color w:val="334155"/>
          <w:sz w:val="20"/>
          <w:szCs w:val="20"/>
        </w:rPr>
        <w:t xml:space="preserve">10. National Institute for Health and Care Excellence (NICE). Antenatal care: Quality standard QS22 — Quality statement 4: Vaccination.</w:t>
      </w:r>
    </w:p>
    <w:p>
      <w:pPr>
        <w:spacing w:after="120"/>
      </w:pPr>
      <w:r>
        <w:rPr>
          <w:rFonts w:ascii="IBM Plex Sans" w:cs="IBM Plex Sans" w:eastAsia="IBM Plex Sans" w:hAnsi="IBM Plex Sans"/>
          <w:color w:val="334155"/>
          <w:sz w:val="20"/>
          <w:szCs w:val="20"/>
        </w:rPr>
        <w:t xml:space="preserve">11. American College of Obstetricians and Gynecologists (ACOG). Update on Immunization and Pregnancy: Tetanus, Diphtheria, and Pertussis Vaccination. Committee Opinion No. 718. Obstet Gynecol. 2017;130:e153–157.</w:t>
      </w:r>
    </w:p>
    <w:p>
      <w:pPr>
        <w:spacing w:after="120"/>
      </w:pPr>
      <w:r>
        <w:rPr>
          <w:rFonts w:ascii="IBM Plex Sans" w:cs="IBM Plex Sans" w:eastAsia="IBM Plex Sans" w:hAnsi="IBM Plex Sans"/>
          <w:color w:val="334155"/>
          <w:sz w:val="20"/>
          <w:szCs w:val="20"/>
        </w:rPr>
        <w:t xml:space="preserve">12. Boden S. Leading OB-GYN society breaks from CDC on recommended vaccines for pregnant women, including COVID-19. CIDRAP News, Center for Infectious Disease Research and Policy, University of Minnesota. Juni 2026.</w:t>
      </w:r>
    </w:p>
    <w:p>
      <w:pPr>
        <w:spacing w:after="120"/>
      </w:pPr>
      <w:r>
        <w:rPr>
          <w:rFonts w:ascii="IBM Plex Sans" w:cs="IBM Plex Sans" w:eastAsia="IBM Plex Sans" w:hAnsi="IBM Plex Sans"/>
          <w:color w:val="334155"/>
          <w:sz w:val="20"/>
          <w:szCs w:val="20"/>
        </w:rPr>
        <w:t xml:space="preserve">13. Kementerian Kesehatan Republik Indonesia. Buku Kesehatan Ibu dan Anak (Buku KIA).</w:t>
      </w:r>
    </w:p>
    <w:p>
      <w:pPr>
        <w:spacing w:after="120"/>
      </w:pPr>
      <w:r>
        <w:rPr>
          <w:rFonts w:ascii="IBM Plex Sans" w:cs="IBM Plex Sans" w:eastAsia="IBM Plex Sans" w:hAnsi="IBM Plex Sans"/>
          <w:color w:val="334155"/>
          <w:sz w:val="20"/>
          <w:szCs w:val="20"/>
        </w:rPr>
        <w:t xml:space="preserve">14. [DATA: cakupan vaksinasi pada perempuan hamil di Indonesia dan capaian imunisasi Td/TT pada wanita usia subur — rujuk laporan/registri resmi terbaru Kementerian Kesehatan RI, BKKBN, atau POGI]</w:t>
      </w:r>
    </w:p>
    <w:p>
      <w:pPr>
        <w:pStyle w:val="Heading1"/>
        <w:spacing w:after="160" w:before="320"/>
      </w:pPr>
      <w:r>
        <w:rPr>
          <w:rFonts w:ascii="Source Serif 4" w:cs="Source Serif 4" w:eastAsia="Source Serif 4" w:hAnsi="Source Serif 4"/>
          <w:b/>
          <w:bCs/>
          <w:color w:val="4F46E5"/>
          <w:sz w:val="28"/>
          <w:szCs w:val="28"/>
        </w:rPr>
        <w:t xml:space="preserve">14. Glosarium</w:t>
      </w:r>
    </w:p>
    <w:p>
      <w:pPr>
        <w:spacing w:after="100"/>
      </w:pPr>
      <w:r>
        <w:rPr>
          <w:rFonts w:ascii="IBM Plex Sans" w:cs="IBM Plex Sans" w:eastAsia="IBM Plex Sans" w:hAnsi="IBM Plex Sans"/>
          <w:b/>
          <w:bCs/>
          <w:color w:val="334155"/>
          <w:sz w:val="20"/>
          <w:szCs w:val="20"/>
        </w:rPr>
        <w:t xml:space="preserve">Insidental — </w:t>
      </w:r>
      <w:r>
        <w:rPr>
          <w:rFonts w:ascii="IBM Plex Sans" w:cs="IBM Plex Sans" w:eastAsia="IBM Plex Sans" w:hAnsi="IBM Plex Sans"/>
          <w:color w:val="334155"/>
          <w:sz w:val="20"/>
          <w:szCs w:val="20"/>
        </w:rPr>
        <w:t xml:space="preserve">Bersifat ditemukan secara tidak sengaja atau sebagai penyerta, bukan sebagai tujuan utama pemeriksaan atau kunjungan.</w:t>
      </w:r>
    </w:p>
    <w:p>
      <w:pPr>
        <w:spacing w:after="100"/>
      </w:pPr>
      <w:r>
        <w:rPr>
          <w:rFonts w:ascii="IBM Plex Sans" w:cs="IBM Plex Sans" w:eastAsia="IBM Plex Sans" w:hAnsi="IBM Plex Sans"/>
          <w:b/>
          <w:bCs/>
          <w:color w:val="334155"/>
          <w:sz w:val="20"/>
          <w:szCs w:val="20"/>
        </w:rPr>
        <w:t xml:space="preserve">Vaksin inaktif — </w:t>
      </w:r>
      <w:r>
        <w:rPr>
          <w:rFonts w:ascii="IBM Plex Sans" w:cs="IBM Plex Sans" w:eastAsia="IBM Plex Sans" w:hAnsi="IBM Plex Sans"/>
          <w:color w:val="334155"/>
          <w:sz w:val="20"/>
          <w:szCs w:val="20"/>
        </w:rPr>
        <w:t xml:space="preserve">Vaksin yang dibuat dari patogen yang telah dimatikan sehingga tidak dapat bereplikasi maupun menyebabkan infeksi; umumnya aman diberikan selama kehamilan.</w:t>
      </w:r>
    </w:p>
    <w:p>
      <w:pPr>
        <w:spacing w:after="100"/>
      </w:pPr>
      <w:r>
        <w:rPr>
          <w:rFonts w:ascii="IBM Plex Sans" w:cs="IBM Plex Sans" w:eastAsia="IBM Plex Sans" w:hAnsi="IBM Plex Sans"/>
          <w:b/>
          <w:bCs/>
          <w:color w:val="334155"/>
          <w:sz w:val="20"/>
          <w:szCs w:val="20"/>
        </w:rPr>
        <w:t xml:space="preserve">Vaksin hidup dilemahkan (live-attenuated) — </w:t>
      </w:r>
      <w:r>
        <w:rPr>
          <w:rFonts w:ascii="IBM Plex Sans" w:cs="IBM Plex Sans" w:eastAsia="IBM Plex Sans" w:hAnsi="IBM Plex Sans"/>
          <w:color w:val="334155"/>
          <w:sz w:val="20"/>
          <w:szCs w:val="20"/>
        </w:rPr>
        <w:t xml:space="preserve">Vaksin yang dibuat dari patogen hidup yang dilemahkan virulensinya; secara teoretis dapat bereplikasi terbatas dalam tubuh sehingga umumnya dikontraindikasikan selama kehamilan.</w:t>
      </w:r>
    </w:p>
    <w:p>
      <w:pPr>
        <w:spacing w:after="100"/>
      </w:pPr>
      <w:r>
        <w:rPr>
          <w:rFonts w:ascii="IBM Plex Sans" w:cs="IBM Plex Sans" w:eastAsia="IBM Plex Sans" w:hAnsi="IBM Plex Sans"/>
          <w:b/>
          <w:bCs/>
          <w:color w:val="334155"/>
          <w:sz w:val="20"/>
          <w:szCs w:val="20"/>
        </w:rPr>
        <w:t xml:space="preserve">Toksoid — </w:t>
      </w:r>
      <w:r>
        <w:rPr>
          <w:rFonts w:ascii="IBM Plex Sans" w:cs="IBM Plex Sans" w:eastAsia="IBM Plex Sans" w:hAnsi="IBM Plex Sans"/>
          <w:color w:val="334155"/>
          <w:sz w:val="20"/>
          <w:szCs w:val="20"/>
        </w:rPr>
        <w:t xml:space="preserve">Preparat racun (toksin) bakteri yang telah dinonaktifkan namun tetap mampu merangsang pembentukan antibodi pelindung, misalnya toksoid tetanus dan difteri.</w:t>
      </w:r>
    </w:p>
    <w:p>
      <w:pPr>
        <w:spacing w:after="100"/>
      </w:pPr>
      <w:r>
        <w:rPr>
          <w:rFonts w:ascii="IBM Plex Sans" w:cs="IBM Plex Sans" w:eastAsia="IBM Plex Sans" w:hAnsi="IBM Plex Sans"/>
          <w:b/>
          <w:bCs/>
          <w:color w:val="334155"/>
          <w:sz w:val="20"/>
          <w:szCs w:val="20"/>
        </w:rPr>
        <w:t xml:space="preserve">Transfer antibodi transplasenta — </w:t>
      </w:r>
      <w:r>
        <w:rPr>
          <w:rFonts w:ascii="IBM Plex Sans" w:cs="IBM Plex Sans" w:eastAsia="IBM Plex Sans" w:hAnsi="IBM Plex Sans"/>
          <w:color w:val="334155"/>
          <w:sz w:val="20"/>
          <w:szCs w:val="20"/>
        </w:rPr>
        <w:t xml:space="preserve">Proses perpindahan antibodi imunoglobulin G (IgG) dari darah ibu ke janin melalui plasenta, yang memberi perlindungan pasif kepada bayi pada bulan-bulan pertama kehidupan sebelum ia dapat menerima imunisasi sendiri.</w:t>
      </w:r>
    </w:p>
    <w:p>
      <w:pPr>
        <w:spacing w:after="100"/>
      </w:pPr>
      <w:r>
        <w:rPr>
          <w:rFonts w:ascii="IBM Plex Sans" w:cs="IBM Plex Sans" w:eastAsia="IBM Plex Sans" w:hAnsi="IBM Plex Sans"/>
          <w:b/>
          <w:bCs/>
          <w:color w:val="334155"/>
          <w:sz w:val="20"/>
          <w:szCs w:val="20"/>
        </w:rPr>
        <w:t xml:space="preserve">Shared clinical decision-making (SCDM) — </w:t>
      </w:r>
      <w:r>
        <w:rPr>
          <w:rFonts w:ascii="IBM Plex Sans" w:cs="IBM Plex Sans" w:eastAsia="IBM Plex Sans" w:hAnsi="IBM Plex Sans"/>
          <w:color w:val="334155"/>
          <w:sz w:val="20"/>
          <w:szCs w:val="20"/>
        </w:rPr>
        <w:t xml:space="preserve">Model pengambilan keputusan vaksinasi yang dilakukan bersama antara pasien dan tenaga kesehatan berdasarkan diskusi manfaat-risiko individual, alih-alih rekomendasi universal untuk seluruh populasi.</w:t>
      </w:r>
    </w:p>
    <w:p>
      <w:pPr>
        <w:spacing w:after="100"/>
      </w:pPr>
      <w:r>
        <w:rPr>
          <w:rFonts w:ascii="IBM Plex Sans" w:cs="IBM Plex Sans" w:eastAsia="IBM Plex Sans" w:hAnsi="IBM Plex Sans"/>
          <w:b/>
          <w:bCs/>
          <w:color w:val="334155"/>
          <w:sz w:val="20"/>
          <w:szCs w:val="20"/>
        </w:rPr>
        <w:t xml:space="preserve">Efektivitas vaksin (vaccine effectiveness) — </w:t>
      </w:r>
      <w:r>
        <w:rPr>
          <w:rFonts w:ascii="IBM Plex Sans" w:cs="IBM Plex Sans" w:eastAsia="IBM Plex Sans" w:hAnsi="IBM Plex Sans"/>
          <w:color w:val="334155"/>
          <w:sz w:val="20"/>
          <w:szCs w:val="20"/>
        </w:rPr>
        <w:t xml:space="preserve">Ukuran seberapa besar vaksin mengurangi risiko suatu penyakit pada populasi yang divaksinasi dalam kondisi penggunaan nyata (real-world), dinyatakan dalam persentase penurunan risiko.</w:t>
      </w:r>
    </w:p>
    <w:p>
      <w:pPr>
        <w:spacing w:after="100"/>
      </w:pPr>
      <w:r>
        <w:rPr>
          <w:rFonts w:ascii="IBM Plex Sans" w:cs="IBM Plex Sans" w:eastAsia="IBM Plex Sans" w:hAnsi="IBM Plex Sans"/>
          <w:b/>
          <w:bCs/>
          <w:color w:val="334155"/>
          <w:sz w:val="20"/>
          <w:szCs w:val="20"/>
        </w:rPr>
        <w:t xml:space="preserve">Kejadian Ikutan Pasca-Imunisasi (KIPI) — </w:t>
      </w:r>
      <w:r>
        <w:rPr>
          <w:rFonts w:ascii="IBM Plex Sans" w:cs="IBM Plex Sans" w:eastAsia="IBM Plex Sans" w:hAnsi="IBM Plex Sans"/>
          <w:color w:val="334155"/>
          <w:sz w:val="20"/>
          <w:szCs w:val="20"/>
        </w:rPr>
        <w:t xml:space="preserve">Setiap kejadian medis yang timbul setelah pemberian imunisasi, yang belum tentu memiliki hubungan sebab-akibat dengan vaksin yang diberikan, namun wajib dipantau dan dilaporkan.</w:t>
      </w:r>
    </w:p>
    <w:p>
      <w:pPr>
        <w:spacing w:after="100"/>
      </w:pPr>
      <w:r>
        <w:rPr>
          <w:rFonts w:ascii="IBM Plex Sans" w:cs="IBM Plex Sans" w:eastAsia="IBM Plex Sans" w:hAnsi="IBM Plex Sans"/>
          <w:b/>
          <w:bCs/>
          <w:color w:val="334155"/>
          <w:sz w:val="20"/>
          <w:szCs w:val="20"/>
        </w:rPr>
        <w:t xml:space="preserve">Tdap — </w:t>
      </w:r>
      <w:r>
        <w:rPr>
          <w:rFonts w:ascii="IBM Plex Sans" w:cs="IBM Plex Sans" w:eastAsia="IBM Plex Sans" w:hAnsi="IBM Plex Sans"/>
          <w:color w:val="334155"/>
          <w:sz w:val="20"/>
          <w:szCs w:val="20"/>
        </w:rPr>
        <w:t xml:space="preserve">Vaksin kombinasi toksoid tetanus, toksoid difteri dosis rendah, dan komponen aselular pertusis, diformulasikan untuk dewasa dan remaja.</w:t>
      </w:r>
    </w:p>
    <w:p>
      <w:pPr>
        <w:spacing w:after="100"/>
      </w:pPr>
      <w:r>
        <w:rPr>
          <w:rFonts w:ascii="IBM Plex Sans" w:cs="IBM Plex Sans" w:eastAsia="IBM Plex Sans" w:hAnsi="IBM Plex Sans"/>
          <w:b/>
          <w:bCs/>
          <w:color w:val="334155"/>
          <w:sz w:val="20"/>
          <w:szCs w:val="20"/>
        </w:rPr>
        <w:t xml:space="preserve">Status T5 — </w:t>
      </w:r>
      <w:r>
        <w:rPr>
          <w:rFonts w:ascii="IBM Plex Sans" w:cs="IBM Plex Sans" w:eastAsia="IBM Plex Sans" w:hAnsi="IBM Plex Sans"/>
          <w:color w:val="334155"/>
          <w:sz w:val="20"/>
          <w:szCs w:val="20"/>
        </w:rPr>
        <w:t xml:space="preserve">Status imunisasi tetanus lengkap lima dosis sesuai jadwal Kementerian Kesehatan RI, yang memberikan perlindungan jangka panjang terhadap tetanus termasuk tetanus neonatorum.</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PPK No. 73 dari 73 — sebelumnya: PPK-072 Premenstrual Syndrome, Nyeri Haid, dan Nyeri Sanggama</w:t>
    </w:r>
  </w:p>
  <w:p>
    <w:pPr>
      <w:jc w:val="center"/>
    </w:pPr>
    <w:r>
      <w:rPr>
        <w:rFonts w:ascii="IBM Plex Mono" w:cs="IBM Plex Mono" w:eastAsia="IBM Plex Mono" w:hAnsi="IBM Plex Mono"/>
        <w:color w:val="334155"/>
        <w:sz w:val="15"/>
        <w:szCs w:val="15"/>
      </w:rPr>
      <w:t xml:space="preserve">Perpustakaan Digital ABBA — Halaman </w:t>
    </w:r>
    <w:r>
      <w:rPr>
        <w:rFonts w:ascii="IBM Plex Mono" w:cs="IBM Plex Mono" w:eastAsia="IBM Plex Mono" w:hAnsi="IBM Plex Mono"/>
        <w:color w:val="3341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B45309"/>
        <w:sz w:val="16"/>
        <w:szCs w:val="16"/>
      </w:rPr>
      <w:t xml:space="preserve">PPK-073 — Vaksinasi pada Perempuan dengan Kehamilan Insidental (Pregnant State, Incidental)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PPK-073 — Vaksinasi pada Perempuan dengan Kehamilan Insidental (Pregnant State, Incidental)</dc:title>
  <dc:subject>Vaksinasi pada Perempuan dengan Kehamilan Insidental (Pregnant State, Incidental)</dc:subject>
  <dc:creator>Dr.dr. Budi Siswanto, Sp.OG., Subsp.Obginsos., SH., S.Kom.</dc:creator>
  <dc:description>Perpustakaan Digital ABBA — Jl Kerinci Raya No 9 Malang 65138</dc:description>
  <cp:lastModifiedBy>Un-named</cp:lastModifiedBy>
  <cp:revision>1</cp:revision>
  <dcterms:created xsi:type="dcterms:W3CDTF">2026-08-18T07:33:49.535Z</dcterms:created>
  <dcterms:modified xsi:type="dcterms:W3CDTF">2026-08-18T07:33:49.537Z</dcterms:modified>
</cp:coreProperties>
</file>

<file path=docProps/custom.xml><?xml version="1.0" encoding="utf-8"?>
<Properties xmlns="http://schemas.openxmlformats.org/officeDocument/2006/custom-properties" xmlns:vt="http://schemas.openxmlformats.org/officeDocument/2006/docPropsVTypes"/>
</file>