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jc w:val="center"/>
      </w:pPr>
      <w:r>
        <w:rPr>
          <w:rFonts w:ascii="IBM Plex Mono" w:cs="IBM Plex Mono" w:eastAsia="IBM Plex Mono" w:hAnsi="IBM Plex Mono"/>
          <w:b/>
          <w:bCs/>
          <w:color w:val="B45309"/>
          <w:sz w:val="28"/>
          <w:szCs w:val="28"/>
        </w:rPr>
        <w:t xml:space="preserve">PPKK-K2</w:t>
      </w:r>
    </w:p>
    <w:p>
      <w:pPr>
        <w:spacing w:after="100" w:before="100"/>
        <w:jc w:val="center"/>
      </w:pPr>
      <w:r>
        <w:rPr>
          <w:rFonts w:ascii="IBM Plex Sans" w:cs="IBM Plex Sans" w:eastAsia="IBM Plex Sans" w:hAnsi="IBM Plex Sans"/>
          <w:b/>
          <w:bCs/>
          <w:color w:val="4F46E5"/>
          <w:sz w:val="24"/>
          <w:szCs w:val="24"/>
        </w:rPr>
        <w:t xml:space="preserve">PANDUAN PRAKTIK KLINIS KELOMPOK/KOMUNITAS (PPKK)</w:t>
      </w:r>
    </w:p>
    <w:p>
      <w:pPr>
        <w:spacing w:after="200" w:before="400"/>
        <w:jc w:val="center"/>
      </w:pPr>
      <w:r>
        <w:rPr>
          <w:rFonts w:ascii="Source Serif 4" w:cs="Source Serif 4" w:eastAsia="Source Serif 4" w:hAnsi="Source Serif 4"/>
          <w:b/>
          <w:bCs/>
          <w:color w:val="334155"/>
          <w:sz w:val="40"/>
          <w:szCs w:val="40"/>
        </w:rPr>
        <w:t xml:space="preserve">Program Perencanaan Persalinan dan Pencegahan Komplikasi (P4K) Berbasis Komunitas</w:t>
      </w:r>
    </w:p>
    <w:p>
      <w:pPr>
        <w:spacing w:after="400"/>
        <w:jc w:val="center"/>
      </w:pPr>
      <w:r>
        <w:rPr>
          <w:rFonts w:ascii="IBM Plex Sans" w:cs="IBM Plex Sans" w:eastAsia="IBM Plex Sans" w:hAnsi="IBM Plex Sans"/>
          <w:i/>
          <w:iCs/>
          <w:color w:val="334155"/>
          <w:sz w:val="22"/>
          <w:szCs w:val="22"/>
        </w:rPr>
        <w:t xml:space="preserve">Panduan Praktik Klinis Kelompok/Komunitas — Obstetri dan Ginekologi</w:t>
      </w:r>
    </w:p>
    <w:p>
      <w:pPr>
        <w:spacing w:before="600"/>
        <w:jc w:val="center"/>
      </w:pPr>
      <w:r>
        <w:rPr>
          <w:rFonts w:ascii="IBM Plex Sans" w:cs="IBM Plex Sans" w:eastAsia="IBM Plex Sans" w:hAnsi="IBM Plex Sans"/>
          <w:color w:val="334155"/>
          <w:sz w:val="20"/>
          <w:szCs w:val="20"/>
        </w:rPr>
        <w:t xml:space="preserve">Sasaran Kelompok: Ibu hamil, suami/keluarga, dan kader kesehatan di wilayah kerja Puskesmas</w:t>
      </w:r>
    </w:p>
    <w:p>
      <w:pPr>
        <w:spacing w:before="100"/>
        <w:jc w:val="center"/>
      </w:pPr>
      <w:r>
        <w:rPr>
          <w:rFonts w:ascii="IBM Plex Sans" w:cs="IBM Plex Sans" w:eastAsia="IBM Plex Sans" w:hAnsi="IBM Plex Sans"/>
          <w:color w:val="334155"/>
          <w:sz w:val="20"/>
          <w:szCs w:val="20"/>
        </w:rPr>
        <w:t xml:space="preserve">Dokumen 2 dari 8 (kategori PPKK)</w:t>
      </w:r>
    </w:p>
    <w:p>
      <w:pPr>
        <w:spacing w:before="1200"/>
        <w:jc w:val="center"/>
      </w:pPr>
      <w:r>
        <w:rPr>
          <w:rFonts w:ascii="IBM Plex Sans" w:cs="IBM Plex Sans" w:eastAsia="IBM Plex Sans" w:hAnsi="IBM Plex Sans"/>
          <w:color w:val="334155"/>
          <w:sz w:val="18"/>
          <w:szCs w:val="18"/>
        </w:rPr>
        <w:t xml:space="preserve">Keputusan Ketua Konsil Kesehatan Indonesia No. HK.01.02/KKI/1318/2026 tentang Standar Kompetensi Dokter Spesialis dan Subspesialis Bidang Obstetri dan Ginekologi</w:t>
      </w:r>
    </w:p>
    <w:p>
      <w:pPr>
        <w:spacing w:before="1600"/>
        <w:jc w:val="center"/>
      </w:pPr>
      <w:r>
        <w:rPr>
          <w:rFonts w:ascii="IBM Plex Sans" w:cs="IBM Plex Sans" w:eastAsia="IBM Plex Sans" w:hAnsi="IBM Plex Sans"/>
          <w:b/>
          <w:bCs/>
          <w:color w:val="4F46E5"/>
          <w:sz w:val="20"/>
          <w:szCs w:val="20"/>
        </w:rPr>
        <w:t xml:space="preserve">Perpustakaan Digital ABBA</w:t>
      </w:r>
    </w:p>
    <w:p>
      <w:pPr>
        <w:jc w:val="center"/>
      </w:pPr>
      <w:r>
        <w:rPr>
          <w:rFonts w:ascii="IBM Plex Sans" w:cs="IBM Plex Sans" w:eastAsia="IBM Plex Sans" w:hAnsi="IBM Plex Sans"/>
          <w:color w:val="334155"/>
          <w:sz w:val="16"/>
          <w:szCs w:val="16"/>
        </w:rPr>
        <w:t xml:space="preserve">Jl. Kerinci Raya No. 9, Malang 65138</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F46E5" w:sz="4"/>
              <w:left w:val="single" w:color="4F46E5" w:sz="24"/>
              <w:bottom w:val="single" w:color="4F46E5" w:sz="4"/>
              <w:right w:val="single" w:color="4F46E5" w:sz="4"/>
            </w:tcBorders>
            <w:shd w:fill="EEF2FF" w:val="clear"/>
            <w:tcMar>
              <w:top w:type="dxa" w:w="180"/>
              <w:left w:type="dxa" w:w="220"/>
              <w:bottom w:type="dxa" w:w="180"/>
              <w:right w:type="dxa" w:w="220"/>
            </w:tcMar>
          </w:tcPr>
          <w:p>
            <w:pPr>
              <w:spacing w:after="80"/>
            </w:pPr>
            <w:r>
              <w:rPr>
                <w:rFonts w:ascii="IBM Plex Sans" w:cs="IBM Plex Sans" w:eastAsia="IBM Plex Sans" w:hAnsi="IBM Plex Sans"/>
                <w:b/>
                <w:bCs/>
                <w:color w:val="4F46E5"/>
                <w:sz w:val="20"/>
                <w:szCs w:val="20"/>
              </w:rPr>
              <w:t xml:space="preserve">RINGKASAN DOKUMEN</w:t>
            </w:r>
          </w:p>
          <w:p>
            <w:pPr>
              <w:spacing w:after="40"/>
            </w:pPr>
            <w:r>
              <w:rPr>
                <w:rFonts w:ascii="IBM Plex Sans" w:cs="IBM Plex Sans" w:eastAsia="IBM Plex Sans" w:hAnsi="IBM Plex Sans"/>
                <w:color w:val="334155"/>
                <w:sz w:val="19"/>
                <w:szCs w:val="19"/>
              </w:rPr>
              <w:t xml:space="preserve">Rujukan Silang: Buku Tematik B3 — Obstetri Patologis dan Kegawatdaruratan Maternal</w:t>
            </w:r>
          </w:p>
          <w:p>
            <w:pPr>
              <w:spacing w:after="40"/>
            </w:pPr>
            <w:r>
              <w:rPr>
                <w:rFonts w:ascii="IBM Plex Sans" w:cs="IBM Plex Sans" w:eastAsia="IBM Plex Sans" w:hAnsi="IBM Plex Sans"/>
                <w:color w:val="334155"/>
                <w:sz w:val="19"/>
                <w:szCs w:val="19"/>
              </w:rPr>
              <w:t xml:space="preserve">PPK Tujuan Rujukan Kasus Berisiko: PPK-007 s.d. PPK-016 (spektrum hipertensi dalam kehamilan hingga kegawatdaruratan perdarahan/ruptur uteri)</w:t>
            </w:r>
          </w:p>
          <w:p>
            <w:r>
              <w:rPr>
                <w:rFonts w:ascii="IBM Plex Sans" w:cs="IBM Plex Sans" w:eastAsia="IBM Plex Sans" w:hAnsi="IBM Plex Sans"/>
                <w:color w:val="334155"/>
                <w:sz w:val="19"/>
                <w:szCs w:val="19"/>
              </w:rPr>
              <w:t xml:space="preserve">Dasar Regulasi: Keputusan Ketua Konsil Kesehatan Indonesia No. HK.01.02/KKI/1318/2026 tentang Standar Kompetensi Dokter Spesialis dan Subspesialis Bidang Obstetri dan Ginekologi</w:t>
            </w:r>
          </w:p>
        </w:tc>
      </w:tr>
    </w:tbl>
    <w:p>
      <w:pPr>
        <w:spacing w:after="200"/>
      </w:pPr>
    </w:p>
    <w:p>
      <w:pPr>
        <w:spacing w:after="240"/>
      </w:pPr>
      <w:r>
        <w:rPr>
          <w:rFonts w:ascii="IBM Plex Sans" w:cs="IBM Plex Sans" w:eastAsia="IBM Plex Sans" w:hAnsi="IBM Plex Sans"/>
          <w:i/>
          <w:iCs/>
          <w:color w:val="334155"/>
          <w:sz w:val="21"/>
          <w:szCs w:val="21"/>
        </w:rPr>
        <w:t xml:space="preserve">Panduan Praktik Klinis Kelompok/Komunitas (PPKK) ini merupakan pendalaman layanan berbasis kelompok dari Buku Tematik B3 — Obstetri Patologis dan Kegawatdaruratan Maternal, yang menerjemahkan kompetensi deteksi dini dan tata laksana kegawatdaruratan obstetri ke dalam program pemberdayaan komunitas. Program Perencanaan Persalinan dan Pencegahan Komplikasi (P4K) Berbasis Komunitas disusun sebagai instrumen operasional di tingkat Puskesmas untuk menjembatani kompetensi klinis individual dengan kesiapsiagaan kelompok sasaran — ibu hamil, suami/keluarga, dan kader kesehatan — dalam menghadapi kemungkinan komplikasi kehamilan dan persalinan.</w:t>
      </w:r>
    </w:p>
    <w:p>
      <w:pPr>
        <w:pStyle w:val="Heading1"/>
        <w:spacing w:after="160" w:before="320"/>
      </w:pPr>
      <w:r>
        <w:t xml:space="preserve">1. Pengertian dan Tujuan Program</w:t>
      </w:r>
    </w:p>
    <w:p>
      <w:pPr>
        <w:pStyle w:val="Heading2"/>
        <w:spacing w:after="120" w:before="220"/>
      </w:pPr>
      <w:r>
        <w:t xml:space="preserve">1.1 Pengertian</w:t>
      </w:r>
    </w:p>
    <w:p>
      <w:pPr>
        <w:spacing w:after="180"/>
        <w:jc w:val="both"/>
      </w:pPr>
      <w:r>
        <w:rPr>
          <w:rFonts w:ascii="IBM Plex Sans" w:cs="IBM Plex Sans" w:eastAsia="IBM Plex Sans" w:hAnsi="IBM Plex Sans"/>
          <w:color w:val="334155"/>
          <w:sz w:val="21"/>
          <w:szCs w:val="21"/>
        </w:rPr>
        <w:t xml:space="preserve">Perencanaan Persalinan dan Pencegahan Komplikasi (P4K) adalah kegiatan yang difasilitasi oleh bidan/tenaga kesehatan Puskesmas bersama kader kesehatan untuk meningkatkan peran aktif suami, keluarga, dan masyarakat dalam merencanakan persalinan yang aman serta mempersiapkan langkah menghadapi kemungkinan komplikasi bagi ibu hamil, termasuk pemasangan stiker P4K sebagai media notifikasi sasaran di tingkat rumah tangga (Departemen Kesehatan RI, 2009).</w:t>
      </w:r>
    </w:p>
    <w:p>
      <w:pPr>
        <w:spacing w:after="180"/>
        <w:jc w:val="both"/>
      </w:pPr>
      <w:r>
        <w:rPr>
          <w:rFonts w:ascii="IBM Plex Sans" w:cs="IBM Plex Sans" w:eastAsia="IBM Plex Sans" w:hAnsi="IBM Plex Sans"/>
          <w:color w:val="334155"/>
          <w:sz w:val="21"/>
          <w:szCs w:val="21"/>
        </w:rPr>
        <w:t xml:space="preserve">Dalam konteks PPKK ini, P4K diselenggarakan sebagai program kelompok/komunitas — bukan intervensi satu pasien satu episode layanan sebagaimana diatur dalam dokumen PPK. Unit analisis PPKK ini adalah kelompok ibu hamil beserta suami/keluarga dan kader kesehatan yang berpartisipasi bersama dalam satu siklus sesi terjadwal di wilayah kerja Puskesmas.</w:t>
      </w:r>
    </w:p>
    <w:p>
      <w:pPr>
        <w:pStyle w:val="Heading2"/>
        <w:spacing w:after="120" w:before="220"/>
      </w:pPr>
      <w:r>
        <w:t xml:space="preserve">1.2 Tujuan Umum</w:t>
      </w:r>
    </w:p>
    <w:p>
      <w:pPr>
        <w:spacing w:after="180"/>
        <w:jc w:val="both"/>
      </w:pPr>
      <w:r>
        <w:rPr>
          <w:rFonts w:ascii="IBM Plex Sans" w:cs="IBM Plex Sans" w:eastAsia="IBM Plex Sans" w:hAnsi="IBM Plex Sans"/>
          <w:color w:val="334155"/>
          <w:sz w:val="21"/>
          <w:szCs w:val="21"/>
        </w:rPr>
        <w:t xml:space="preserve">Menurunkan angka kematian ibu dan bayi di wilayah kerja Puskesmas melalui deteksi dini faktor risiko kehamilan, perencanaan persalinan yang terdokumentasi, dan penguatan sistem rujukan berjenjang berbasis komunitas.</w:t>
      </w:r>
    </w:p>
    <w:p>
      <w:pPr>
        <w:pStyle w:val="Heading2"/>
        <w:spacing w:after="120" w:before="220"/>
      </w:pPr>
      <w:r>
        <w:t xml:space="preserve">1.3 Tujuan Khusus</w:t>
      </w:r>
    </w:p>
    <w:p>
      <w:pPr>
        <w:pStyle w:val="ListParagraph"/>
        <w:numPr>
          <w:ilvl w:val="0"/>
          <w:numId w:val="1"/>
        </w:numPr>
        <w:spacing w:after="80"/>
      </w:pPr>
      <w:r>
        <w:rPr>
          <w:rFonts w:ascii="IBM Plex Sans" w:cs="IBM Plex Sans" w:eastAsia="IBM Plex Sans" w:hAnsi="IBM Plex Sans"/>
          <w:color w:val="334155"/>
          <w:sz w:val="21"/>
          <w:szCs w:val="21"/>
        </w:rPr>
        <w:t xml:space="preserve">Meningkatkan pengetahuan ibu hamil, suami, dan keluarga mengenai tanda bahaya kehamilan dan persalinan.</w:t>
      </w:r>
    </w:p>
    <w:p>
      <w:pPr>
        <w:pStyle w:val="ListParagraph"/>
        <w:numPr>
          <w:ilvl w:val="0"/>
          <w:numId w:val="1"/>
        </w:numPr>
        <w:spacing w:after="80"/>
      </w:pPr>
      <w:r>
        <w:rPr>
          <w:rFonts w:ascii="IBM Plex Sans" w:cs="IBM Plex Sans" w:eastAsia="IBM Plex Sans" w:hAnsi="IBM Plex Sans"/>
          <w:color w:val="334155"/>
          <w:sz w:val="21"/>
          <w:szCs w:val="21"/>
        </w:rPr>
        <w:t xml:space="preserve">Memastikan setiap ibu hamil memiliki rencana persalinan tertulis (stiker P4K) yang mencakup penolong, tempat bersalin, pendamping, transportasi, calon donor darah, dan pembiayaan.</w:t>
      </w:r>
    </w:p>
    <w:p>
      <w:pPr>
        <w:pStyle w:val="ListParagraph"/>
        <w:numPr>
          <w:ilvl w:val="0"/>
          <w:numId w:val="1"/>
        </w:numPr>
        <w:spacing w:after="80"/>
      </w:pPr>
      <w:r>
        <w:rPr>
          <w:rFonts w:ascii="IBM Plex Sans" w:cs="IBM Plex Sans" w:eastAsia="IBM Plex Sans" w:hAnsi="IBM Plex Sans"/>
          <w:color w:val="334155"/>
          <w:sz w:val="21"/>
          <w:szCs w:val="21"/>
        </w:rPr>
        <w:t xml:space="preserve">Memperkuat peran kader kesehatan sebagai penghubung antara ibu hamil/keluarga dan fasilitas pelayanan kesehatan.</w:t>
      </w:r>
    </w:p>
    <w:p>
      <w:pPr>
        <w:pStyle w:val="ListParagraph"/>
        <w:numPr>
          <w:ilvl w:val="0"/>
          <w:numId w:val="1"/>
        </w:numPr>
        <w:spacing w:after="80"/>
      </w:pPr>
      <w:r>
        <w:rPr>
          <w:rFonts w:ascii="IBM Plex Sans" w:cs="IBM Plex Sans" w:eastAsia="IBM Plex Sans" w:hAnsi="IBM Plex Sans"/>
          <w:color w:val="334155"/>
          <w:sz w:val="21"/>
          <w:szCs w:val="21"/>
        </w:rPr>
        <w:t xml:space="preserve">Membangun kesiapsiagaan komunitas — donor darah, transportasi, dan dana sosial — terhadap kemungkinan rujukan kegawatdaruratan obstetri.</w:t>
      </w:r>
    </w:p>
    <w:p>
      <w:pPr>
        <w:pStyle w:val="ListParagraph"/>
        <w:numPr>
          <w:ilvl w:val="0"/>
          <w:numId w:val="1"/>
        </w:numPr>
        <w:spacing w:after="80"/>
      </w:pPr>
      <w:r>
        <w:rPr>
          <w:rFonts w:ascii="IBM Plex Sans" w:cs="IBM Plex Sans" w:eastAsia="IBM Plex Sans" w:hAnsi="IBM Plex Sans"/>
          <w:color w:val="334155"/>
          <w:sz w:val="21"/>
          <w:szCs w:val="21"/>
        </w:rPr>
        <w:t xml:space="preserve">Menjembatani deteksi dini faktor risiko di tingkat komunitas dengan tata laksana definitif di tingkat individu sebagaimana diatur dalam PPK-007 s.d. PPK-016.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34155" w:sz="4"/>
              <w:left w:val="single" w:color="4F46E5" w:sz="24"/>
              <w:bottom w:val="single" w:color="334155" w:sz="4"/>
              <w:right w:val="single" w:color="334155" w:sz="4"/>
            </w:tcBorders>
            <w:shd w:fill="F8FAFC" w:val="clear"/>
            <w:tcMar>
              <w:top w:type="dxa" w:w="180"/>
              <w:left w:type="dxa" w:w="220"/>
              <w:bottom w:type="dxa" w:w="180"/>
              <w:right w:type="dxa" w:w="220"/>
            </w:tcMar>
          </w:tcPr>
          <w:p>
            <w:pPr>
              <w:spacing w:after="120"/>
            </w:pPr>
            <w:r>
              <w:rPr>
                <w:rFonts w:ascii="IBM Plex Sans" w:cs="IBM Plex Sans" w:eastAsia="IBM Plex Sans" w:hAnsi="IBM Plex Sans"/>
                <w:b/>
                <w:bCs/>
                <w:color w:val="4F46E5"/>
                <w:sz w:val="20"/>
                <w:szCs w:val="20"/>
              </w:rPr>
              <w:t xml:space="preserve">KONTRIBUSI DIVISI PENGAMPU: OBSTETRI GINEKOLOGI SOSIAL DAN FETOMATERNAL</w:t>
            </w:r>
          </w:p>
          <w:p>
            <w:pPr>
              <w:spacing w:after="60"/>
            </w:pPr>
            <w:r>
              <w:rPr>
                <w:rFonts w:ascii="IBM Plex Sans" w:cs="IBM Plex Sans" w:eastAsia="IBM Plex Sans" w:hAnsi="IBM Plex Sans"/>
                <w:b/>
                <w:bCs/>
                <w:color w:val="334155"/>
                <w:sz w:val="20"/>
                <w:szCs w:val="20"/>
              </w:rPr>
              <w:t xml:space="preserve">A. Deskripsi</w:t>
            </w:r>
          </w:p>
          <w:p>
            <w:pPr>
              <w:spacing w:after="140"/>
              <w:jc w:val="both"/>
            </w:pPr>
            <w:r>
              <w:rPr>
                <w:rFonts w:ascii="IBM Plex Sans" w:cs="IBM Plex Sans" w:eastAsia="IBM Plex Sans" w:hAnsi="IBM Plex Sans"/>
                <w:color w:val="334155"/>
                <w:sz w:val="20"/>
                <w:szCs w:val="20"/>
              </w:rPr>
              <w:t xml:space="preserve">Program P4K berbasis komunitas berada pada irisan dua bidang kompetensi subspesialis. Obstetri Ginekologi Sosial menaungi rancangan program, pendekatan pemberdayaan masyarakat, dan indikator keberhasilan populasi; Fetomaternal menetapkan kriteria klinis kondisi berisiko tinggi kehamilan (Tabel 7 No. 7–16) yang menjadi dasar objektif bagi jalur rujukan cepat pada Bagian 7. Kolaborasi lintas divisi diperlukan agar instrumen komunitas seperti stiker P4K tetap berpijak pada kriteria klinis yang valid, bukan sekadar catatan administratif.</w:t>
            </w:r>
          </w:p>
          <w:p>
            <w:pPr>
              <w:spacing w:after="60"/>
            </w:pPr>
            <w:r>
              <w:rPr>
                <w:rFonts w:ascii="IBM Plex Sans" w:cs="IBM Plex Sans" w:eastAsia="IBM Plex Sans" w:hAnsi="IBM Plex Sans"/>
                <w:b/>
                <w:bCs/>
                <w:color w:val="334155"/>
                <w:sz w:val="20"/>
                <w:szCs w:val="20"/>
              </w:rPr>
              <w:t xml:space="preserve">B. Menjembatani Pendekatan Populasi dan Pendekatan Klinis Individual</w:t>
            </w:r>
          </w:p>
          <w:p>
            <w:pPr>
              <w:spacing w:after="140"/>
              <w:jc w:val="both"/>
            </w:pPr>
            <w:r>
              <w:rPr>
                <w:rFonts w:ascii="IBM Plex Sans" w:cs="IBM Plex Sans" w:eastAsia="IBM Plex Sans" w:hAnsi="IBM Plex Sans"/>
                <w:color w:val="334155"/>
                <w:sz w:val="20"/>
                <w:szCs w:val="20"/>
              </w:rPr>
              <w:t xml:space="preserve">Pendekatan populasi pada P4K mengasumsikan bahwa seluruh ibu hamil berhak atas kesiapsiagaan persalinan yang setara, terlepas dari tingkat risiko awal. Namun cakupan universal ini hanya bermakna klinis apabila disertai kriteria penapisan yang tepat. Di sinilah kontribusi Fetomaternal menjadi penting: menentukan ambang klinis yang objektif dan operasional bagi kader serta bidan di lapangan, sehingga skrining pada Sesi 1 dan pemantauan pada Sesi 5 tidak bergantung pada penilaian subjektif semata. Sebaliknya, Obstetri Ginekologi Sosial berperan menerjemahkan ambang klinis tersebut ke dalam bahasa dan alur yang dapat dipahami serta dijalankan oleh kader dan keluarga, termasuk merancang indikator keberhasilan pada Bagian 6 yang dapat diukur secara rutin oleh Puskesmas. Dokter spesialis/subspesialis pada kedua bidang berperan sebagai pembina teknis, sementara PPDS dan dokter umum di Puskesmas menjadi penghubung operasional sehari-hari.</w:t>
            </w:r>
          </w:p>
          <w:p>
            <w:pPr>
              <w:spacing w:after="60"/>
            </w:pPr>
            <w:r>
              <w:rPr>
                <w:rFonts w:ascii="IBM Plex Sans" w:cs="IBM Plex Sans" w:eastAsia="IBM Plex Sans" w:hAnsi="IBM Plex Sans"/>
                <w:b/>
                <w:bCs/>
                <w:color w:val="334155"/>
                <w:sz w:val="20"/>
                <w:szCs w:val="20"/>
              </w:rPr>
              <w:t xml:space="preserve">C. Ilustrasi Kasus Lapangan</w:t>
            </w:r>
          </w:p>
          <w:p>
            <w:pPr>
              <w:spacing w:after="60"/>
            </w:pPr>
            <w:r>
              <w:rPr>
                <w:rFonts w:ascii="IBM Plex Sans" w:cs="IBM Plex Sans" w:eastAsia="IBM Plex Sans" w:hAnsi="IBM Plex Sans"/>
                <w:i/>
                <w:iCs/>
                <w:color w:val="64748B"/>
                <w:sz w:val="18"/>
                <w:szCs w:val="18"/>
              </w:rPr>
              <w:t xml:space="preserve">Skenario berikut bersifat hipotetis dan disusun untuk kepentingan pembelajaran; bukan data atau identitas pasien aktual.</w:t>
            </w:r>
          </w:p>
          <w:p>
            <w:pPr>
              <w:jc w:val="both"/>
            </w:pPr>
            <w:r>
              <w:rPr>
                <w:rFonts w:ascii="IBM Plex Sans" w:cs="IBM Plex Sans" w:eastAsia="IBM Plex Sans" w:hAnsi="IBM Plex Sans"/>
                <w:color w:val="334155"/>
                <w:sz w:val="20"/>
                <w:szCs w:val="20"/>
              </w:rPr>
              <w:t xml:space="preserve">Pada Sesi 1 di sebuah Puskesmas, seorang peserta dengan usia kehamilan 30 minggu terukur tekanan darah tinggi disertai keluhan sakit kepala hebat. Bidan yang bertugas mengenali pola ini sebagai kemungkinan preeklampsia dengan gejala berat (Tabel 7 No. 9) dan segera menghentikan keikutsertaannya pada sesi kelompok, melakukan asesmen awal, lalu merujuknya ke fasilitas rujukan sesuai alur pada Bagian 7 menuju tata laksana PPK yang sesuai. Kader yang sebelumnya mendampingi peserta tersebut kemudian berperan memastikan keluarga memahami rencana rujukan dan menyiapkan transportasi sesuai stiker P4K yang telah diisi. Umpan balik dari fasilitas rujukan dikembalikan kepada bidan Puskesmas untuk pemutakhiran data dan pemantauan pascapersalinan. Ilustrasi ini menunjukkan bagaimana ambang klinis dari Fetomaternal dan alur komunitas dari Obstetri Ginekologi Sosial bekerja sebagai satu kesatuan.</w:t>
            </w:r>
          </w:p>
        </w:tc>
      </w:tr>
    </w:tbl>
    <w:p>
      <w:pPr>
        <w:spacing w:after="200"/>
      </w:pPr>
    </w:p>
    <w:p>
      <w:pPr>
        <w:pStyle w:val="Heading1"/>
        <w:spacing w:after="160" w:before="320"/>
      </w:pPr>
      <w:r>
        <w:t xml:space="preserve">2. Sasaran dan Kriteria Inklusi Kelompok</w:t>
      </w:r>
    </w:p>
    <w:p>
      <w:pPr>
        <w:pStyle w:val="Heading2"/>
        <w:spacing w:after="120" w:before="220"/>
      </w:pPr>
      <w:r>
        <w:t xml:space="preserve">2.1 Sasaran Utama dan Sekunder</w:t>
      </w:r>
    </w:p>
    <w:p>
      <w:pPr>
        <w:spacing w:after="180"/>
        <w:jc w:val="both"/>
      </w:pPr>
      <w:r>
        <w:rPr>
          <w:rFonts w:ascii="IBM Plex Sans" w:cs="IBM Plex Sans" w:eastAsia="IBM Plex Sans" w:hAnsi="IBM Plex Sans"/>
          <w:color w:val="334155"/>
          <w:sz w:val="21"/>
          <w:szCs w:val="21"/>
        </w:rPr>
        <w:t xml:space="preserve">Sasaran utama program ini adalah ibu hamil di wilayah kerja Puskesmas, idealnya terdaftar sejak kontak antenatal pertama pada trimester I, tanpa memandang tingkat risiko awal — sebab filosofi P4K berbasis komunitas bersifat universal, menjangkau seluruh populasi ibu hamil, dengan intensitas pendampingan yang ditingkatkan bagi kelompok berisiko sebagaimana diuraikan pada Bagian 2.3.</w:t>
      </w:r>
    </w:p>
    <w:p>
      <w:pPr>
        <w:spacing w:after="180"/>
        <w:jc w:val="both"/>
      </w:pPr>
      <w:r>
        <w:rPr>
          <w:rFonts w:ascii="IBM Plex Sans" w:cs="IBM Plex Sans" w:eastAsia="IBM Plex Sans" w:hAnsi="IBM Plex Sans"/>
          <w:color w:val="334155"/>
          <w:sz w:val="21"/>
          <w:szCs w:val="21"/>
        </w:rPr>
        <w:t xml:space="preserve">Sasaran sekunder mencakup suami/pasangan dan/atau anggota keluarga inti sebagai pengambil keputusan dalam rumah tangga terkait rencana persalinan, serta kader kesehatan (kader Dasa Wisma/Posyandu) di wilayah kerja Puskesmas sebagai mitra pemantauan dan mobilisasi komunitas.</w:t>
      </w:r>
    </w:p>
    <w:p>
      <w:pPr>
        <w:pStyle w:val="Heading2"/>
        <w:spacing w:after="120" w:before="220"/>
      </w:pPr>
      <w:r>
        <w:t xml:space="preserve">2.2 Kriteria Inklusi</w:t>
      </w:r>
    </w:p>
    <w:p>
      <w:pPr>
        <w:pStyle w:val="ListParagraph"/>
        <w:numPr>
          <w:ilvl w:val="0"/>
          <w:numId w:val="1"/>
        </w:numPr>
        <w:spacing w:after="80"/>
      </w:pPr>
      <w:r>
        <w:rPr>
          <w:rFonts w:ascii="IBM Plex Sans" w:cs="IBM Plex Sans" w:eastAsia="IBM Plex Sans" w:hAnsi="IBM Plex Sans"/>
          <w:color w:val="334155"/>
          <w:sz w:val="21"/>
          <w:szCs w:val="21"/>
        </w:rPr>
        <w:t xml:space="preserve">Berdomisili dan/atau terdaftar sebagai sasaran pelayanan kesehatan di wilayah kerja Puskesmas penyelenggara.</w:t>
      </w:r>
    </w:p>
    <w:p>
      <w:pPr>
        <w:pStyle w:val="ListParagraph"/>
        <w:numPr>
          <w:ilvl w:val="0"/>
          <w:numId w:val="1"/>
        </w:numPr>
        <w:spacing w:after="80"/>
      </w:pPr>
      <w:r>
        <w:rPr>
          <w:rFonts w:ascii="IBM Plex Sans" w:cs="IBM Plex Sans" w:eastAsia="IBM Plex Sans" w:hAnsi="IBM Plex Sans"/>
          <w:color w:val="334155"/>
          <w:sz w:val="21"/>
          <w:szCs w:val="21"/>
        </w:rPr>
        <w:t xml:space="preserve">Kehamilan telah terkonfirmasi melalui pemeriksaan antenatal oleh tenaga kesehatan.</w:t>
      </w:r>
    </w:p>
    <w:p>
      <w:pPr>
        <w:pStyle w:val="ListParagraph"/>
        <w:numPr>
          <w:ilvl w:val="0"/>
          <w:numId w:val="1"/>
        </w:numPr>
        <w:spacing w:after="80"/>
      </w:pPr>
      <w:r>
        <w:rPr>
          <w:rFonts w:ascii="IBM Plex Sans" w:cs="IBM Plex Sans" w:eastAsia="IBM Plex Sans" w:hAnsi="IBM Plex Sans"/>
          <w:color w:val="334155"/>
          <w:sz w:val="21"/>
          <w:szCs w:val="21"/>
        </w:rPr>
        <w:t xml:space="preserve">Bersedia berpartisipasi secara sukarela dalam rangkaian sesi kelompok.</w:t>
      </w:r>
    </w:p>
    <w:p>
      <w:pPr>
        <w:pStyle w:val="Heading2"/>
        <w:spacing w:after="120" w:before="220"/>
      </w:pPr>
      <w:r>
        <w:t xml:space="preserve">2.3 Kriteria Prioritas Pendampingan Intensif</w:t>
      </w:r>
    </w:p>
    <w:p>
      <w:pPr>
        <w:spacing w:after="180"/>
        <w:jc w:val="both"/>
      </w:pPr>
      <w:r>
        <w:rPr>
          <w:rFonts w:ascii="IBM Plex Sans" w:cs="IBM Plex Sans" w:eastAsia="IBM Plex Sans" w:hAnsi="IBM Plex Sans"/>
          <w:color w:val="334155"/>
          <w:sz w:val="21"/>
          <w:szCs w:val="21"/>
        </w:rPr>
        <w:t xml:space="preserve">Bukan merupakan kriteria eksklusi, melainkan penajaman intensitas layanan: ibu hamil dengan salah satu kondisi Tabel 7 No. 7–16 Kepkonsil — hipertensi dalam kehamilan, preeklampsia, preeklampsia dengan gejala berat, eklampsia, riwayat seksio sesarea, plasenta previa/letak rendah, ruptur uteri, atonia uteri, solusio plasenta, atau retensio plasenta — diberikan sesi pendampingan tambahan dan jalur rujukan yang dipercepat sebagaimana diuraikan pada Bagian 7.</w:t>
      </w:r>
    </w:p>
    <w:p>
      <w:pPr>
        <w:pStyle w:val="Heading2"/>
        <w:spacing w:after="120" w:before="220"/>
      </w:pPr>
      <w:r>
        <w:t xml:space="preserve">2.4 Kriteria Eksklusi dari Sesi Kelompok</w:t>
      </w:r>
    </w:p>
    <w:p>
      <w:pPr>
        <w:spacing w:after="180"/>
        <w:jc w:val="both"/>
      </w:pPr>
      <w:r>
        <w:rPr>
          <w:rFonts w:ascii="IBM Plex Sans" w:cs="IBM Plex Sans" w:eastAsia="IBM Plex Sans" w:hAnsi="IBM Plex Sans"/>
          <w:color w:val="334155"/>
          <w:sz w:val="21"/>
          <w:szCs w:val="21"/>
        </w:rPr>
        <w:t xml:space="preserve">Kondisi kegawatdaruratan obstetri akut yang memerlukan tata laksana segera (misalnya perdarahan aktif atau kejang eklamptik) tidak ditangani dalam sesi kelompok, melainkan langsung dirujuk keluar dari alur kelompok menuju tata laksana individual sesuai PPK terkait. Ini bukan eksklusi dari kepesertaan program P4K secara keseluruhan, melainkan pengalihan sementara ke jalur layanan individual.</w:t>
      </w:r>
    </w:p>
    <w:p>
      <w:pPr>
        <w:pStyle w:val="Heading1"/>
        <w:spacing w:after="160" w:before="320"/>
      </w:pPr>
      <w:r>
        <w:t xml:space="preserve">3. Struktur Sesi/Alur Layanan</w:t>
      </w:r>
    </w:p>
    <w:p>
      <w:pPr>
        <w:spacing w:after="180"/>
        <w:jc w:val="both"/>
      </w:pPr>
      <w:r>
        <w:rPr>
          <w:rFonts w:ascii="IBM Plex Sans" w:cs="IBM Plex Sans" w:eastAsia="IBM Plex Sans" w:hAnsi="IBM Plex Sans"/>
          <w:color w:val="334155"/>
          <w:sz w:val="21"/>
          <w:szCs w:val="21"/>
        </w:rPr>
        <w:t xml:space="preserve">Program dilaksanakan dalam siklus sesi terjadwal yang mengikuti tahapan kehamilan, idealnya menyertai setiap kontak antenatal, dengan frekuensi lebih tinggi bagi kelompok prioritas sebagaimana diuraikan pada Bagian 2.3. Tabel berikut merinci tahapan sesi secara berurutan beserta durasi masing-masing.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cantSplit/>
          <w:tblHeader/>
        </w:trPr>
        <w:tc>
          <w:tcPr>
            <w:tcW w:type="dxa" w:w="2340"/>
            <w:shd w:fill="4F46E5" w:val="clear"/>
            <w:vAlign w:val="center"/>
          </w:tcPr>
          <w:p>
            <w:r>
              <w:rPr>
                <w:rFonts w:ascii="IBM Plex Sans" w:cs="IBM Plex Sans" w:eastAsia="IBM Plex Sans" w:hAnsi="IBM Plex Sans"/>
                <w:b/>
                <w:bCs/>
                <w:color w:val="FFFFFF"/>
                <w:sz w:val="18"/>
                <w:szCs w:val="18"/>
              </w:rPr>
              <w:t xml:space="preserve">Sesi</w:t>
            </w:r>
          </w:p>
        </w:tc>
        <w:tc>
          <w:tcPr>
            <w:tcW w:type="dxa" w:w="2340"/>
            <w:shd w:fill="4F46E5" w:val="clear"/>
            <w:vAlign w:val="center"/>
          </w:tcPr>
          <w:p>
            <w:r>
              <w:rPr>
                <w:rFonts w:ascii="IBM Plex Sans" w:cs="IBM Plex Sans" w:eastAsia="IBM Plex Sans" w:hAnsi="IBM Plex Sans"/>
                <w:b/>
                <w:bCs/>
                <w:color w:val="FFFFFF"/>
                <w:sz w:val="18"/>
                <w:szCs w:val="18"/>
              </w:rPr>
              <w:t xml:space="preserve">Nama Sesi</w:t>
            </w:r>
          </w:p>
        </w:tc>
        <w:tc>
          <w:tcPr>
            <w:tcW w:type="dxa" w:w="2340"/>
            <w:shd w:fill="4F46E5" w:val="clear"/>
            <w:vAlign w:val="center"/>
          </w:tcPr>
          <w:p>
            <w:r>
              <w:rPr>
                <w:rFonts w:ascii="IBM Plex Sans" w:cs="IBM Plex Sans" w:eastAsia="IBM Plex Sans" w:hAnsi="IBM Plex Sans"/>
                <w:b/>
                <w:bCs/>
                <w:color w:val="FFFFFF"/>
                <w:sz w:val="18"/>
                <w:szCs w:val="18"/>
              </w:rPr>
              <w:t xml:space="preserve">Durasi</w:t>
            </w:r>
          </w:p>
        </w:tc>
        <w:tc>
          <w:tcPr>
            <w:tcW w:type="dxa" w:w="2340"/>
            <w:shd w:fill="4F46E5" w:val="clear"/>
            <w:vAlign w:val="center"/>
          </w:tcPr>
          <w:p>
            <w:r>
              <w:rPr>
                <w:rFonts w:ascii="IBM Plex Sans" w:cs="IBM Plex Sans" w:eastAsia="IBM Plex Sans" w:hAnsi="IBM Plex Sans"/>
                <w:b/>
                <w:bCs/>
                <w:color w:val="FFFFFF"/>
                <w:sz w:val="18"/>
                <w:szCs w:val="18"/>
              </w:rPr>
              <w:t xml:space="preserve">Tahapan Utama</w:t>
            </w:r>
          </w:p>
        </w:tc>
      </w:tr>
      <w:tr>
        <w:trPr>
          <w:cantSplit/>
        </w:trPr>
        <w:tc>
          <w:tcPr>
            <w:tcW w:type="dxa" w:w="2340"/>
            <w:shd w:fill="FFFFFF" w:val="clear"/>
            <w:vAlign w:val="center"/>
          </w:tcPr>
          <w:p>
            <w:r>
              <w:rPr>
                <w:rFonts w:ascii="IBM Plex Mono" w:cs="IBM Plex Mono" w:eastAsia="IBM Plex Mono" w:hAnsi="IBM Plex Mono"/>
                <w:color w:val="334155"/>
                <w:sz w:val="16"/>
                <w:szCs w:val="16"/>
              </w:rPr>
              <w:t xml:space="preserve">Sesi 1</w:t>
            </w:r>
          </w:p>
        </w:tc>
        <w:tc>
          <w:tcPr>
            <w:tcW w:type="dxa" w:w="2340"/>
            <w:shd w:fill="FFFFFF" w:val="clear"/>
            <w:vAlign w:val="center"/>
          </w:tcPr>
          <w:p>
            <w:r>
              <w:rPr>
                <w:rFonts w:ascii="IBM Plex Mono" w:cs="IBM Plex Mono" w:eastAsia="IBM Plex Mono" w:hAnsi="IBM Plex Mono"/>
                <w:color w:val="334155"/>
                <w:sz w:val="16"/>
                <w:szCs w:val="16"/>
              </w:rPr>
              <w:t xml:space="preserve">Pendaftaran, Skrining Awal, dan Identifikasi Faktor Risiko</w:t>
            </w:r>
          </w:p>
        </w:tc>
        <w:tc>
          <w:tcPr>
            <w:tcW w:type="dxa" w:w="2340"/>
            <w:shd w:fill="FFFFFF" w:val="clear"/>
            <w:vAlign w:val="center"/>
          </w:tcPr>
          <w:p>
            <w:r>
              <w:rPr>
                <w:rFonts w:ascii="IBM Plex Mono" w:cs="IBM Plex Mono" w:eastAsia="IBM Plex Mono" w:hAnsi="IBM Plex Mono"/>
                <w:color w:val="334155"/>
                <w:sz w:val="16"/>
                <w:szCs w:val="16"/>
              </w:rPr>
              <w:t xml:space="preserve">± 30 menit</w:t>
            </w:r>
          </w:p>
        </w:tc>
        <w:tc>
          <w:tcPr>
            <w:tcW w:type="dxa" w:w="2340"/>
            <w:shd w:fill="FFFFFF" w:val="clear"/>
            <w:vAlign w:val="center"/>
          </w:tcPr>
          <w:p>
            <w:r>
              <w:rPr>
                <w:rFonts w:ascii="IBM Plex Mono" w:cs="IBM Plex Mono" w:eastAsia="IBM Plex Mono" w:hAnsi="IBM Plex Mono"/>
                <w:color w:val="334155"/>
                <w:sz w:val="16"/>
                <w:szCs w:val="16"/>
              </w:rPr>
              <w:t xml:space="preserve">Registrasi peserta oleh kader; pengukuran tanda vital dan skrining faktor risiko dasar oleh bidan; identifikasi awal kondisi yang bersesuaian dengan Tabel 7 No. 7–16 untuk menentukan jalur pendampingan (reguler atau prioritas).</w:t>
            </w:r>
          </w:p>
        </w:tc>
      </w:tr>
      <w:tr>
        <w:trPr>
          <w:cantSplit/>
        </w:trPr>
        <w:tc>
          <w:tcPr>
            <w:tcW w:type="dxa" w:w="2340"/>
            <w:shd w:fill="F1F5F9" w:val="clear"/>
            <w:vAlign w:val="center"/>
          </w:tcPr>
          <w:p>
            <w:r>
              <w:rPr>
                <w:rFonts w:ascii="IBM Plex Mono" w:cs="IBM Plex Mono" w:eastAsia="IBM Plex Mono" w:hAnsi="IBM Plex Mono"/>
                <w:color w:val="334155"/>
                <w:sz w:val="16"/>
                <w:szCs w:val="16"/>
              </w:rPr>
              <w:t xml:space="preserve">Sesi 2</w:t>
            </w:r>
          </w:p>
        </w:tc>
        <w:tc>
          <w:tcPr>
            <w:tcW w:type="dxa" w:w="2340"/>
            <w:shd w:fill="F1F5F9" w:val="clear"/>
            <w:vAlign w:val="center"/>
          </w:tcPr>
          <w:p>
            <w:r>
              <w:rPr>
                <w:rFonts w:ascii="IBM Plex Mono" w:cs="IBM Plex Mono" w:eastAsia="IBM Plex Mono" w:hAnsi="IBM Plex Mono"/>
                <w:color w:val="334155"/>
                <w:sz w:val="16"/>
                <w:szCs w:val="16"/>
              </w:rPr>
              <w:t xml:space="preserve">Edukasi Kelompok P4K</w:t>
            </w:r>
          </w:p>
        </w:tc>
        <w:tc>
          <w:tcPr>
            <w:tcW w:type="dxa" w:w="2340"/>
            <w:shd w:fill="F1F5F9" w:val="clear"/>
            <w:vAlign w:val="center"/>
          </w:tcPr>
          <w:p>
            <w:r>
              <w:rPr>
                <w:rFonts w:ascii="IBM Plex Mono" w:cs="IBM Plex Mono" w:eastAsia="IBM Plex Mono" w:hAnsi="IBM Plex Mono"/>
                <w:color w:val="334155"/>
                <w:sz w:val="16"/>
                <w:szCs w:val="16"/>
              </w:rPr>
              <w:t xml:space="preserve">± 60 menit</w:t>
            </w:r>
          </w:p>
        </w:tc>
        <w:tc>
          <w:tcPr>
            <w:tcW w:type="dxa" w:w="2340"/>
            <w:shd w:fill="F1F5F9" w:val="clear"/>
            <w:vAlign w:val="center"/>
          </w:tcPr>
          <w:p>
            <w:r>
              <w:rPr>
                <w:rFonts w:ascii="IBM Plex Mono" w:cs="IBM Plex Mono" w:eastAsia="IBM Plex Mono" w:hAnsi="IBM Plex Mono"/>
                <w:color w:val="334155"/>
                <w:sz w:val="16"/>
                <w:szCs w:val="16"/>
              </w:rPr>
              <w:t xml:space="preserve">Penyuluhan interaktif oleh bidan/dokter mengenai tanda bahaya kehamilan dan persalinan, konsep dasar P4K, jadwal kontak antenatal, serta pentingnya persalinan di fasilitas kesehatan yang ditolong tenaga kesehatan terlatih.</w:t>
            </w:r>
          </w:p>
        </w:tc>
      </w:tr>
      <w:tr>
        <w:trPr>
          <w:cantSplit/>
        </w:trPr>
        <w:tc>
          <w:tcPr>
            <w:tcW w:type="dxa" w:w="2340"/>
            <w:shd w:fill="FFFFFF" w:val="clear"/>
            <w:vAlign w:val="center"/>
          </w:tcPr>
          <w:p>
            <w:r>
              <w:rPr>
                <w:rFonts w:ascii="IBM Plex Mono" w:cs="IBM Plex Mono" w:eastAsia="IBM Plex Mono" w:hAnsi="IBM Plex Mono"/>
                <w:color w:val="334155"/>
                <w:sz w:val="16"/>
                <w:szCs w:val="16"/>
              </w:rPr>
              <w:t xml:space="preserve">Sesi 3</w:t>
            </w:r>
          </w:p>
        </w:tc>
        <w:tc>
          <w:tcPr>
            <w:tcW w:type="dxa" w:w="2340"/>
            <w:shd w:fill="FFFFFF" w:val="clear"/>
            <w:vAlign w:val="center"/>
          </w:tcPr>
          <w:p>
            <w:r>
              <w:rPr>
                <w:rFonts w:ascii="IBM Plex Mono" w:cs="IBM Plex Mono" w:eastAsia="IBM Plex Mono" w:hAnsi="IBM Plex Mono"/>
                <w:color w:val="334155"/>
                <w:sz w:val="16"/>
                <w:szCs w:val="16"/>
              </w:rPr>
              <w:t xml:space="preserve">Perencanaan Persalinan Individual (Pengisian Stiker P4K)</w:t>
            </w:r>
          </w:p>
        </w:tc>
        <w:tc>
          <w:tcPr>
            <w:tcW w:type="dxa" w:w="2340"/>
            <w:shd w:fill="FFFFFF" w:val="clear"/>
            <w:vAlign w:val="center"/>
          </w:tcPr>
          <w:p>
            <w:r>
              <w:rPr>
                <w:rFonts w:ascii="IBM Plex Mono" w:cs="IBM Plex Mono" w:eastAsia="IBM Plex Mono" w:hAnsi="IBM Plex Mono"/>
                <w:color w:val="334155"/>
                <w:sz w:val="16"/>
                <w:szCs w:val="16"/>
              </w:rPr>
              <w:t xml:space="preserve">± 20 menit per peserta</w:t>
            </w:r>
          </w:p>
        </w:tc>
        <w:tc>
          <w:tcPr>
            <w:tcW w:type="dxa" w:w="2340"/>
            <w:shd w:fill="FFFFFF" w:val="clear"/>
            <w:vAlign w:val="center"/>
          </w:tcPr>
          <w:p>
            <w:r>
              <w:rPr>
                <w:rFonts w:ascii="IBM Plex Mono" w:cs="IBM Plex Mono" w:eastAsia="IBM Plex Mono" w:hAnsi="IBM Plex Mono"/>
                <w:color w:val="334155"/>
                <w:sz w:val="16"/>
                <w:szCs w:val="16"/>
              </w:rPr>
              <w:t xml:space="preserve">Pengisian bersama stiker P4K mencakup taksiran persalinan, penolong persalinan, tempat bersalin, pendamping, transportasi, calon donor darah, dan rencana pembiayaan; difasilitasi bidan bersama kader.</w:t>
            </w:r>
          </w:p>
        </w:tc>
      </w:tr>
      <w:tr>
        <w:trPr>
          <w:cantSplit/>
        </w:trPr>
        <w:tc>
          <w:tcPr>
            <w:tcW w:type="dxa" w:w="2340"/>
            <w:shd w:fill="F1F5F9" w:val="clear"/>
            <w:vAlign w:val="center"/>
          </w:tcPr>
          <w:p>
            <w:r>
              <w:rPr>
                <w:rFonts w:ascii="IBM Plex Mono" w:cs="IBM Plex Mono" w:eastAsia="IBM Plex Mono" w:hAnsi="IBM Plex Mono"/>
                <w:color w:val="334155"/>
                <w:sz w:val="16"/>
                <w:szCs w:val="16"/>
              </w:rPr>
              <w:t xml:space="preserve">Sesi 4</w:t>
            </w:r>
          </w:p>
        </w:tc>
        <w:tc>
          <w:tcPr>
            <w:tcW w:type="dxa" w:w="2340"/>
            <w:shd w:fill="F1F5F9" w:val="clear"/>
            <w:vAlign w:val="center"/>
          </w:tcPr>
          <w:p>
            <w:r>
              <w:rPr>
                <w:rFonts w:ascii="IBM Plex Mono" w:cs="IBM Plex Mono" w:eastAsia="IBM Plex Mono" w:hAnsi="IBM Plex Mono"/>
                <w:color w:val="334155"/>
                <w:sz w:val="16"/>
                <w:szCs w:val="16"/>
              </w:rPr>
              <w:t xml:space="preserve">Simulasi Kesiapsiagaan Komunitas</w:t>
            </w:r>
          </w:p>
        </w:tc>
        <w:tc>
          <w:tcPr>
            <w:tcW w:type="dxa" w:w="2340"/>
            <w:shd w:fill="F1F5F9" w:val="clear"/>
            <w:vAlign w:val="center"/>
          </w:tcPr>
          <w:p>
            <w:r>
              <w:rPr>
                <w:rFonts w:ascii="IBM Plex Mono" w:cs="IBM Plex Mono" w:eastAsia="IBM Plex Mono" w:hAnsi="IBM Plex Mono"/>
                <w:color w:val="334155"/>
                <w:sz w:val="16"/>
                <w:szCs w:val="16"/>
              </w:rPr>
              <w:t xml:space="preserve">± 30 menit</w:t>
            </w:r>
          </w:p>
        </w:tc>
        <w:tc>
          <w:tcPr>
            <w:tcW w:type="dxa" w:w="2340"/>
            <w:shd w:fill="F1F5F9" w:val="clear"/>
            <w:vAlign w:val="center"/>
          </w:tcPr>
          <w:p>
            <w:r>
              <w:rPr>
                <w:rFonts w:ascii="IBM Plex Mono" w:cs="IBM Plex Mono" w:eastAsia="IBM Plex Mono" w:hAnsi="IBM Plex Mono"/>
                <w:color w:val="334155"/>
                <w:sz w:val="16"/>
                <w:szCs w:val="16"/>
              </w:rPr>
              <w:t xml:space="preserve">Latihan praktis skenario rujukan: jalur transportasi menuju fasilitas rujukan, kontak calon donor darah, dan mekanisme dana sosial/tabungan bersalin; melibatkan suami/keluarga dan kader secara aktif.</w:t>
            </w:r>
          </w:p>
        </w:tc>
      </w:tr>
      <w:tr>
        <w:trPr>
          <w:cantSplit/>
        </w:trPr>
        <w:tc>
          <w:tcPr>
            <w:tcW w:type="dxa" w:w="2340"/>
            <w:shd w:fill="FFFFFF" w:val="clear"/>
            <w:vAlign w:val="center"/>
          </w:tcPr>
          <w:p>
            <w:r>
              <w:rPr>
                <w:rFonts w:ascii="IBM Plex Mono" w:cs="IBM Plex Mono" w:eastAsia="IBM Plex Mono" w:hAnsi="IBM Plex Mono"/>
                <w:color w:val="334155"/>
                <w:sz w:val="16"/>
                <w:szCs w:val="16"/>
              </w:rPr>
              <w:t xml:space="preserve">Sesi 5</w:t>
            </w:r>
          </w:p>
        </w:tc>
        <w:tc>
          <w:tcPr>
            <w:tcW w:type="dxa" w:w="2340"/>
            <w:shd w:fill="FFFFFF" w:val="clear"/>
            <w:vAlign w:val="center"/>
          </w:tcPr>
          <w:p>
            <w:r>
              <w:rPr>
                <w:rFonts w:ascii="IBM Plex Mono" w:cs="IBM Plex Mono" w:eastAsia="IBM Plex Mono" w:hAnsi="IBM Plex Mono"/>
                <w:color w:val="334155"/>
                <w:sz w:val="16"/>
                <w:szCs w:val="16"/>
              </w:rPr>
              <w:t xml:space="preserve">Tindak Lanjut dan Pemantauan Berkala</w:t>
            </w:r>
          </w:p>
        </w:tc>
        <w:tc>
          <w:tcPr>
            <w:tcW w:type="dxa" w:w="2340"/>
            <w:shd w:fill="FFFFFF" w:val="clear"/>
            <w:vAlign w:val="center"/>
          </w:tcPr>
          <w:p>
            <w:r>
              <w:rPr>
                <w:rFonts w:ascii="IBM Plex Mono" w:cs="IBM Plex Mono" w:eastAsia="IBM Plex Mono" w:hAnsi="IBM Plex Mono"/>
                <w:color w:val="334155"/>
                <w:sz w:val="16"/>
                <w:szCs w:val="16"/>
              </w:rPr>
              <w:t xml:space="preserve">Berkelanjutan (mengikuti jadwal kontak antenatal dan menjelang taksiran persalinan)</w:t>
            </w:r>
          </w:p>
        </w:tc>
        <w:tc>
          <w:tcPr>
            <w:tcW w:type="dxa" w:w="2340"/>
            <w:shd w:fill="FFFFFF" w:val="clear"/>
            <w:vAlign w:val="center"/>
          </w:tcPr>
          <w:p>
            <w:r>
              <w:rPr>
                <w:rFonts w:ascii="IBM Plex Mono" w:cs="IBM Plex Mono" w:eastAsia="IBM Plex Mono" w:hAnsi="IBM Plex Mono"/>
                <w:color w:val="334155"/>
                <w:sz w:val="16"/>
                <w:szCs w:val="16"/>
              </w:rPr>
              <w:t xml:space="preserve">Kunjungan rumah oleh kader untuk memantau kepatuhan kontak antenatal, kemunculan tanda bahaya baru, dan pemutakhiran stiker P4K; pelaporan berjenjang kepada bidan Puskesmas.</w:t>
            </w:r>
          </w:p>
        </w:tc>
      </w:tr>
    </w:tbl>
    <w:p>
      <w:pPr>
        <w:spacing w:after="200"/>
      </w:pPr>
    </w:p>
    <w:p>
      <w:pPr>
        <w:spacing w:after="180"/>
        <w:jc w:val="both"/>
      </w:pPr>
      <w:r>
        <w:rPr>
          <w:rFonts w:ascii="IBM Plex Sans" w:cs="IBM Plex Sans" w:eastAsia="IBM Plex Sans" w:hAnsi="IBM Plex Sans"/>
          <w:color w:val="334155"/>
          <w:sz w:val="21"/>
          <w:szCs w:val="21"/>
        </w:rPr>
        <w:t xml:space="preserve">Kelima sesi tersebut dilaksanakan secara berkesinambungan sepanjang masa kehamilan hingga menjelang taksiran persalinan, dengan Sesi 5 berlangsung terus-menerus melalui kunjungan rumah oleh kader sebagai jembatan pemantauan antarsesi terjadwal. Penjadwalan Sesi 2 dan Sesi 3 dianjurkan mengikuti titik kontak antenatal yang telah ditetapkan agar edukasi dan pengisian stiker P4K berlangsung selaras dengan pemeriksaan kehamilan, sebagaimana diuraikan pada Bagian 5.</w:t>
      </w:r>
    </w:p>
    <w:p>
      <w:pPr>
        <w:pStyle w:val="Heading1"/>
        <w:spacing w:after="160" w:before="320"/>
      </w:pPr>
      <w:r>
        <w:t xml:space="preserve">4. Peran Tenaga Kesehatan per Sesi</w:t>
      </w:r>
    </w:p>
    <w:p>
      <w:pPr>
        <w:pStyle w:val="Heading2"/>
        <w:spacing w:after="120" w:before="220"/>
      </w:pPr>
      <w:r>
        <w:t xml:space="preserve">4.1 Dokter Spesialis Obstetri dan Ginekologi/Subspesialis</w:t>
      </w:r>
    </w:p>
    <w:p>
      <w:pPr>
        <w:pStyle w:val="ListParagraph"/>
        <w:numPr>
          <w:ilvl w:val="0"/>
          <w:numId w:val="1"/>
        </w:numPr>
        <w:spacing w:after="80"/>
      </w:pPr>
      <w:r>
        <w:rPr>
          <w:rFonts w:ascii="IBM Plex Sans" w:cs="IBM Plex Sans" w:eastAsia="IBM Plex Sans" w:hAnsi="IBM Plex Sans"/>
          <w:color w:val="334155"/>
          <w:sz w:val="21"/>
          <w:szCs w:val="21"/>
        </w:rPr>
        <w:t xml:space="preserve">Menetapkan kriteria klinis rujukan berisiko tinggi berdasarkan Tabel 7 No. 7–16 sebagai acuan skrining kader dan bidan.</w:t>
      </w:r>
    </w:p>
    <w:p>
      <w:pPr>
        <w:pStyle w:val="ListParagraph"/>
        <w:numPr>
          <w:ilvl w:val="0"/>
          <w:numId w:val="1"/>
        </w:numPr>
        <w:spacing w:after="80"/>
      </w:pPr>
      <w:r>
        <w:rPr>
          <w:rFonts w:ascii="IBM Plex Sans" w:cs="IBM Plex Sans" w:eastAsia="IBM Plex Sans" w:hAnsi="IBM Plex Sans"/>
          <w:color w:val="334155"/>
          <w:sz w:val="21"/>
          <w:szCs w:val="21"/>
        </w:rPr>
        <w:t xml:space="preserve">Memberikan supervisi klinis berkala terhadap kasus prioritas yang teridentifikasi dalam sesi kelompok.</w:t>
      </w:r>
    </w:p>
    <w:p>
      <w:pPr>
        <w:pStyle w:val="ListParagraph"/>
        <w:numPr>
          <w:ilvl w:val="0"/>
          <w:numId w:val="1"/>
        </w:numPr>
        <w:spacing w:after="80"/>
      </w:pPr>
      <w:r>
        <w:rPr>
          <w:rFonts w:ascii="IBM Plex Sans" w:cs="IBM Plex Sans" w:eastAsia="IBM Plex Sans" w:hAnsi="IBM Plex Sans"/>
          <w:color w:val="334155"/>
          <w:sz w:val="21"/>
          <w:szCs w:val="21"/>
        </w:rPr>
        <w:t xml:space="preserve">Memimpin atau mensupervisi edukasi lanjutan bagi kelompok ibu hamil dengan faktor risiko tinggi, dalam kerangka jejaring Puskesmas-rumah sakit rujukan.</w:t>
      </w:r>
    </w:p>
    <w:p>
      <w:pPr>
        <w:pStyle w:val="Heading2"/>
        <w:spacing w:after="120" w:before="220"/>
      </w:pPr>
      <w:r>
        <w:t xml:space="preserve">4.2 Peserta Program Dokter Spesialis (PPDS)</w:t>
      </w:r>
    </w:p>
    <w:p>
      <w:pPr>
        <w:pStyle w:val="ListParagraph"/>
        <w:numPr>
          <w:ilvl w:val="0"/>
          <w:numId w:val="1"/>
        </w:numPr>
        <w:spacing w:after="80"/>
      </w:pPr>
      <w:r>
        <w:rPr>
          <w:rFonts w:ascii="IBM Plex Sans" w:cs="IBM Plex Sans" w:eastAsia="IBM Plex Sans" w:hAnsi="IBM Plex Sans"/>
          <w:color w:val="334155"/>
          <w:sz w:val="21"/>
          <w:szCs w:val="21"/>
        </w:rPr>
        <w:t xml:space="preserve">Membantu pelaksanaan skrining awal di bawah supervisi dokter spesialis/subspesialis.</w:t>
      </w:r>
    </w:p>
    <w:p>
      <w:pPr>
        <w:pStyle w:val="ListParagraph"/>
        <w:numPr>
          <w:ilvl w:val="0"/>
          <w:numId w:val="1"/>
        </w:numPr>
        <w:spacing w:after="80"/>
      </w:pPr>
      <w:r>
        <w:rPr>
          <w:rFonts w:ascii="IBM Plex Sans" w:cs="IBM Plex Sans" w:eastAsia="IBM Plex Sans" w:hAnsi="IBM Plex Sans"/>
          <w:color w:val="334155"/>
          <w:sz w:val="21"/>
          <w:szCs w:val="21"/>
        </w:rPr>
        <w:t xml:space="preserve">Mendokumentasikan temuan klinis dan proses rujukan kasus prioritas.</w:t>
      </w:r>
    </w:p>
    <w:p>
      <w:pPr>
        <w:pStyle w:val="ListParagraph"/>
        <w:numPr>
          <w:ilvl w:val="0"/>
          <w:numId w:val="1"/>
        </w:numPr>
        <w:spacing w:after="80"/>
      </w:pPr>
      <w:r>
        <w:rPr>
          <w:rFonts w:ascii="IBM Plex Sans" w:cs="IBM Plex Sans" w:eastAsia="IBM Plex Sans" w:hAnsi="IBM Plex Sans"/>
          <w:color w:val="334155"/>
          <w:sz w:val="21"/>
          <w:szCs w:val="21"/>
        </w:rPr>
        <w:t xml:space="preserve">Berpartisipasi dalam edukasi kelompok sebagai bagian pembelajaran kompetensi layanan berbasis komunitas.</w:t>
      </w:r>
    </w:p>
    <w:p>
      <w:pPr>
        <w:pStyle w:val="Heading2"/>
        <w:spacing w:after="120" w:before="220"/>
      </w:pPr>
      <w:r>
        <w:t xml:space="preserve">4.3 Bidan/Perawat Puskesmas</w:t>
      </w:r>
    </w:p>
    <w:p>
      <w:pPr>
        <w:pStyle w:val="ListParagraph"/>
        <w:numPr>
          <w:ilvl w:val="0"/>
          <w:numId w:val="1"/>
        </w:numPr>
        <w:spacing w:after="80"/>
      </w:pPr>
      <w:r>
        <w:rPr>
          <w:rFonts w:ascii="IBM Plex Sans" w:cs="IBM Plex Sans" w:eastAsia="IBM Plex Sans" w:hAnsi="IBM Plex Sans"/>
          <w:color w:val="334155"/>
          <w:sz w:val="21"/>
          <w:szCs w:val="21"/>
        </w:rPr>
        <w:t xml:space="preserve">Menjadi pelaksana utama seluruh rangkaian Sesi 1 hingga Sesi 4.</w:t>
      </w:r>
    </w:p>
    <w:p>
      <w:pPr>
        <w:pStyle w:val="ListParagraph"/>
        <w:numPr>
          <w:ilvl w:val="0"/>
          <w:numId w:val="1"/>
        </w:numPr>
        <w:spacing w:after="80"/>
      </w:pPr>
      <w:r>
        <w:rPr>
          <w:rFonts w:ascii="IBM Plex Sans" w:cs="IBM Plex Sans" w:eastAsia="IBM Plex Sans" w:hAnsi="IBM Plex Sans"/>
          <w:color w:val="334155"/>
          <w:sz w:val="21"/>
          <w:szCs w:val="21"/>
        </w:rPr>
        <w:t xml:space="preserve">Melakukan skrining tanda vital dan faktor risiko pada Sesi 1.</w:t>
      </w:r>
    </w:p>
    <w:p>
      <w:pPr>
        <w:pStyle w:val="ListParagraph"/>
        <w:numPr>
          <w:ilvl w:val="0"/>
          <w:numId w:val="1"/>
        </w:numPr>
        <w:spacing w:after="80"/>
      </w:pPr>
      <w:r>
        <w:rPr>
          <w:rFonts w:ascii="IBM Plex Sans" w:cs="IBM Plex Sans" w:eastAsia="IBM Plex Sans" w:hAnsi="IBM Plex Sans"/>
          <w:color w:val="334155"/>
          <w:sz w:val="21"/>
          <w:szCs w:val="21"/>
        </w:rPr>
        <w:t xml:space="preserve">Memfasilitasi pengisian stiker P4K pada Sesi 3.</w:t>
      </w:r>
    </w:p>
    <w:p>
      <w:pPr>
        <w:pStyle w:val="ListParagraph"/>
        <w:numPr>
          <w:ilvl w:val="0"/>
          <w:numId w:val="1"/>
        </w:numPr>
        <w:spacing w:after="80"/>
      </w:pPr>
      <w:r>
        <w:rPr>
          <w:rFonts w:ascii="IBM Plex Sans" w:cs="IBM Plex Sans" w:eastAsia="IBM Plex Sans" w:hAnsi="IBM Plex Sans"/>
          <w:color w:val="334155"/>
          <w:sz w:val="21"/>
          <w:szCs w:val="21"/>
        </w:rPr>
        <w:t xml:space="preserve">Mengoordinasikan alur rujukan berjenjang bila ditemukan kasus berisiko sesuai Bagian 7.</w:t>
      </w:r>
    </w:p>
    <w:p>
      <w:pPr>
        <w:pStyle w:val="Heading2"/>
        <w:spacing w:after="120" w:before="220"/>
      </w:pPr>
      <w:r>
        <w:t xml:space="preserve">4.4 Kader Kesehatan</w:t>
      </w:r>
    </w:p>
    <w:p>
      <w:pPr>
        <w:pStyle w:val="ListParagraph"/>
        <w:numPr>
          <w:ilvl w:val="0"/>
          <w:numId w:val="1"/>
        </w:numPr>
        <w:spacing w:after="80"/>
      </w:pPr>
      <w:r>
        <w:rPr>
          <w:rFonts w:ascii="IBM Plex Sans" w:cs="IBM Plex Sans" w:eastAsia="IBM Plex Sans" w:hAnsi="IBM Plex Sans"/>
          <w:color w:val="334155"/>
          <w:sz w:val="21"/>
          <w:szCs w:val="21"/>
        </w:rPr>
        <w:t xml:space="preserve">Melakukan mobilisasi dan pendaftaran peserta.</w:t>
      </w:r>
    </w:p>
    <w:p>
      <w:pPr>
        <w:pStyle w:val="ListParagraph"/>
        <w:numPr>
          <w:ilvl w:val="0"/>
          <w:numId w:val="1"/>
        </w:numPr>
        <w:spacing w:after="80"/>
      </w:pPr>
      <w:r>
        <w:rPr>
          <w:rFonts w:ascii="IBM Plex Sans" w:cs="IBM Plex Sans" w:eastAsia="IBM Plex Sans" w:hAnsi="IBM Plex Sans"/>
          <w:color w:val="334155"/>
          <w:sz w:val="21"/>
          <w:szCs w:val="21"/>
        </w:rPr>
        <w:t xml:space="preserve">Menjadi pelaksana kunjungan rumah (Sesi 5) dan pemantauan tanda bahaya di tingkat rumah tangga.</w:t>
      </w:r>
    </w:p>
    <w:p>
      <w:pPr>
        <w:pStyle w:val="ListParagraph"/>
        <w:numPr>
          <w:ilvl w:val="0"/>
          <w:numId w:val="1"/>
        </w:numPr>
        <w:spacing w:after="80"/>
      </w:pPr>
      <w:r>
        <w:rPr>
          <w:rFonts w:ascii="IBM Plex Sans" w:cs="IBM Plex Sans" w:eastAsia="IBM Plex Sans" w:hAnsi="IBM Plex Sans"/>
          <w:color w:val="334155"/>
          <w:sz w:val="21"/>
          <w:szCs w:val="21"/>
        </w:rPr>
        <w:t xml:space="preserve">Menjadi penghubung komunikasi antara ibu hamil/keluarga dengan bidan/Puskesmas.</w:t>
      </w:r>
    </w:p>
    <w:p>
      <w:pPr>
        <w:pStyle w:val="ListParagraph"/>
        <w:numPr>
          <w:ilvl w:val="0"/>
          <w:numId w:val="1"/>
        </w:numPr>
        <w:spacing w:after="80"/>
      </w:pPr>
      <w:r>
        <w:rPr>
          <w:rFonts w:ascii="IBM Plex Sans" w:cs="IBM Plex Sans" w:eastAsia="IBM Plex Sans" w:hAnsi="IBM Plex Sans"/>
          <w:color w:val="334155"/>
          <w:sz w:val="21"/>
          <w:szCs w:val="21"/>
        </w:rPr>
        <w:t xml:space="preserve">Memfasilitasi kesiapsiagaan komunitas: pendataan calon donor darah dan transportasi siaga.</w:t>
      </w:r>
    </w:p>
    <w:p>
      <w:pPr>
        <w:pStyle w:val="Heading1"/>
        <w:spacing w:after="160" w:before="320"/>
      </w:pPr>
      <w:r>
        <w:t xml:space="preserve">5. Materi/Konten yang Disampaikan pada Setiap Sesi</w:t>
      </w:r>
    </w:p>
    <w:p>
      <w:pPr>
        <w:spacing w:after="180"/>
        <w:jc w:val="both"/>
      </w:pPr>
      <w:r>
        <w:rPr>
          <w:rFonts w:ascii="IBM Plex Sans" w:cs="IBM Plex Sans" w:eastAsia="IBM Plex Sans" w:hAnsi="IBM Plex Sans"/>
          <w:color w:val="334155"/>
          <w:sz w:val="21"/>
          <w:szCs w:val="21"/>
        </w:rPr>
        <w:t xml:space="preserve">Materi disusun agar dapat dipahami oleh peserta nonmedis, dengan penyederhanaan istilah klinis tanpa mengurangi ketepatan substansi. Materi inti mencakup:</w:t>
      </w:r>
    </w:p>
    <w:p>
      <w:pPr>
        <w:pStyle w:val="ListParagraph"/>
        <w:numPr>
          <w:ilvl w:val="0"/>
          <w:numId w:val="1"/>
        </w:numPr>
        <w:spacing w:after="80"/>
      </w:pPr>
      <w:r>
        <w:rPr>
          <w:rFonts w:ascii="IBM Plex Sans" w:cs="IBM Plex Sans" w:eastAsia="IBM Plex Sans" w:hAnsi="IBM Plex Sans"/>
          <w:color w:val="334155"/>
          <w:sz w:val="21"/>
          <w:szCs w:val="21"/>
        </w:rPr>
        <w:t xml:space="preserve">Tanda bahaya kehamilan trimester I–III: perdarahan pervaginam, sakit kepala hebat disertai pandangan kabur, nyeri ulu hati, bengkak wajah/tangan yang muncul mendadak, kejang, gerakan janin berkurang atau menghilang, serta air ketuban pecah sebelum waktunya.</w:t>
      </w:r>
    </w:p>
    <w:p>
      <w:pPr>
        <w:pStyle w:val="ListParagraph"/>
        <w:numPr>
          <w:ilvl w:val="0"/>
          <w:numId w:val="1"/>
        </w:numPr>
        <w:spacing w:after="80"/>
      </w:pPr>
      <w:r>
        <w:rPr>
          <w:rFonts w:ascii="IBM Plex Sans" w:cs="IBM Plex Sans" w:eastAsia="IBM Plex Sans" w:hAnsi="IBM Plex Sans"/>
          <w:color w:val="334155"/>
          <w:sz w:val="21"/>
          <w:szCs w:val="21"/>
        </w:rPr>
        <w:t xml:space="preserve">Penjelasan sederhana kondisi berisiko tinggi yang bersesuaian dengan Tabel 7 No. 7–16: spektrum hipertensi dalam kehamilan (hipertensi gestasional, preeklampsia, preeklampsia dengan gejala berat, eklampsia), risiko pada kehamilan dengan riwayat seksio sesarea sebelumnya termasuk potensi ruptur uteri, serta kondisi perdarahan (plasenta previa, solusio plasenta, atonia uteri, retensio plasenta).</w:t>
      </w:r>
    </w:p>
    <w:p>
      <w:pPr>
        <w:pStyle w:val="ListParagraph"/>
        <w:numPr>
          <w:ilvl w:val="0"/>
          <w:numId w:val="1"/>
        </w:numPr>
        <w:spacing w:after="80"/>
      </w:pPr>
      <w:r>
        <w:rPr>
          <w:rFonts w:ascii="IBM Plex Sans" w:cs="IBM Plex Sans" w:eastAsia="IBM Plex Sans" w:hAnsi="IBM Plex Sans"/>
          <w:color w:val="334155"/>
          <w:sz w:val="21"/>
          <w:szCs w:val="21"/>
        </w:rPr>
        <w:t xml:space="preserve">Isi dan tata cara pengisian stiker P4K.</w:t>
      </w:r>
    </w:p>
    <w:p>
      <w:pPr>
        <w:pStyle w:val="ListParagraph"/>
        <w:numPr>
          <w:ilvl w:val="0"/>
          <w:numId w:val="1"/>
        </w:numPr>
        <w:spacing w:after="80"/>
      </w:pPr>
      <w:r>
        <w:rPr>
          <w:rFonts w:ascii="IBM Plex Sans" w:cs="IBM Plex Sans" w:eastAsia="IBM Plex Sans" w:hAnsi="IBM Plex Sans"/>
          <w:color w:val="334155"/>
          <w:sz w:val="21"/>
          <w:szCs w:val="21"/>
        </w:rPr>
        <w:t xml:space="preserve">Pentingnya persalinan di fasilitas kesehatan yang ditolong tenaga kesehatan terlatih.</w:t>
      </w:r>
    </w:p>
    <w:p>
      <w:pPr>
        <w:pStyle w:val="ListParagraph"/>
        <w:numPr>
          <w:ilvl w:val="0"/>
          <w:numId w:val="1"/>
        </w:numPr>
        <w:spacing w:after="80"/>
      </w:pPr>
      <w:r>
        <w:rPr>
          <w:rFonts w:ascii="IBM Plex Sans" w:cs="IBM Plex Sans" w:eastAsia="IBM Plex Sans" w:hAnsi="IBM Plex Sans"/>
          <w:color w:val="334155"/>
          <w:sz w:val="21"/>
          <w:szCs w:val="21"/>
        </w:rPr>
        <w:t xml:space="preserve">Konsep rujukan berjenjang dan pentingnya kesiapsiagaan — transportasi, donor darah, dan dana.</w:t>
      </w:r>
    </w:p>
    <w:p>
      <w:pPr>
        <w:pStyle w:val="ListParagraph"/>
        <w:numPr>
          <w:ilvl w:val="0"/>
          <w:numId w:val="1"/>
        </w:numPr>
        <w:spacing w:after="80"/>
      </w:pPr>
      <w:r>
        <w:rPr>
          <w:rFonts w:ascii="IBM Plex Sans" w:cs="IBM Plex Sans" w:eastAsia="IBM Plex Sans" w:hAnsi="IBM Plex Sans"/>
          <w:color w:val="334155"/>
          <w:sz w:val="21"/>
          <w:szCs w:val="21"/>
        </w:rPr>
        <w:t xml:space="preserve">Peran aktif suami/keluarga dalam mendukung pengambilan keputusan persalinan yang aman.</w:t>
      </w:r>
    </w:p>
    <w:p>
      <w:pPr>
        <w:spacing w:after="180"/>
        <w:jc w:val="both"/>
      </w:pPr>
      <w:r>
        <w:rPr>
          <w:rFonts w:ascii="IBM Plex Sans" w:cs="IBM Plex Sans" w:eastAsia="IBM Plex Sans" w:hAnsi="IBM Plex Sans"/>
          <w:color w:val="334155"/>
          <w:sz w:val="21"/>
          <w:szCs w:val="21"/>
        </w:rPr>
        <w:t xml:space="preserve">Sebagai kerangka waktu edukasi, Organisasi Kesehatan Dunia (WHO) merekomendasikan model kontak antenatal minimal delapan kali sepanjang kehamilan untuk memperbaiki luaran perinatal dan pengalaman ibu, dengan kontak pertama pada trimester I dan kontak berikutnya terjadwal hingga mendekati usia kehamilan 40 minggu (WHO, 2016). Tabel berikut merangkum titik kontak tersebut sebagai acuan penjadwalan Sesi 2, Sesi 3, dan Sesi 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Pr>
        <w:tc>
          <w:tcPr>
            <w:tcW w:type="dxa" w:w="3120"/>
            <w:shd w:fill="4F46E5" w:val="clear"/>
            <w:vAlign w:val="center"/>
          </w:tcPr>
          <w:p>
            <w:r>
              <w:rPr>
                <w:rFonts w:ascii="IBM Plex Sans" w:cs="IBM Plex Sans" w:eastAsia="IBM Plex Sans" w:hAnsi="IBM Plex Sans"/>
                <w:b/>
                <w:bCs/>
                <w:color w:val="FFFFFF"/>
                <w:sz w:val="18"/>
                <w:szCs w:val="18"/>
              </w:rPr>
              <w:t xml:space="preserve">Kontak</w:t>
            </w:r>
          </w:p>
        </w:tc>
        <w:tc>
          <w:tcPr>
            <w:tcW w:type="dxa" w:w="3120"/>
            <w:shd w:fill="4F46E5" w:val="clear"/>
            <w:vAlign w:val="center"/>
          </w:tcPr>
          <w:p>
            <w:r>
              <w:rPr>
                <w:rFonts w:ascii="IBM Plex Sans" w:cs="IBM Plex Sans" w:eastAsia="IBM Plex Sans" w:hAnsi="IBM Plex Sans"/>
                <w:b/>
                <w:bCs/>
                <w:color w:val="FFFFFF"/>
                <w:sz w:val="18"/>
                <w:szCs w:val="18"/>
              </w:rPr>
              <w:t xml:space="preserve">Perkiraan Usia Kehamilan</w:t>
            </w:r>
          </w:p>
        </w:tc>
        <w:tc>
          <w:tcPr>
            <w:tcW w:type="dxa" w:w="3120"/>
            <w:shd w:fill="4F46E5" w:val="clear"/>
            <w:vAlign w:val="center"/>
          </w:tcPr>
          <w:p>
            <w:r>
              <w:rPr>
                <w:rFonts w:ascii="IBM Plex Sans" w:cs="IBM Plex Sans" w:eastAsia="IBM Plex Sans" w:hAnsi="IBM Plex Sans"/>
                <w:b/>
                <w:bCs/>
                <w:color w:val="FFFFFF"/>
                <w:sz w:val="18"/>
                <w:szCs w:val="18"/>
              </w:rPr>
              <w:t xml:space="preserve">Fokus Utama</w:t>
            </w:r>
          </w:p>
        </w:tc>
      </w:tr>
      <w:tr>
        <w:trPr>
          <w:cantSplit/>
        </w:trPr>
        <w:tc>
          <w:tcPr>
            <w:tcW w:type="dxa" w:w="3120"/>
            <w:shd w:fill="FFFFFF" w:val="clear"/>
            <w:vAlign w:val="center"/>
          </w:tcPr>
          <w:p>
            <w:r>
              <w:rPr>
                <w:rFonts w:ascii="IBM Plex Mono" w:cs="IBM Plex Mono" w:eastAsia="IBM Plex Mono" w:hAnsi="IBM Plex Mono"/>
                <w:color w:val="334155"/>
                <w:sz w:val="16"/>
                <w:szCs w:val="16"/>
              </w:rPr>
              <w:t xml:space="preserve">1</w:t>
            </w:r>
          </w:p>
        </w:tc>
        <w:tc>
          <w:tcPr>
            <w:tcW w:type="dxa" w:w="3120"/>
            <w:shd w:fill="FFFFFF" w:val="clear"/>
            <w:vAlign w:val="center"/>
          </w:tcPr>
          <w:p>
            <w:r>
              <w:rPr>
                <w:rFonts w:ascii="IBM Plex Mono" w:cs="IBM Plex Mono" w:eastAsia="IBM Plex Mono" w:hAnsi="IBM Plex Mono"/>
                <w:color w:val="334155"/>
                <w:sz w:val="16"/>
                <w:szCs w:val="16"/>
              </w:rPr>
              <w:t xml:space="preserve">Sebelum 12 minggu (trimester I)</w:t>
            </w:r>
          </w:p>
        </w:tc>
        <w:tc>
          <w:tcPr>
            <w:tcW w:type="dxa" w:w="3120"/>
            <w:shd w:fill="FFFFFF" w:val="clear"/>
            <w:vAlign w:val="center"/>
          </w:tcPr>
          <w:p>
            <w:r>
              <w:rPr>
                <w:rFonts w:ascii="IBM Plex Mono" w:cs="IBM Plex Mono" w:eastAsia="IBM Plex Mono" w:hAnsi="IBM Plex Mono"/>
                <w:color w:val="334155"/>
                <w:sz w:val="16"/>
                <w:szCs w:val="16"/>
              </w:rPr>
              <w:t xml:space="preserve">Konfirmasi kehamilan, penapisan awal faktor risiko, edukasi tanda bahaya</w:t>
            </w:r>
          </w:p>
        </w:tc>
      </w:tr>
      <w:tr>
        <w:trPr>
          <w:cantSplit/>
        </w:trPr>
        <w:tc>
          <w:tcPr>
            <w:tcW w:type="dxa" w:w="3120"/>
            <w:shd w:fill="F1F5F9" w:val="clear"/>
            <w:vAlign w:val="center"/>
          </w:tcPr>
          <w:p>
            <w:r>
              <w:rPr>
                <w:rFonts w:ascii="IBM Plex Mono" w:cs="IBM Plex Mono" w:eastAsia="IBM Plex Mono" w:hAnsi="IBM Plex Mono"/>
                <w:color w:val="334155"/>
                <w:sz w:val="16"/>
                <w:szCs w:val="16"/>
              </w:rPr>
              <w:t xml:space="preserve">2</w:t>
            </w:r>
          </w:p>
        </w:tc>
        <w:tc>
          <w:tcPr>
            <w:tcW w:type="dxa" w:w="3120"/>
            <w:shd w:fill="F1F5F9" w:val="clear"/>
            <w:vAlign w:val="center"/>
          </w:tcPr>
          <w:p>
            <w:r>
              <w:rPr>
                <w:rFonts w:ascii="IBM Plex Mono" w:cs="IBM Plex Mono" w:eastAsia="IBM Plex Mono" w:hAnsi="IBM Plex Mono"/>
                <w:color w:val="334155"/>
                <w:sz w:val="16"/>
                <w:szCs w:val="16"/>
              </w:rPr>
              <w:t xml:space="preserve">20 minggu (trimester II)</w:t>
            </w:r>
          </w:p>
        </w:tc>
        <w:tc>
          <w:tcPr>
            <w:tcW w:type="dxa" w:w="3120"/>
            <w:shd w:fill="F1F5F9" w:val="clear"/>
            <w:vAlign w:val="center"/>
          </w:tcPr>
          <w:p>
            <w:r>
              <w:rPr>
                <w:rFonts w:ascii="IBM Plex Mono" w:cs="IBM Plex Mono" w:eastAsia="IBM Plex Mono" w:hAnsi="IBM Plex Mono"/>
                <w:color w:val="334155"/>
                <w:sz w:val="16"/>
                <w:szCs w:val="16"/>
              </w:rPr>
              <w:t xml:space="preserve">Pemantauan pertumbuhan janin, penapisan hipertensi dalam kehamilan</w:t>
            </w:r>
          </w:p>
        </w:tc>
      </w:tr>
      <w:tr>
        <w:trPr>
          <w:cantSplit/>
        </w:trPr>
        <w:tc>
          <w:tcPr>
            <w:tcW w:type="dxa" w:w="3120"/>
            <w:shd w:fill="FFFFFF" w:val="clear"/>
            <w:vAlign w:val="center"/>
          </w:tcPr>
          <w:p>
            <w:r>
              <w:rPr>
                <w:rFonts w:ascii="IBM Plex Mono" w:cs="IBM Plex Mono" w:eastAsia="IBM Plex Mono" w:hAnsi="IBM Plex Mono"/>
                <w:color w:val="334155"/>
                <w:sz w:val="16"/>
                <w:szCs w:val="16"/>
              </w:rPr>
              <w:t xml:space="preserve">3</w:t>
            </w:r>
          </w:p>
        </w:tc>
        <w:tc>
          <w:tcPr>
            <w:tcW w:type="dxa" w:w="3120"/>
            <w:shd w:fill="FFFFFF" w:val="clear"/>
            <w:vAlign w:val="center"/>
          </w:tcPr>
          <w:p>
            <w:r>
              <w:rPr>
                <w:rFonts w:ascii="IBM Plex Mono" w:cs="IBM Plex Mono" w:eastAsia="IBM Plex Mono" w:hAnsi="IBM Plex Mono"/>
                <w:color w:val="334155"/>
                <w:sz w:val="16"/>
                <w:szCs w:val="16"/>
              </w:rPr>
              <w:t xml:space="preserve">26 minggu (trimester II)</w:t>
            </w:r>
          </w:p>
        </w:tc>
        <w:tc>
          <w:tcPr>
            <w:tcW w:type="dxa" w:w="3120"/>
            <w:shd w:fill="FFFFFF" w:val="clear"/>
            <w:vAlign w:val="center"/>
          </w:tcPr>
          <w:p>
            <w:r>
              <w:rPr>
                <w:rFonts w:ascii="IBM Plex Mono" w:cs="IBM Plex Mono" w:eastAsia="IBM Plex Mono" w:hAnsi="IBM Plex Mono"/>
                <w:color w:val="334155"/>
                <w:sz w:val="16"/>
                <w:szCs w:val="16"/>
              </w:rPr>
              <w:t xml:space="preserve">Evaluasi lanjutan faktor risiko, edukasi persiapan P4K</w:t>
            </w:r>
          </w:p>
        </w:tc>
      </w:tr>
      <w:tr>
        <w:trPr>
          <w:cantSplit/>
        </w:trPr>
        <w:tc>
          <w:tcPr>
            <w:tcW w:type="dxa" w:w="3120"/>
            <w:shd w:fill="F1F5F9" w:val="clear"/>
            <w:vAlign w:val="center"/>
          </w:tcPr>
          <w:p>
            <w:r>
              <w:rPr>
                <w:rFonts w:ascii="IBM Plex Mono" w:cs="IBM Plex Mono" w:eastAsia="IBM Plex Mono" w:hAnsi="IBM Plex Mono"/>
                <w:color w:val="334155"/>
                <w:sz w:val="16"/>
                <w:szCs w:val="16"/>
              </w:rPr>
              <w:t xml:space="preserve">4–8</w:t>
            </w:r>
          </w:p>
        </w:tc>
        <w:tc>
          <w:tcPr>
            <w:tcW w:type="dxa" w:w="3120"/>
            <w:shd w:fill="F1F5F9" w:val="clear"/>
            <w:vAlign w:val="center"/>
          </w:tcPr>
          <w:p>
            <w:r>
              <w:rPr>
                <w:rFonts w:ascii="IBM Plex Mono" w:cs="IBM Plex Mono" w:eastAsia="IBM Plex Mono" w:hAnsi="IBM Plex Mono"/>
                <w:color w:val="334155"/>
                <w:sz w:val="16"/>
                <w:szCs w:val="16"/>
              </w:rPr>
              <w:t xml:space="preserve">30, 34, 36, 38, dan 40 minggu (trimester III)</w:t>
            </w:r>
          </w:p>
        </w:tc>
        <w:tc>
          <w:tcPr>
            <w:tcW w:type="dxa" w:w="3120"/>
            <w:shd w:fill="F1F5F9" w:val="clear"/>
            <w:vAlign w:val="center"/>
          </w:tcPr>
          <w:p>
            <w:r>
              <w:rPr>
                <w:rFonts w:ascii="IBM Plex Mono" w:cs="IBM Plex Mono" w:eastAsia="IBM Plex Mono" w:hAnsi="IBM Plex Mono"/>
                <w:color w:val="334155"/>
                <w:sz w:val="16"/>
                <w:szCs w:val="16"/>
              </w:rPr>
              <w:t xml:space="preserve">Pemantauan intensif menjelang persalinan, finalisasi rencana pada stiker P4K</w:t>
            </w:r>
          </w:p>
        </w:tc>
      </w:tr>
    </w:tbl>
    <w:p>
      <w:pPr>
        <w:spacing w:after="200"/>
      </w:pPr>
    </w:p>
    <w:p>
      <w:pPr>
        <w:spacing w:after="180"/>
        <w:jc w:val="both"/>
      </w:pPr>
      <w:r>
        <w:rPr>
          <w:rFonts w:ascii="IBM Plex Sans" w:cs="IBM Plex Sans" w:eastAsia="IBM Plex Sans" w:hAnsi="IBM Plex Sans"/>
          <w:color w:val="334155"/>
          <w:sz w:val="21"/>
          <w:szCs w:val="21"/>
        </w:rPr>
        <w:t xml:space="preserve">Fasilitator menyesuaikan istilah "kontak" dengan istilah yang lazim digunakan pada sistem pencatatan kesehatan ibu dan anak setempat, tanpa mengubah substansi jumlah dan sebaran pertemuan yang direkomendasikan.</w:t>
      </w:r>
    </w:p>
    <w:p>
      <w:pPr>
        <w:pStyle w:val="Heading1"/>
        <w:spacing w:after="160" w:before="320"/>
      </w:pPr>
      <w:r>
        <w:t xml:space="preserve">6. Indikator Keberhasilan Program</w:t>
      </w:r>
    </w:p>
    <w:p>
      <w:pPr>
        <w:pStyle w:val="Heading2"/>
        <w:spacing w:after="120" w:before="220"/>
      </w:pPr>
      <w:r>
        <w:t xml:space="preserve">6.1 Indikator Tingkat Individu Peserta</w:t>
      </w:r>
    </w:p>
    <w:p>
      <w:pPr>
        <w:pStyle w:val="ListParagraph"/>
        <w:numPr>
          <w:ilvl w:val="0"/>
          <w:numId w:val="1"/>
        </w:numPr>
        <w:spacing w:after="80"/>
      </w:pPr>
      <w:r>
        <w:rPr>
          <w:rFonts w:ascii="IBM Plex Sans" w:cs="IBM Plex Sans" w:eastAsia="IBM Plex Sans" w:hAnsi="IBM Plex Sans"/>
          <w:color w:val="334155"/>
          <w:sz w:val="21"/>
          <w:szCs w:val="21"/>
        </w:rPr>
        <w:t xml:space="preserve">Proporsi ibu hamil peserta dengan stiker P4K terisi lengkap sebelum usia kehamilan 32 minggu.</w:t>
      </w:r>
    </w:p>
    <w:p>
      <w:pPr>
        <w:pStyle w:val="ListParagraph"/>
        <w:numPr>
          <w:ilvl w:val="0"/>
          <w:numId w:val="1"/>
        </w:numPr>
        <w:spacing w:after="80"/>
      </w:pPr>
      <w:r>
        <w:rPr>
          <w:rFonts w:ascii="IBM Plex Sans" w:cs="IBM Plex Sans" w:eastAsia="IBM Plex Sans" w:hAnsi="IBM Plex Sans"/>
          <w:color w:val="334155"/>
          <w:sz w:val="21"/>
          <w:szCs w:val="21"/>
        </w:rPr>
        <w:t xml:space="preserve">Kepatuhan terhadap jadwal kontak antenatal yang direncanakan bersama, mengacu pada model kontak pada Bagian 5.</w:t>
      </w:r>
    </w:p>
    <w:p>
      <w:pPr>
        <w:pStyle w:val="ListParagraph"/>
        <w:numPr>
          <w:ilvl w:val="0"/>
          <w:numId w:val="1"/>
        </w:numPr>
        <w:spacing w:after="80"/>
      </w:pPr>
      <w:r>
        <w:rPr>
          <w:rFonts w:ascii="IBM Plex Sans" w:cs="IBM Plex Sans" w:eastAsia="IBM Plex Sans" w:hAnsi="IBM Plex Sans"/>
          <w:color w:val="334155"/>
          <w:sz w:val="21"/>
          <w:szCs w:val="21"/>
        </w:rPr>
        <w:t xml:space="preserve">Identifikasi dini faktor risiko sesuai Tabel 7 No. 7–16 tercatat dan dirujuk sesuai alur pada Bagian 7.</w:t>
      </w:r>
    </w:p>
    <w:p>
      <w:pPr>
        <w:pStyle w:val="ListParagraph"/>
        <w:numPr>
          <w:ilvl w:val="0"/>
          <w:numId w:val="1"/>
        </w:numPr>
        <w:spacing w:after="80"/>
      </w:pPr>
      <w:r>
        <w:rPr>
          <w:rFonts w:ascii="IBM Plex Sans" w:cs="IBM Plex Sans" w:eastAsia="IBM Plex Sans" w:hAnsi="IBM Plex Sans"/>
          <w:color w:val="334155"/>
          <w:sz w:val="21"/>
          <w:szCs w:val="21"/>
        </w:rPr>
        <w:t xml:space="preserve">Persalinan terlaksana di fasilitas kesehatan sesuai rencana pada stiker P4K.</w:t>
      </w:r>
    </w:p>
    <w:p>
      <w:pPr>
        <w:pStyle w:val="Heading2"/>
        <w:spacing w:after="120" w:before="220"/>
      </w:pPr>
      <w:r>
        <w:t xml:space="preserve">6.2 Indikator Tingkat Agregat/Populasi</w:t>
      </w:r>
    </w:p>
    <w:p>
      <w:pPr>
        <w:pStyle w:val="ListParagraph"/>
        <w:numPr>
          <w:ilvl w:val="0"/>
          <w:numId w:val="1"/>
        </w:numPr>
        <w:spacing w:after="80"/>
      </w:pPr>
      <w:r>
        <w:rPr>
          <w:rFonts w:ascii="IBM Plex Sans" w:cs="IBM Plex Sans" w:eastAsia="IBM Plex Sans" w:hAnsi="IBM Plex Sans"/>
          <w:color w:val="334155"/>
          <w:sz w:val="21"/>
          <w:szCs w:val="21"/>
        </w:rPr>
        <w:t xml:space="preserve">Cakupan pemasangan stiker P4K di wilayah kerja Puskesmas [DATA: rujuk laporan/registri resmi terbaru — mis. Kemenkes, Dinas Kesehatan setempat].</w:t>
      </w:r>
    </w:p>
    <w:p>
      <w:pPr>
        <w:pStyle w:val="ListParagraph"/>
        <w:numPr>
          <w:ilvl w:val="0"/>
          <w:numId w:val="1"/>
        </w:numPr>
        <w:spacing w:after="80"/>
      </w:pPr>
      <w:r>
        <w:rPr>
          <w:rFonts w:ascii="IBM Plex Sans" w:cs="IBM Plex Sans" w:eastAsia="IBM Plex Sans" w:hAnsi="IBM Plex Sans"/>
          <w:color w:val="334155"/>
          <w:sz w:val="21"/>
          <w:szCs w:val="21"/>
        </w:rPr>
        <w:t xml:space="preserve">Proporsi rujukan tepat waktu dibandingkan rujukan terlambat pada kelompok prioritas [DATA: rujuk laporan/registri resmi terbaru].</w:t>
      </w:r>
    </w:p>
    <w:p>
      <w:pPr>
        <w:pStyle w:val="ListParagraph"/>
        <w:numPr>
          <w:ilvl w:val="0"/>
          <w:numId w:val="1"/>
        </w:numPr>
        <w:spacing w:after="80"/>
      </w:pPr>
      <w:r>
        <w:rPr>
          <w:rFonts w:ascii="IBM Plex Sans" w:cs="IBM Plex Sans" w:eastAsia="IBM Plex Sans" w:hAnsi="IBM Plex Sans"/>
          <w:color w:val="334155"/>
          <w:sz w:val="21"/>
          <w:szCs w:val="21"/>
        </w:rPr>
        <w:t xml:space="preserve">Jumlah calon donor darah siaga dan sarana transportasi siaga yang terdata per desa/kelurahan [DATA: rujuk laporan/registri resmi terbaru].</w:t>
      </w:r>
    </w:p>
    <w:p>
      <w:pPr>
        <w:pStyle w:val="ListParagraph"/>
        <w:numPr>
          <w:ilvl w:val="0"/>
          <w:numId w:val="1"/>
        </w:numPr>
        <w:spacing w:after="80"/>
      </w:pPr>
      <w:r>
        <w:rPr>
          <w:rFonts w:ascii="IBM Plex Sans" w:cs="IBM Plex Sans" w:eastAsia="IBM Plex Sans" w:hAnsi="IBM Plex Sans"/>
          <w:color w:val="334155"/>
          <w:sz w:val="21"/>
          <w:szCs w:val="21"/>
        </w:rPr>
        <w:t xml:space="preserve">Tren angka kematian ibu dan bayi di wilayah kerja Puskesmas dari waktu ke waktu [DATA: rujuk laporan/registri resmi terbaru — mis. Kemenkes, BKKBN].</w:t>
      </w:r>
    </w:p>
    <w:p>
      <w:pPr>
        <w:pStyle w:val="Heading1"/>
        <w:spacing w:after="160" w:before="320"/>
      </w:pPr>
      <w:r>
        <w:t xml:space="preserve">7. Kriteria dan Alur Rujukan Bila Ditemukan Kasus Individual Berisiko</w:t>
      </w:r>
    </w:p>
    <w:p>
      <w:pPr>
        <w:spacing w:after="180"/>
        <w:jc w:val="both"/>
      </w:pPr>
      <w:r>
        <w:rPr>
          <w:rFonts w:ascii="IBM Plex Sans" w:cs="IBM Plex Sans" w:eastAsia="IBM Plex Sans" w:hAnsi="IBM Plex Sans"/>
          <w:color w:val="334155"/>
          <w:sz w:val="21"/>
          <w:szCs w:val="21"/>
        </w:rPr>
        <w:t xml:space="preserve">Sesi kelompok P4K bersifat edukatif dan perencanaan, bukan tata laksana klinis definitif. Apabila dalam proses skrining (Sesi 1) atau pemantauan (Sesi 5) ditemukan tanda/gejala yang bersesuaian dengan salah satu entri Tabel 7 No. 7–16 Kepkonsil — hipertensi dalam kehamilan, preeklampsia, preeklampsia dengan gejala berat, eklampsia, kehamilan dengan riwayat seksio sesarea (berisiko ruptur uteri), plasenta previa dan plasenta letak rendah, ruptur uteri, atonia uteri, solusio plasenta, atau retensio plasenta — peserta wajib dirujuk keluar dari alur kelompok menuju tata laksana individual sesuai PPK-007 s.d. PPK-016 (spektrum hipertensi dalam kehamilan hingga kegawatdaruratan perdarahan/ruptur uteri).</w:t>
      </w:r>
    </w:p>
    <w:p>
      <w:pPr>
        <w:spacing w:after="80"/>
      </w:pPr>
      <w:r>
        <w:rPr>
          <w:rFonts w:ascii="IBM Plex Sans" w:cs="IBM Plex Sans" w:eastAsia="IBM Plex Sans" w:hAnsi="IBM Plex Sans"/>
          <w:b/>
          <w:bCs/>
          <w:color w:val="4F46E5"/>
          <w:sz w:val="21"/>
          <w:szCs w:val="21"/>
        </w:rPr>
        <w:t xml:space="preserve">1. </w:t>
      </w:r>
      <w:r>
        <w:rPr>
          <w:rFonts w:ascii="IBM Plex Sans" w:cs="IBM Plex Sans" w:eastAsia="IBM Plex Sans" w:hAnsi="IBM Plex Sans"/>
          <w:color w:val="334155"/>
          <w:sz w:val="21"/>
          <w:szCs w:val="21"/>
        </w:rPr>
        <w:t xml:space="preserve">Kader/bidan mengidentifikasi tanda bahaya saat sesi kelompok atau kunjungan rumah.</w:t>
      </w:r>
    </w:p>
    <w:p>
      <w:pPr>
        <w:spacing w:after="80"/>
      </w:pPr>
      <w:r>
        <w:rPr>
          <w:rFonts w:ascii="IBM Plex Sans" w:cs="IBM Plex Sans" w:eastAsia="IBM Plex Sans" w:hAnsi="IBM Plex Sans"/>
          <w:b/>
          <w:bCs/>
          <w:color w:val="4F46E5"/>
          <w:sz w:val="21"/>
          <w:szCs w:val="21"/>
        </w:rPr>
        <w:t xml:space="preserve">2. </w:t>
      </w:r>
      <w:r>
        <w:rPr>
          <w:rFonts w:ascii="IBM Plex Sans" w:cs="IBM Plex Sans" w:eastAsia="IBM Plex Sans" w:hAnsi="IBM Plex Sans"/>
          <w:color w:val="334155"/>
          <w:sz w:val="21"/>
          <w:szCs w:val="21"/>
        </w:rPr>
        <w:t xml:space="preserve">Bidan Puskesmas melakukan asesmen awal dan stabilisasi sesuai kompetensi dasar.</w:t>
      </w:r>
    </w:p>
    <w:p>
      <w:pPr>
        <w:spacing w:after="80"/>
      </w:pPr>
      <w:r>
        <w:rPr>
          <w:rFonts w:ascii="IBM Plex Sans" w:cs="IBM Plex Sans" w:eastAsia="IBM Plex Sans" w:hAnsi="IBM Plex Sans"/>
          <w:b/>
          <w:bCs/>
          <w:color w:val="4F46E5"/>
          <w:sz w:val="21"/>
          <w:szCs w:val="21"/>
        </w:rPr>
        <w:t xml:space="preserve">3. </w:t>
      </w:r>
      <w:r>
        <w:rPr>
          <w:rFonts w:ascii="IBM Plex Sans" w:cs="IBM Plex Sans" w:eastAsia="IBM Plex Sans" w:hAnsi="IBM Plex Sans"/>
          <w:color w:val="334155"/>
          <w:sz w:val="21"/>
          <w:szCs w:val="21"/>
        </w:rPr>
        <w:t xml:space="preserve">Bila kriteria klinis salah satu entri Tabel 7 No. 7–16 terpenuhi, dilakukan rujukan berjenjang ke fasilitas kesehatan rujukan (rumah sakit jejaring) menggunakan sistem rujukan yang berlaku, disertai dokumen rujukan tertulis dan salinan stiker P4K.</w:t>
      </w:r>
    </w:p>
    <w:p>
      <w:pPr>
        <w:spacing w:after="80"/>
      </w:pPr>
      <w:r>
        <w:rPr>
          <w:rFonts w:ascii="IBM Plex Sans" w:cs="IBM Plex Sans" w:eastAsia="IBM Plex Sans" w:hAnsi="IBM Plex Sans"/>
          <w:b/>
          <w:bCs/>
          <w:color w:val="4F46E5"/>
          <w:sz w:val="21"/>
          <w:szCs w:val="21"/>
        </w:rPr>
        <w:t xml:space="preserve">4. </w:t>
      </w:r>
      <w:r>
        <w:rPr>
          <w:rFonts w:ascii="IBM Plex Sans" w:cs="IBM Plex Sans" w:eastAsia="IBM Plex Sans" w:hAnsi="IBM Plex Sans"/>
          <w:color w:val="334155"/>
          <w:sz w:val="21"/>
          <w:szCs w:val="21"/>
        </w:rPr>
        <w:t xml:space="preserve">Di fasilitas rujukan, tata laksana individual dilanjutkan sesuai PPK spesifik yang bersesuaian — PPK-007 s.d. PPK-016.</w:t>
      </w:r>
    </w:p>
    <w:p>
      <w:pPr>
        <w:spacing w:after="80"/>
      </w:pPr>
      <w:r>
        <w:rPr>
          <w:rFonts w:ascii="IBM Plex Sans" w:cs="IBM Plex Sans" w:eastAsia="IBM Plex Sans" w:hAnsi="IBM Plex Sans"/>
          <w:b/>
          <w:bCs/>
          <w:color w:val="4F46E5"/>
          <w:sz w:val="21"/>
          <w:szCs w:val="21"/>
        </w:rPr>
        <w:t xml:space="preserve">5. </w:t>
      </w:r>
      <w:r>
        <w:rPr>
          <w:rFonts w:ascii="IBM Plex Sans" w:cs="IBM Plex Sans" w:eastAsia="IBM Plex Sans" w:hAnsi="IBM Plex Sans"/>
          <w:color w:val="334155"/>
          <w:sz w:val="21"/>
          <w:szCs w:val="21"/>
        </w:rPr>
        <w:t xml:space="preserve">Umpan balik hasil rujukan dikembalikan kepada bidan/kader Puskesmas asal untuk pemutakhiran data dan pemantauan lanjutan.</w:t>
      </w:r>
    </w:p>
    <w:p>
      <w:pPr>
        <w:pStyle w:val="Heading1"/>
        <w:spacing w:after="160" w:before="320"/>
      </w:pPr>
      <w:r>
        <w:t xml:space="preserve">8. Dasar Regulasi dan Rujukan Program Nasional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45309" w:sz="24"/>
              <w:left w:val="single" w:color="B45309" w:sz="24"/>
              <w:bottom w:val="single" w:color="B45309" w:sz="4"/>
              <w:right w:val="single" w:color="B45309" w:sz="4"/>
            </w:tcBorders>
            <w:shd w:fill="FEF3E2" w:val="clear"/>
            <w:tcMar>
              <w:top w:type="dxa" w:w="150"/>
              <w:left w:type="dxa" w:w="200"/>
              <w:bottom w:type="dxa" w:w="150"/>
              <w:right w:type="dxa" w:w="200"/>
            </w:tcMar>
          </w:tcPr>
          <w:p>
            <w:pPr>
              <w:spacing w:after="100"/>
            </w:pPr>
            <w:r>
              <w:rPr>
                <w:rFonts w:ascii="IBM Plex Sans" w:cs="IBM Plex Sans" w:eastAsia="IBM Plex Sans" w:hAnsi="IBM Plex Sans"/>
                <w:b/>
                <w:bCs/>
                <w:color w:val="B45309"/>
                <w:sz w:val="20"/>
                <w:szCs w:val="20"/>
              </w:rPr>
              <w:t xml:space="preserve">DASAR REGULASI</w:t>
            </w:r>
          </w:p>
          <w:p>
            <w:pPr>
              <w:pStyle w:val="ListParagraph"/>
              <w:numPr>
                <w:ilvl w:val="0"/>
                <w:numId w:val="1"/>
              </w:numPr>
            </w:pPr>
            <w:r>
              <w:rPr>
                <w:rFonts w:ascii="IBM Plex Sans" w:cs="IBM Plex Sans" w:eastAsia="IBM Plex Sans" w:hAnsi="IBM Plex Sans"/>
                <w:color w:val="334155"/>
                <w:sz w:val="20"/>
                <w:szCs w:val="20"/>
              </w:rPr>
              <w:t xml:space="preserve">Undang-Undang Nomor 17 Tahun 2023 tentang Kesehatan.</w:t>
            </w:r>
          </w:p>
          <w:p>
            <w:pPr>
              <w:pStyle w:val="ListParagraph"/>
              <w:numPr>
                <w:ilvl w:val="0"/>
                <w:numId w:val="1"/>
              </w:numPr>
            </w:pPr>
            <w:r>
              <w:rPr>
                <w:rFonts w:ascii="IBM Plex Sans" w:cs="IBM Plex Sans" w:eastAsia="IBM Plex Sans" w:hAnsi="IBM Plex Sans"/>
                <w:color w:val="334155"/>
                <w:sz w:val="20"/>
                <w:szCs w:val="20"/>
              </w:rPr>
              <w:t xml:space="preserve">Peraturan Pemerintah Nomor 28 Tahun 2024 tentang Peraturan Pelaksanaan Undang-Undang Nomor 17 Tahun 2023 tentang Kesehatan.</w:t>
            </w:r>
          </w:p>
          <w:p>
            <w:pPr>
              <w:pStyle w:val="ListParagraph"/>
              <w:numPr>
                <w:ilvl w:val="0"/>
                <w:numId w:val="1"/>
              </w:numPr>
            </w:pPr>
            <w:r>
              <w:rPr>
                <w:rFonts w:ascii="IBM Plex Sans" w:cs="IBM Plex Sans" w:eastAsia="IBM Plex Sans" w:hAnsi="IBM Plex Sans"/>
                <w:color w:val="334155"/>
                <w:sz w:val="20"/>
                <w:szCs w:val="20"/>
              </w:rPr>
              <w:t xml:space="preserve">Peraturan Menteri Kesehatan Nomor 2 Tahun 2025 tentang Penyelenggaraan Upaya Kesehatan Reproduksi.</w:t>
            </w:r>
          </w:p>
          <w:p>
            <w:pPr>
              <w:pStyle w:val="ListParagraph"/>
              <w:numPr>
                <w:ilvl w:val="0"/>
                <w:numId w:val="1"/>
              </w:numPr>
            </w:pPr>
            <w:r>
              <w:rPr>
                <w:rFonts w:ascii="IBM Plex Sans" w:cs="IBM Plex Sans" w:eastAsia="IBM Plex Sans" w:hAnsi="IBM Plex Sans"/>
                <w:color w:val="334155"/>
                <w:sz w:val="20"/>
                <w:szCs w:val="20"/>
              </w:rPr>
              <w:t xml:space="preserve">Departemen Kesehatan RI (kini Kementerian Kesehatan RI), Pedoman Perencanaan Persalinan dan Pencegahan Komplikasi (P4K) dengan Stiker, 2009 — dasar konseptual dan teknis Program P4K.</w:t>
            </w:r>
          </w:p>
          <w:p>
            <w:pPr>
              <w:pStyle w:val="ListParagraph"/>
              <w:numPr>
                <w:ilvl w:val="0"/>
                <w:numId w:val="1"/>
              </w:numPr>
            </w:pPr>
            <w:r>
              <w:rPr>
                <w:rFonts w:ascii="IBM Plex Sans" w:cs="IBM Plex Sans" w:eastAsia="IBM Plex Sans" w:hAnsi="IBM Plex Sans"/>
                <w:color w:val="334155"/>
                <w:sz w:val="20"/>
                <w:szCs w:val="20"/>
              </w:rPr>
              <w:t xml:space="preserve">Tabel 7 No. 7–16, Lampiran Keputusan Ketua Konsil Kesehatan Indonesia No. HK.01.02/KKI/1318/2026 tentang Standar Kompetensi Dokter Spesialis dan Subspesialis Bidang Obstetri dan Ginekologi (BAB, Area Kompetensi 2).</w:t>
            </w:r>
          </w:p>
        </w:tc>
      </w:tr>
    </w:tbl>
    <w:p>
      <w:pPr>
        <w:spacing w:after="200"/>
      </w:pPr>
    </w:p>
    <w:p>
      <w:pPr>
        <w:spacing w:after="180"/>
        <w:jc w:val="both"/>
      </w:pPr>
      <w:r>
        <w:rPr>
          <w:rFonts w:ascii="IBM Plex Sans" w:cs="IBM Plex Sans" w:eastAsia="IBM Plex Sans" w:hAnsi="IBM Plex Sans"/>
          <w:color w:val="334155"/>
          <w:sz w:val="21"/>
          <w:szCs w:val="21"/>
        </w:rPr>
        <w:t xml:space="preserve">Program P4K dengan Stiker pertama kali diterbitkan sebagai pedoman teknis oleh Departemen Kesehatan RI pada tahun 2009 dan tetap menjadi acuan operasional utama di tingkat Puskesmas hingga saat ini, dalam koridor kerangka hukum kesehatan yang berlaku — Undang-Undang Nomor 17 Tahun 2023 tentang Kesehatan beserta peraturan pelaksanaannya. Sepuluh kondisi klinis yang menjadi dasar penentuan kriteria prioritas pendampingan dan alur rujukan pada PPKK ini diekstrak langsung dari Tabel 7 Kepkonsil sebagaimana tercantum pada tabel berikut.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cantSplit/>
          <w:tblHeader/>
        </w:trPr>
        <w:tc>
          <w:tcPr>
            <w:tcW w:type="dxa" w:w="1560"/>
            <w:shd w:fill="4F46E5" w:val="clear"/>
            <w:vAlign w:val="center"/>
          </w:tcPr>
          <w:p>
            <w:r>
              <w:rPr>
                <w:rFonts w:ascii="IBM Plex Sans" w:cs="IBM Plex Sans" w:eastAsia="IBM Plex Sans" w:hAnsi="IBM Plex Sans"/>
                <w:b/>
                <w:bCs/>
                <w:color w:val="FFFFFF"/>
                <w:sz w:val="18"/>
                <w:szCs w:val="18"/>
              </w:rPr>
              <w:t xml:space="preserve">No</w:t>
            </w:r>
          </w:p>
        </w:tc>
        <w:tc>
          <w:tcPr>
            <w:tcW w:type="dxa" w:w="1560"/>
            <w:shd w:fill="4F46E5" w:val="clear"/>
            <w:vAlign w:val="center"/>
          </w:tcPr>
          <w:p>
            <w:r>
              <w:rPr>
                <w:rFonts w:ascii="IBM Plex Sans" w:cs="IBM Plex Sans" w:eastAsia="IBM Plex Sans" w:hAnsi="IBM Plex Sans"/>
                <w:b/>
                <w:bCs/>
                <w:color w:val="FFFFFF"/>
                <w:sz w:val="18"/>
                <w:szCs w:val="18"/>
              </w:rPr>
              <w:t xml:space="preserve">Nama Penyakit (ID)</w:t>
            </w:r>
          </w:p>
        </w:tc>
        <w:tc>
          <w:tcPr>
            <w:tcW w:type="dxa" w:w="1560"/>
            <w:shd w:fill="4F46E5" w:val="clear"/>
            <w:vAlign w:val="center"/>
          </w:tcPr>
          <w:p>
            <w:r>
              <w:rPr>
                <w:rFonts w:ascii="IBM Plex Sans" w:cs="IBM Plex Sans" w:eastAsia="IBM Plex Sans" w:hAnsi="IBM Plex Sans"/>
                <w:b/>
                <w:bCs/>
                <w:color w:val="FFFFFF"/>
                <w:sz w:val="18"/>
                <w:szCs w:val="18"/>
              </w:rPr>
              <w:t xml:space="preserve">Disease (EN)</w:t>
            </w:r>
          </w:p>
        </w:tc>
        <w:tc>
          <w:tcPr>
            <w:tcW w:type="dxa" w:w="1560"/>
            <w:shd w:fill="4F46E5" w:val="clear"/>
            <w:vAlign w:val="center"/>
          </w:tcPr>
          <w:p>
            <w:r>
              <w:rPr>
                <w:rFonts w:ascii="IBM Plex Sans" w:cs="IBM Plex Sans" w:eastAsia="IBM Plex Sans" w:hAnsi="IBM Plex Sans"/>
                <w:b/>
                <w:bCs/>
                <w:color w:val="FFFFFF"/>
                <w:sz w:val="18"/>
                <w:szCs w:val="18"/>
              </w:rPr>
              <w:t xml:space="preserve">ICD-10</w:t>
            </w:r>
          </w:p>
        </w:tc>
        <w:tc>
          <w:tcPr>
            <w:tcW w:type="dxa" w:w="1560"/>
            <w:shd w:fill="4F46E5" w:val="clear"/>
            <w:vAlign w:val="center"/>
          </w:tcPr>
          <w:p>
            <w:r>
              <w:rPr>
                <w:rFonts w:ascii="IBM Plex Sans" w:cs="IBM Plex Sans" w:eastAsia="IBM Plex Sans" w:hAnsi="IBM Plex Sans"/>
                <w:b/>
                <w:bCs/>
                <w:color w:val="FFFFFF"/>
                <w:sz w:val="18"/>
                <w:szCs w:val="18"/>
              </w:rPr>
              <w:t xml:space="preserve">ICD-11</w:t>
            </w:r>
          </w:p>
        </w:tc>
        <w:tc>
          <w:tcPr>
            <w:tcW w:type="dxa" w:w="1560"/>
            <w:shd w:fill="4F46E5" w:val="clear"/>
            <w:vAlign w:val="center"/>
          </w:tcPr>
          <w:p>
            <w:r>
              <w:rPr>
                <w:rFonts w:ascii="IBM Plex Sans" w:cs="IBM Plex Sans" w:eastAsia="IBM Plex Sans" w:hAnsi="IBM Plex Sans"/>
                <w:b/>
                <w:bCs/>
                <w:color w:val="FFFFFF"/>
                <w:sz w:val="18"/>
                <w:szCs w:val="18"/>
              </w:rPr>
              <w:t xml:space="preserve">Keterangan/Populasi Prioritas</w:t>
            </w:r>
          </w:p>
        </w:tc>
      </w:tr>
      <w:tr>
        <w:trPr>
          <w:cantSplit/>
        </w:trPr>
        <w:tc>
          <w:tcPr>
            <w:tcW w:type="dxa" w:w="1560"/>
            <w:shd w:fill="FFFFFF" w:val="clear"/>
            <w:vAlign w:val="center"/>
          </w:tcPr>
          <w:p>
            <w:r>
              <w:rPr>
                <w:rFonts w:ascii="IBM Plex Mono" w:cs="IBM Plex Mono" w:eastAsia="IBM Plex Mono" w:hAnsi="IBM Plex Mono"/>
                <w:color w:val="334155"/>
                <w:sz w:val="16"/>
                <w:szCs w:val="16"/>
              </w:rPr>
              <w:t xml:space="preserve">7</w:t>
            </w:r>
          </w:p>
        </w:tc>
        <w:tc>
          <w:tcPr>
            <w:tcW w:type="dxa" w:w="1560"/>
            <w:shd w:fill="FFFFFF" w:val="clear"/>
            <w:vAlign w:val="center"/>
          </w:tcPr>
          <w:p>
            <w:r>
              <w:rPr>
                <w:rFonts w:ascii="IBM Plex Mono" w:cs="IBM Plex Mono" w:eastAsia="IBM Plex Mono" w:hAnsi="IBM Plex Mono"/>
                <w:color w:val="334155"/>
                <w:sz w:val="16"/>
                <w:szCs w:val="16"/>
              </w:rPr>
              <w:t xml:space="preserve">Hipertensi dalam kehamilan</w:t>
            </w:r>
          </w:p>
        </w:tc>
        <w:tc>
          <w:tcPr>
            <w:tcW w:type="dxa" w:w="1560"/>
            <w:shd w:fill="FFFFFF" w:val="clear"/>
            <w:vAlign w:val="center"/>
          </w:tcPr>
          <w:p>
            <w:r>
              <w:rPr>
                <w:rFonts w:ascii="IBM Plex Mono" w:cs="IBM Plex Mono" w:eastAsia="IBM Plex Mono" w:hAnsi="IBM Plex Mono"/>
                <w:color w:val="334155"/>
                <w:sz w:val="16"/>
                <w:szCs w:val="16"/>
              </w:rPr>
              <w:t xml:space="preserve">Hypertension in pregnancy</w:t>
            </w:r>
          </w:p>
        </w:tc>
        <w:tc>
          <w:tcPr>
            <w:tcW w:type="dxa" w:w="1560"/>
            <w:shd w:fill="FFFFFF" w:val="clear"/>
            <w:vAlign w:val="center"/>
          </w:tcPr>
          <w:p>
            <w:r>
              <w:rPr>
                <w:rFonts w:ascii="IBM Plex Mono" w:cs="IBM Plex Mono" w:eastAsia="IBM Plex Mono" w:hAnsi="IBM Plex Mono"/>
                <w:color w:val="334155"/>
                <w:sz w:val="16"/>
                <w:szCs w:val="16"/>
              </w:rPr>
              <w:t xml:space="preserve">O13</w:t>
            </w:r>
          </w:p>
        </w:tc>
        <w:tc>
          <w:tcPr>
            <w:tcW w:type="dxa" w:w="1560"/>
            <w:shd w:fill="FFFFFF" w:val="clear"/>
            <w:vAlign w:val="center"/>
          </w:tcPr>
          <w:p>
            <w:r>
              <w:rPr>
                <w:rFonts w:ascii="IBM Plex Mono" w:cs="IBM Plex Mono" w:eastAsia="IBM Plex Mono" w:hAnsi="IBM Plex Mono"/>
                <w:color w:val="334155"/>
                <w:sz w:val="16"/>
                <w:szCs w:val="16"/>
              </w:rPr>
              <w:t xml:space="preserve">JA23</w:t>
            </w:r>
          </w:p>
        </w:tc>
        <w:tc>
          <w:tcPr>
            <w:tcW w:type="dxa" w:w="1560"/>
            <w:shd w:fill="FFFFFF" w:val="clear"/>
            <w:vAlign w:val="center"/>
          </w:tcPr>
          <w:p>
            <w:r>
              <w:rPr>
                <w:rFonts w:ascii="IBM Plex Mono" w:cs="IBM Plex Mono" w:eastAsia="IBM Plex Mono" w:hAnsi="IBM Plex Mono"/>
                <w:color w:val="334155"/>
                <w:sz w:val="16"/>
                <w:szCs w:val="16"/>
              </w:rPr>
              <w:t xml:space="preserve">Hipertensi gestasional; trimester 2–3</w:t>
            </w:r>
          </w:p>
        </w:tc>
      </w:tr>
      <w:tr>
        <w:trPr>
          <w:cantSplit/>
        </w:trPr>
        <w:tc>
          <w:tcPr>
            <w:tcW w:type="dxa" w:w="1560"/>
            <w:shd w:fill="F1F5F9" w:val="clear"/>
            <w:vAlign w:val="center"/>
          </w:tcPr>
          <w:p>
            <w:r>
              <w:rPr>
                <w:rFonts w:ascii="IBM Plex Mono" w:cs="IBM Plex Mono" w:eastAsia="IBM Plex Mono" w:hAnsi="IBM Plex Mono"/>
                <w:color w:val="334155"/>
                <w:sz w:val="16"/>
                <w:szCs w:val="16"/>
              </w:rPr>
              <w:t xml:space="preserve">8</w:t>
            </w:r>
          </w:p>
        </w:tc>
        <w:tc>
          <w:tcPr>
            <w:tcW w:type="dxa" w:w="1560"/>
            <w:shd w:fill="F1F5F9" w:val="clear"/>
            <w:vAlign w:val="center"/>
          </w:tcPr>
          <w:p>
            <w:r>
              <w:rPr>
                <w:rFonts w:ascii="IBM Plex Mono" w:cs="IBM Plex Mono" w:eastAsia="IBM Plex Mono" w:hAnsi="IBM Plex Mono"/>
                <w:color w:val="334155"/>
                <w:sz w:val="16"/>
                <w:szCs w:val="16"/>
              </w:rPr>
              <w:t xml:space="preserve">Preeklampsia</w:t>
            </w:r>
          </w:p>
        </w:tc>
        <w:tc>
          <w:tcPr>
            <w:tcW w:type="dxa" w:w="1560"/>
            <w:shd w:fill="F1F5F9" w:val="clear"/>
            <w:vAlign w:val="center"/>
          </w:tcPr>
          <w:p>
            <w:r>
              <w:rPr>
                <w:rFonts w:ascii="IBM Plex Mono" w:cs="IBM Plex Mono" w:eastAsia="IBM Plex Mono" w:hAnsi="IBM Plex Mono"/>
                <w:color w:val="334155"/>
                <w:sz w:val="16"/>
                <w:szCs w:val="16"/>
              </w:rPr>
              <w:t xml:space="preserve">Preeclampsia</w:t>
            </w:r>
          </w:p>
        </w:tc>
        <w:tc>
          <w:tcPr>
            <w:tcW w:type="dxa" w:w="1560"/>
            <w:shd w:fill="F1F5F9" w:val="clear"/>
            <w:vAlign w:val="center"/>
          </w:tcPr>
          <w:p>
            <w:r>
              <w:rPr>
                <w:rFonts w:ascii="IBM Plex Mono" w:cs="IBM Plex Mono" w:eastAsia="IBM Plex Mono" w:hAnsi="IBM Plex Mono"/>
                <w:color w:val="334155"/>
                <w:sz w:val="16"/>
                <w:szCs w:val="16"/>
              </w:rPr>
              <w:t xml:space="preserve">O14.9</w:t>
            </w:r>
          </w:p>
        </w:tc>
        <w:tc>
          <w:tcPr>
            <w:tcW w:type="dxa" w:w="1560"/>
            <w:shd w:fill="F1F5F9" w:val="clear"/>
            <w:vAlign w:val="center"/>
          </w:tcPr>
          <w:p>
            <w:r>
              <w:rPr>
                <w:rFonts w:ascii="IBM Plex Mono" w:cs="IBM Plex Mono" w:eastAsia="IBM Plex Mono" w:hAnsi="IBM Plex Mono"/>
                <w:color w:val="334155"/>
                <w:sz w:val="16"/>
                <w:szCs w:val="16"/>
              </w:rPr>
              <w:t xml:space="preserve">JA24.0</w:t>
            </w:r>
          </w:p>
        </w:tc>
        <w:tc>
          <w:tcPr>
            <w:tcW w:type="dxa" w:w="1560"/>
            <w:shd w:fill="F1F5F9" w:val="clear"/>
            <w:vAlign w:val="center"/>
          </w:tcPr>
          <w:p>
            <w:r>
              <w:rPr>
                <w:rFonts w:ascii="IBM Plex Mono" w:cs="IBM Plex Mono" w:eastAsia="IBM Plex Mono" w:hAnsi="IBM Plex Mono"/>
                <w:color w:val="334155"/>
                <w:sz w:val="16"/>
                <w:szCs w:val="16"/>
              </w:rPr>
              <w:t xml:space="preserve">Kehamilan dengan hipertensi + proteinuria</w:t>
            </w:r>
          </w:p>
        </w:tc>
      </w:tr>
      <w:tr>
        <w:trPr>
          <w:cantSplit/>
        </w:trPr>
        <w:tc>
          <w:tcPr>
            <w:tcW w:type="dxa" w:w="1560"/>
            <w:shd w:fill="FFFFFF" w:val="clear"/>
            <w:vAlign w:val="center"/>
          </w:tcPr>
          <w:p>
            <w:r>
              <w:rPr>
                <w:rFonts w:ascii="IBM Plex Mono" w:cs="IBM Plex Mono" w:eastAsia="IBM Plex Mono" w:hAnsi="IBM Plex Mono"/>
                <w:color w:val="334155"/>
                <w:sz w:val="16"/>
                <w:szCs w:val="16"/>
              </w:rPr>
              <w:t xml:space="preserve">9</w:t>
            </w:r>
          </w:p>
        </w:tc>
        <w:tc>
          <w:tcPr>
            <w:tcW w:type="dxa" w:w="1560"/>
            <w:shd w:fill="FFFFFF" w:val="clear"/>
            <w:vAlign w:val="center"/>
          </w:tcPr>
          <w:p>
            <w:r>
              <w:rPr>
                <w:rFonts w:ascii="IBM Plex Mono" w:cs="IBM Plex Mono" w:eastAsia="IBM Plex Mono" w:hAnsi="IBM Plex Mono"/>
                <w:color w:val="334155"/>
                <w:sz w:val="16"/>
                <w:szCs w:val="16"/>
              </w:rPr>
              <w:t xml:space="preserve">Preeklampsia dengan gejala berat</w:t>
            </w:r>
          </w:p>
        </w:tc>
        <w:tc>
          <w:tcPr>
            <w:tcW w:type="dxa" w:w="1560"/>
            <w:shd w:fill="FFFFFF" w:val="clear"/>
            <w:vAlign w:val="center"/>
          </w:tcPr>
          <w:p>
            <w:r>
              <w:rPr>
                <w:rFonts w:ascii="IBM Plex Mono" w:cs="IBM Plex Mono" w:eastAsia="IBM Plex Mono" w:hAnsi="IBM Plex Mono"/>
                <w:color w:val="334155"/>
                <w:sz w:val="16"/>
                <w:szCs w:val="16"/>
              </w:rPr>
              <w:t xml:space="preserve">Preeclampsia with severe features</w:t>
            </w:r>
          </w:p>
        </w:tc>
        <w:tc>
          <w:tcPr>
            <w:tcW w:type="dxa" w:w="1560"/>
            <w:shd w:fill="FFFFFF" w:val="clear"/>
            <w:vAlign w:val="center"/>
          </w:tcPr>
          <w:p>
            <w:r>
              <w:rPr>
                <w:rFonts w:ascii="IBM Plex Mono" w:cs="IBM Plex Mono" w:eastAsia="IBM Plex Mono" w:hAnsi="IBM Plex Mono"/>
                <w:color w:val="334155"/>
                <w:sz w:val="16"/>
                <w:szCs w:val="16"/>
              </w:rPr>
              <w:t xml:space="preserve">O14.1</w:t>
            </w:r>
          </w:p>
        </w:tc>
        <w:tc>
          <w:tcPr>
            <w:tcW w:type="dxa" w:w="1560"/>
            <w:shd w:fill="FFFFFF" w:val="clear"/>
            <w:vAlign w:val="center"/>
          </w:tcPr>
          <w:p>
            <w:r>
              <w:rPr>
                <w:rFonts w:ascii="IBM Plex Mono" w:cs="IBM Plex Mono" w:eastAsia="IBM Plex Mono" w:hAnsi="IBM Plex Mono"/>
                <w:color w:val="334155"/>
                <w:sz w:val="16"/>
                <w:szCs w:val="16"/>
              </w:rPr>
              <w:t xml:space="preserve">JA24.1</w:t>
            </w:r>
          </w:p>
        </w:tc>
        <w:tc>
          <w:tcPr>
            <w:tcW w:type="dxa" w:w="1560"/>
            <w:shd w:fill="FFFFFF" w:val="clear"/>
            <w:vAlign w:val="center"/>
          </w:tcPr>
          <w:p>
            <w:r>
              <w:rPr>
                <w:rFonts w:ascii="IBM Plex Mono" w:cs="IBM Plex Mono" w:eastAsia="IBM Plex Mono" w:hAnsi="IBM Plex Mono"/>
                <w:color w:val="334155"/>
                <w:sz w:val="16"/>
                <w:szCs w:val="16"/>
              </w:rPr>
              <w:t xml:space="preserve">Risiko tinggi komplikasi maternal-fetal</w:t>
            </w:r>
          </w:p>
        </w:tc>
      </w:tr>
      <w:tr>
        <w:trPr>
          <w:cantSplit/>
        </w:trPr>
        <w:tc>
          <w:tcPr>
            <w:tcW w:type="dxa" w:w="1560"/>
            <w:shd w:fill="F1F5F9" w:val="clear"/>
            <w:vAlign w:val="center"/>
          </w:tcPr>
          <w:p>
            <w:r>
              <w:rPr>
                <w:rFonts w:ascii="IBM Plex Mono" w:cs="IBM Plex Mono" w:eastAsia="IBM Plex Mono" w:hAnsi="IBM Plex Mono"/>
                <w:color w:val="334155"/>
                <w:sz w:val="16"/>
                <w:szCs w:val="16"/>
              </w:rPr>
              <w:t xml:space="preserve">10</w:t>
            </w:r>
          </w:p>
        </w:tc>
        <w:tc>
          <w:tcPr>
            <w:tcW w:type="dxa" w:w="1560"/>
            <w:shd w:fill="F1F5F9" w:val="clear"/>
            <w:vAlign w:val="center"/>
          </w:tcPr>
          <w:p>
            <w:r>
              <w:rPr>
                <w:rFonts w:ascii="IBM Plex Mono" w:cs="IBM Plex Mono" w:eastAsia="IBM Plex Mono" w:hAnsi="IBM Plex Mono"/>
                <w:color w:val="334155"/>
                <w:sz w:val="16"/>
                <w:szCs w:val="16"/>
              </w:rPr>
              <w:t xml:space="preserve">Eklampsia</w:t>
            </w:r>
          </w:p>
        </w:tc>
        <w:tc>
          <w:tcPr>
            <w:tcW w:type="dxa" w:w="1560"/>
            <w:shd w:fill="F1F5F9" w:val="clear"/>
            <w:vAlign w:val="center"/>
          </w:tcPr>
          <w:p>
            <w:r>
              <w:rPr>
                <w:rFonts w:ascii="IBM Plex Mono" w:cs="IBM Plex Mono" w:eastAsia="IBM Plex Mono" w:hAnsi="IBM Plex Mono"/>
                <w:color w:val="334155"/>
                <w:sz w:val="16"/>
                <w:szCs w:val="16"/>
              </w:rPr>
              <w:t xml:space="preserve">Eclampsia</w:t>
            </w:r>
          </w:p>
        </w:tc>
        <w:tc>
          <w:tcPr>
            <w:tcW w:type="dxa" w:w="1560"/>
            <w:shd w:fill="F1F5F9" w:val="clear"/>
            <w:vAlign w:val="center"/>
          </w:tcPr>
          <w:p>
            <w:r>
              <w:rPr>
                <w:rFonts w:ascii="IBM Plex Mono" w:cs="IBM Plex Mono" w:eastAsia="IBM Plex Mono" w:hAnsi="IBM Plex Mono"/>
                <w:color w:val="334155"/>
                <w:sz w:val="16"/>
                <w:szCs w:val="16"/>
              </w:rPr>
              <w:t xml:space="preserve">O15.9</w:t>
            </w:r>
          </w:p>
        </w:tc>
        <w:tc>
          <w:tcPr>
            <w:tcW w:type="dxa" w:w="1560"/>
            <w:shd w:fill="F1F5F9" w:val="clear"/>
            <w:vAlign w:val="center"/>
          </w:tcPr>
          <w:p>
            <w:r>
              <w:rPr>
                <w:rFonts w:ascii="IBM Plex Mono" w:cs="IBM Plex Mono" w:eastAsia="IBM Plex Mono" w:hAnsi="IBM Plex Mono"/>
                <w:color w:val="334155"/>
                <w:sz w:val="16"/>
                <w:szCs w:val="16"/>
              </w:rPr>
              <w:t xml:space="preserve">JA25</w:t>
            </w:r>
          </w:p>
        </w:tc>
        <w:tc>
          <w:tcPr>
            <w:tcW w:type="dxa" w:w="1560"/>
            <w:shd w:fill="F1F5F9" w:val="clear"/>
            <w:vAlign w:val="center"/>
          </w:tcPr>
          <w:p>
            <w:r>
              <w:rPr>
                <w:rFonts w:ascii="IBM Plex Mono" w:cs="IBM Plex Mono" w:eastAsia="IBM Plex Mono" w:hAnsi="IBM Plex Mono"/>
                <w:color w:val="334155"/>
                <w:sz w:val="16"/>
                <w:szCs w:val="16"/>
              </w:rPr>
              <w:t xml:space="preserve">Kejang pada preeklampsia; gawat darurat obstetri</w:t>
            </w:r>
          </w:p>
        </w:tc>
      </w:tr>
      <w:tr>
        <w:trPr>
          <w:cantSplit/>
        </w:trPr>
        <w:tc>
          <w:tcPr>
            <w:tcW w:type="dxa" w:w="1560"/>
            <w:shd w:fill="FFFFFF" w:val="clear"/>
            <w:vAlign w:val="center"/>
          </w:tcPr>
          <w:p>
            <w:r>
              <w:rPr>
                <w:rFonts w:ascii="IBM Plex Mono" w:cs="IBM Plex Mono" w:eastAsia="IBM Plex Mono" w:hAnsi="IBM Plex Mono"/>
                <w:color w:val="334155"/>
                <w:sz w:val="16"/>
                <w:szCs w:val="16"/>
              </w:rPr>
              <w:t xml:space="preserve">11</w:t>
            </w:r>
          </w:p>
        </w:tc>
        <w:tc>
          <w:tcPr>
            <w:tcW w:type="dxa" w:w="1560"/>
            <w:shd w:fill="FFFFFF" w:val="clear"/>
            <w:vAlign w:val="center"/>
          </w:tcPr>
          <w:p>
            <w:r>
              <w:rPr>
                <w:rFonts w:ascii="IBM Plex Mono" w:cs="IBM Plex Mono" w:eastAsia="IBM Plex Mono" w:hAnsi="IBM Plex Mono"/>
                <w:color w:val="334155"/>
                <w:sz w:val="16"/>
                <w:szCs w:val="16"/>
              </w:rPr>
              <w:t xml:space="preserve">Kehamilan dengan riwayat seksio sesarea</w:t>
            </w:r>
          </w:p>
        </w:tc>
        <w:tc>
          <w:tcPr>
            <w:tcW w:type="dxa" w:w="1560"/>
            <w:shd w:fill="FFFFFF" w:val="clear"/>
            <w:vAlign w:val="center"/>
          </w:tcPr>
          <w:p>
            <w:r>
              <w:rPr>
                <w:rFonts w:ascii="IBM Plex Mono" w:cs="IBM Plex Mono" w:eastAsia="IBM Plex Mono" w:hAnsi="IBM Plex Mono"/>
                <w:color w:val="334155"/>
                <w:sz w:val="16"/>
                <w:szCs w:val="16"/>
              </w:rPr>
              <w:t xml:space="preserve">Pregnancy with previous CS scar</w:t>
            </w:r>
          </w:p>
        </w:tc>
        <w:tc>
          <w:tcPr>
            <w:tcW w:type="dxa" w:w="1560"/>
            <w:shd w:fill="FFFFFF" w:val="clear"/>
            <w:vAlign w:val="center"/>
          </w:tcPr>
          <w:p>
            <w:r>
              <w:rPr>
                <w:rFonts w:ascii="IBM Plex Mono" w:cs="IBM Plex Mono" w:eastAsia="IBM Plex Mono" w:hAnsi="IBM Plex Mono"/>
                <w:color w:val="334155"/>
                <w:sz w:val="16"/>
                <w:szCs w:val="16"/>
              </w:rPr>
              <w:t xml:space="preserve">O34.2</w:t>
            </w:r>
          </w:p>
        </w:tc>
        <w:tc>
          <w:tcPr>
            <w:tcW w:type="dxa" w:w="1560"/>
            <w:shd w:fill="FFFFFF" w:val="clear"/>
            <w:vAlign w:val="center"/>
          </w:tcPr>
          <w:p>
            <w:r>
              <w:rPr>
                <w:rFonts w:ascii="IBM Plex Mono" w:cs="IBM Plex Mono" w:eastAsia="IBM Plex Mono" w:hAnsi="IBM Plex Mono"/>
                <w:color w:val="334155"/>
                <w:sz w:val="16"/>
                <w:szCs w:val="16"/>
              </w:rPr>
              <w:t xml:space="preserve">JA84.2; JB0D.6</w:t>
            </w:r>
          </w:p>
        </w:tc>
        <w:tc>
          <w:tcPr>
            <w:tcW w:type="dxa" w:w="1560"/>
            <w:shd w:fill="FFFFFF" w:val="clear"/>
            <w:vAlign w:val="center"/>
          </w:tcPr>
          <w:p>
            <w:r>
              <w:rPr>
                <w:rFonts w:ascii="IBM Plex Mono" w:cs="IBM Plex Mono" w:eastAsia="IBM Plex Mono" w:hAnsi="IBM Plex Mono"/>
                <w:color w:val="334155"/>
                <w:sz w:val="16"/>
                <w:szCs w:val="16"/>
              </w:rPr>
              <w:t xml:space="preserve">Risiko ruptur uteri; pemantauan ketat persalinan</w:t>
            </w:r>
          </w:p>
        </w:tc>
      </w:tr>
      <w:tr>
        <w:trPr>
          <w:cantSplit/>
        </w:trPr>
        <w:tc>
          <w:tcPr>
            <w:tcW w:type="dxa" w:w="1560"/>
            <w:shd w:fill="F1F5F9" w:val="clear"/>
            <w:vAlign w:val="center"/>
          </w:tcPr>
          <w:p>
            <w:r>
              <w:rPr>
                <w:rFonts w:ascii="IBM Plex Mono" w:cs="IBM Plex Mono" w:eastAsia="IBM Plex Mono" w:hAnsi="IBM Plex Mono"/>
                <w:color w:val="334155"/>
                <w:sz w:val="16"/>
                <w:szCs w:val="16"/>
              </w:rPr>
              <w:t xml:space="preserve">12</w:t>
            </w:r>
          </w:p>
        </w:tc>
        <w:tc>
          <w:tcPr>
            <w:tcW w:type="dxa" w:w="1560"/>
            <w:shd w:fill="F1F5F9" w:val="clear"/>
            <w:vAlign w:val="center"/>
          </w:tcPr>
          <w:p>
            <w:r>
              <w:rPr>
                <w:rFonts w:ascii="IBM Plex Mono" w:cs="IBM Plex Mono" w:eastAsia="IBM Plex Mono" w:hAnsi="IBM Plex Mono"/>
                <w:color w:val="334155"/>
                <w:sz w:val="16"/>
                <w:szCs w:val="16"/>
              </w:rPr>
              <w:t xml:space="preserve">Plasenta previa dan plasenta letak rendah</w:t>
            </w:r>
          </w:p>
        </w:tc>
        <w:tc>
          <w:tcPr>
            <w:tcW w:type="dxa" w:w="1560"/>
            <w:shd w:fill="F1F5F9" w:val="clear"/>
            <w:vAlign w:val="center"/>
          </w:tcPr>
          <w:p>
            <w:r>
              <w:rPr>
                <w:rFonts w:ascii="IBM Plex Mono" w:cs="IBM Plex Mono" w:eastAsia="IBM Plex Mono" w:hAnsi="IBM Plex Mono"/>
                <w:color w:val="334155"/>
                <w:sz w:val="16"/>
                <w:szCs w:val="16"/>
              </w:rPr>
              <w:t xml:space="preserve">Placenta previa and low-lying placenta</w:t>
            </w:r>
          </w:p>
        </w:tc>
        <w:tc>
          <w:tcPr>
            <w:tcW w:type="dxa" w:w="1560"/>
            <w:shd w:fill="F1F5F9" w:val="clear"/>
            <w:vAlign w:val="center"/>
          </w:tcPr>
          <w:p>
            <w:r>
              <w:rPr>
                <w:rFonts w:ascii="IBM Plex Mono" w:cs="IBM Plex Mono" w:eastAsia="IBM Plex Mono" w:hAnsi="IBM Plex Mono"/>
                <w:color w:val="334155"/>
                <w:sz w:val="16"/>
                <w:szCs w:val="16"/>
              </w:rPr>
              <w:t xml:space="preserve">O44.1</w:t>
            </w:r>
          </w:p>
        </w:tc>
        <w:tc>
          <w:tcPr>
            <w:tcW w:type="dxa" w:w="1560"/>
            <w:shd w:fill="F1F5F9" w:val="clear"/>
            <w:vAlign w:val="center"/>
          </w:tcPr>
          <w:p>
            <w:r>
              <w:rPr>
                <w:rFonts w:ascii="IBM Plex Mono" w:cs="IBM Plex Mono" w:eastAsia="IBM Plex Mono" w:hAnsi="IBM Plex Mono"/>
                <w:color w:val="334155"/>
                <w:sz w:val="16"/>
                <w:szCs w:val="16"/>
              </w:rPr>
              <w:t xml:space="preserve">JA8B.Z</w:t>
            </w:r>
          </w:p>
        </w:tc>
        <w:tc>
          <w:tcPr>
            <w:tcW w:type="dxa" w:w="1560"/>
            <w:shd w:fill="F1F5F9" w:val="clear"/>
            <w:vAlign w:val="center"/>
          </w:tcPr>
          <w:p>
            <w:r>
              <w:rPr>
                <w:rFonts w:ascii="IBM Plex Mono" w:cs="IBM Plex Mono" w:eastAsia="IBM Plex Mono" w:hAnsi="IBM Plex Mono"/>
                <w:color w:val="334155"/>
                <w:sz w:val="16"/>
                <w:szCs w:val="16"/>
              </w:rPr>
              <w:t xml:space="preserve">Perdarahan antepartum; trimester 2–3</w:t>
            </w:r>
          </w:p>
        </w:tc>
      </w:tr>
      <w:tr>
        <w:trPr>
          <w:cantSplit/>
        </w:trPr>
        <w:tc>
          <w:tcPr>
            <w:tcW w:type="dxa" w:w="1560"/>
            <w:shd w:fill="FFFFFF" w:val="clear"/>
            <w:vAlign w:val="center"/>
          </w:tcPr>
          <w:p>
            <w:r>
              <w:rPr>
                <w:rFonts w:ascii="IBM Plex Mono" w:cs="IBM Plex Mono" w:eastAsia="IBM Plex Mono" w:hAnsi="IBM Plex Mono"/>
                <w:color w:val="334155"/>
                <w:sz w:val="16"/>
                <w:szCs w:val="16"/>
              </w:rPr>
              <w:t xml:space="preserve">13</w:t>
            </w:r>
          </w:p>
        </w:tc>
        <w:tc>
          <w:tcPr>
            <w:tcW w:type="dxa" w:w="1560"/>
            <w:shd w:fill="FFFFFF" w:val="clear"/>
            <w:vAlign w:val="center"/>
          </w:tcPr>
          <w:p>
            <w:r>
              <w:rPr>
                <w:rFonts w:ascii="IBM Plex Mono" w:cs="IBM Plex Mono" w:eastAsia="IBM Plex Mono" w:hAnsi="IBM Plex Mono"/>
                <w:color w:val="334155"/>
                <w:sz w:val="16"/>
                <w:szCs w:val="16"/>
              </w:rPr>
              <w:t xml:space="preserve">Ruptur uteri</w:t>
            </w:r>
          </w:p>
        </w:tc>
        <w:tc>
          <w:tcPr>
            <w:tcW w:type="dxa" w:w="1560"/>
            <w:shd w:fill="FFFFFF" w:val="clear"/>
            <w:vAlign w:val="center"/>
          </w:tcPr>
          <w:p>
            <w:r>
              <w:rPr>
                <w:rFonts w:ascii="IBM Plex Mono" w:cs="IBM Plex Mono" w:eastAsia="IBM Plex Mono" w:hAnsi="IBM Plex Mono"/>
                <w:color w:val="334155"/>
                <w:sz w:val="16"/>
                <w:szCs w:val="16"/>
              </w:rPr>
              <w:t xml:space="preserve">Uterine rupture</w:t>
            </w:r>
          </w:p>
        </w:tc>
        <w:tc>
          <w:tcPr>
            <w:tcW w:type="dxa" w:w="1560"/>
            <w:shd w:fill="FFFFFF" w:val="clear"/>
            <w:vAlign w:val="center"/>
          </w:tcPr>
          <w:p>
            <w:r>
              <w:rPr>
                <w:rFonts w:ascii="IBM Plex Mono" w:cs="IBM Plex Mono" w:eastAsia="IBM Plex Mono" w:hAnsi="IBM Plex Mono"/>
                <w:color w:val="334155"/>
                <w:sz w:val="16"/>
                <w:szCs w:val="16"/>
              </w:rPr>
              <w:t xml:space="preserve">O71.1</w:t>
            </w:r>
          </w:p>
        </w:tc>
        <w:tc>
          <w:tcPr>
            <w:tcW w:type="dxa" w:w="1560"/>
            <w:shd w:fill="FFFFFF" w:val="clear"/>
            <w:vAlign w:val="center"/>
          </w:tcPr>
          <w:p>
            <w:r>
              <w:rPr>
                <w:rFonts w:ascii="IBM Plex Mono" w:cs="IBM Plex Mono" w:eastAsia="IBM Plex Mono" w:hAnsi="IBM Plex Mono"/>
                <w:color w:val="334155"/>
                <w:sz w:val="16"/>
                <w:szCs w:val="16"/>
              </w:rPr>
              <w:t xml:space="preserve">JB0A.0; JB0A.1</w:t>
            </w:r>
          </w:p>
        </w:tc>
        <w:tc>
          <w:tcPr>
            <w:tcW w:type="dxa" w:w="1560"/>
            <w:shd w:fill="FFFFFF" w:val="clear"/>
            <w:vAlign w:val="center"/>
          </w:tcPr>
          <w:p>
            <w:r>
              <w:rPr>
                <w:rFonts w:ascii="IBM Plex Mono" w:cs="IBM Plex Mono" w:eastAsia="IBM Plex Mono" w:hAnsi="IBM Plex Mono"/>
                <w:color w:val="334155"/>
                <w:sz w:val="16"/>
                <w:szCs w:val="16"/>
              </w:rPr>
              <w:t xml:space="preserve">Kegawatdaruratan obstetri; risiko tinggi mortalitas</w:t>
            </w:r>
          </w:p>
        </w:tc>
      </w:tr>
      <w:tr>
        <w:trPr>
          <w:cantSplit/>
        </w:trPr>
        <w:tc>
          <w:tcPr>
            <w:tcW w:type="dxa" w:w="1560"/>
            <w:shd w:fill="F1F5F9" w:val="clear"/>
            <w:vAlign w:val="center"/>
          </w:tcPr>
          <w:p>
            <w:r>
              <w:rPr>
                <w:rFonts w:ascii="IBM Plex Mono" w:cs="IBM Plex Mono" w:eastAsia="IBM Plex Mono" w:hAnsi="IBM Plex Mono"/>
                <w:color w:val="334155"/>
                <w:sz w:val="16"/>
                <w:szCs w:val="16"/>
              </w:rPr>
              <w:t xml:space="preserve">14</w:t>
            </w:r>
          </w:p>
        </w:tc>
        <w:tc>
          <w:tcPr>
            <w:tcW w:type="dxa" w:w="1560"/>
            <w:shd w:fill="F1F5F9" w:val="clear"/>
            <w:vAlign w:val="center"/>
          </w:tcPr>
          <w:p>
            <w:r>
              <w:rPr>
                <w:rFonts w:ascii="IBM Plex Mono" w:cs="IBM Plex Mono" w:eastAsia="IBM Plex Mono" w:hAnsi="IBM Plex Mono"/>
                <w:color w:val="334155"/>
                <w:sz w:val="16"/>
                <w:szCs w:val="16"/>
              </w:rPr>
              <w:t xml:space="preserve">Atonia uteri</w:t>
            </w:r>
          </w:p>
        </w:tc>
        <w:tc>
          <w:tcPr>
            <w:tcW w:type="dxa" w:w="1560"/>
            <w:shd w:fill="F1F5F9" w:val="clear"/>
            <w:vAlign w:val="center"/>
          </w:tcPr>
          <w:p>
            <w:r>
              <w:rPr>
                <w:rFonts w:ascii="IBM Plex Mono" w:cs="IBM Plex Mono" w:eastAsia="IBM Plex Mono" w:hAnsi="IBM Plex Mono"/>
                <w:color w:val="334155"/>
                <w:sz w:val="16"/>
                <w:szCs w:val="16"/>
              </w:rPr>
              <w:t xml:space="preserve">Uterine atony</w:t>
            </w:r>
          </w:p>
        </w:tc>
        <w:tc>
          <w:tcPr>
            <w:tcW w:type="dxa" w:w="1560"/>
            <w:shd w:fill="F1F5F9" w:val="clear"/>
            <w:vAlign w:val="center"/>
          </w:tcPr>
          <w:p>
            <w:r>
              <w:rPr>
                <w:rFonts w:ascii="IBM Plex Mono" w:cs="IBM Plex Mono" w:eastAsia="IBM Plex Mono" w:hAnsi="IBM Plex Mono"/>
                <w:color w:val="334155"/>
                <w:sz w:val="16"/>
                <w:szCs w:val="16"/>
              </w:rPr>
              <w:t xml:space="preserve">O72.1</w:t>
            </w:r>
          </w:p>
        </w:tc>
        <w:tc>
          <w:tcPr>
            <w:tcW w:type="dxa" w:w="1560"/>
            <w:shd w:fill="F1F5F9" w:val="clear"/>
            <w:vAlign w:val="center"/>
          </w:tcPr>
          <w:p>
            <w:r>
              <w:rPr>
                <w:rFonts w:ascii="IBM Plex Mono" w:cs="IBM Plex Mono" w:eastAsia="IBM Plex Mono" w:hAnsi="IBM Plex Mono"/>
                <w:color w:val="334155"/>
                <w:sz w:val="16"/>
                <w:szCs w:val="16"/>
              </w:rPr>
              <w:t xml:space="preserve">JA43.1</w:t>
            </w:r>
          </w:p>
        </w:tc>
        <w:tc>
          <w:tcPr>
            <w:tcW w:type="dxa" w:w="1560"/>
            <w:shd w:fill="F1F5F9" w:val="clear"/>
            <w:vAlign w:val="center"/>
          </w:tcPr>
          <w:p>
            <w:r>
              <w:rPr>
                <w:rFonts w:ascii="IBM Plex Mono" w:cs="IBM Plex Mono" w:eastAsia="IBM Plex Mono" w:hAnsi="IBM Plex Mono"/>
                <w:color w:val="334155"/>
                <w:sz w:val="16"/>
                <w:szCs w:val="16"/>
              </w:rPr>
              <w:t xml:space="preserve">Penyebab perdarahan pascapersalinan</w:t>
            </w:r>
          </w:p>
        </w:tc>
      </w:tr>
      <w:tr>
        <w:trPr>
          <w:cantSplit/>
        </w:trPr>
        <w:tc>
          <w:tcPr>
            <w:tcW w:type="dxa" w:w="1560"/>
            <w:shd w:fill="FFFFFF" w:val="clear"/>
            <w:vAlign w:val="center"/>
          </w:tcPr>
          <w:p>
            <w:r>
              <w:rPr>
                <w:rFonts w:ascii="IBM Plex Mono" w:cs="IBM Plex Mono" w:eastAsia="IBM Plex Mono" w:hAnsi="IBM Plex Mono"/>
                <w:color w:val="334155"/>
                <w:sz w:val="16"/>
                <w:szCs w:val="16"/>
              </w:rPr>
              <w:t xml:space="preserve">15</w:t>
            </w:r>
          </w:p>
        </w:tc>
        <w:tc>
          <w:tcPr>
            <w:tcW w:type="dxa" w:w="1560"/>
            <w:shd w:fill="FFFFFF" w:val="clear"/>
            <w:vAlign w:val="center"/>
          </w:tcPr>
          <w:p>
            <w:r>
              <w:rPr>
                <w:rFonts w:ascii="IBM Plex Mono" w:cs="IBM Plex Mono" w:eastAsia="IBM Plex Mono" w:hAnsi="IBM Plex Mono"/>
                <w:color w:val="334155"/>
                <w:sz w:val="16"/>
                <w:szCs w:val="16"/>
              </w:rPr>
              <w:t xml:space="preserve">Solusio plasenta</w:t>
            </w:r>
          </w:p>
        </w:tc>
        <w:tc>
          <w:tcPr>
            <w:tcW w:type="dxa" w:w="1560"/>
            <w:shd w:fill="FFFFFF" w:val="clear"/>
            <w:vAlign w:val="center"/>
          </w:tcPr>
          <w:p>
            <w:r>
              <w:rPr>
                <w:rFonts w:ascii="IBM Plex Mono" w:cs="IBM Plex Mono" w:eastAsia="IBM Plex Mono" w:hAnsi="IBM Plex Mono"/>
                <w:color w:val="334155"/>
                <w:sz w:val="16"/>
                <w:szCs w:val="16"/>
              </w:rPr>
              <w:t xml:space="preserve">Placental abruption</w:t>
            </w:r>
          </w:p>
        </w:tc>
        <w:tc>
          <w:tcPr>
            <w:tcW w:type="dxa" w:w="1560"/>
            <w:shd w:fill="FFFFFF" w:val="clear"/>
            <w:vAlign w:val="center"/>
          </w:tcPr>
          <w:p>
            <w:r>
              <w:rPr>
                <w:rFonts w:ascii="IBM Plex Mono" w:cs="IBM Plex Mono" w:eastAsia="IBM Plex Mono" w:hAnsi="IBM Plex Mono"/>
                <w:color w:val="334155"/>
                <w:sz w:val="16"/>
                <w:szCs w:val="16"/>
              </w:rPr>
              <w:t xml:space="preserve">O45.9</w:t>
            </w:r>
          </w:p>
        </w:tc>
        <w:tc>
          <w:tcPr>
            <w:tcW w:type="dxa" w:w="1560"/>
            <w:shd w:fill="FFFFFF" w:val="clear"/>
            <w:vAlign w:val="center"/>
          </w:tcPr>
          <w:p>
            <w:r>
              <w:rPr>
                <w:rFonts w:ascii="IBM Plex Mono" w:cs="IBM Plex Mono" w:eastAsia="IBM Plex Mono" w:hAnsi="IBM Plex Mono"/>
                <w:color w:val="334155"/>
                <w:sz w:val="16"/>
                <w:szCs w:val="16"/>
              </w:rPr>
              <w:t xml:space="preserve">JA8C.Z</w:t>
            </w:r>
          </w:p>
        </w:tc>
        <w:tc>
          <w:tcPr>
            <w:tcW w:type="dxa" w:w="1560"/>
            <w:shd w:fill="FFFFFF" w:val="clear"/>
            <w:vAlign w:val="center"/>
          </w:tcPr>
          <w:p>
            <w:r>
              <w:rPr>
                <w:rFonts w:ascii="IBM Plex Mono" w:cs="IBM Plex Mono" w:eastAsia="IBM Plex Mono" w:hAnsi="IBM Plex Mono"/>
                <w:color w:val="334155"/>
                <w:sz w:val="16"/>
                <w:szCs w:val="16"/>
              </w:rPr>
              <w:t xml:space="preserve">Perdarahan antepartum; risiko fetal-maternal</w:t>
            </w:r>
          </w:p>
        </w:tc>
      </w:tr>
      <w:tr>
        <w:trPr>
          <w:cantSplit/>
        </w:trPr>
        <w:tc>
          <w:tcPr>
            <w:tcW w:type="dxa" w:w="1560"/>
            <w:shd w:fill="F1F5F9" w:val="clear"/>
            <w:vAlign w:val="center"/>
          </w:tcPr>
          <w:p>
            <w:r>
              <w:rPr>
                <w:rFonts w:ascii="IBM Plex Mono" w:cs="IBM Plex Mono" w:eastAsia="IBM Plex Mono" w:hAnsi="IBM Plex Mono"/>
                <w:color w:val="334155"/>
                <w:sz w:val="16"/>
                <w:szCs w:val="16"/>
              </w:rPr>
              <w:t xml:space="preserve">16</w:t>
            </w:r>
          </w:p>
        </w:tc>
        <w:tc>
          <w:tcPr>
            <w:tcW w:type="dxa" w:w="1560"/>
            <w:shd w:fill="F1F5F9" w:val="clear"/>
            <w:vAlign w:val="center"/>
          </w:tcPr>
          <w:p>
            <w:r>
              <w:rPr>
                <w:rFonts w:ascii="IBM Plex Mono" w:cs="IBM Plex Mono" w:eastAsia="IBM Plex Mono" w:hAnsi="IBM Plex Mono"/>
                <w:color w:val="334155"/>
                <w:sz w:val="16"/>
                <w:szCs w:val="16"/>
              </w:rPr>
              <w:t xml:space="preserve">Retensio plasenta</w:t>
            </w:r>
          </w:p>
        </w:tc>
        <w:tc>
          <w:tcPr>
            <w:tcW w:type="dxa" w:w="1560"/>
            <w:shd w:fill="F1F5F9" w:val="clear"/>
            <w:vAlign w:val="center"/>
          </w:tcPr>
          <w:p>
            <w:r>
              <w:rPr>
                <w:rFonts w:ascii="IBM Plex Mono" w:cs="IBM Plex Mono" w:eastAsia="IBM Plex Mono" w:hAnsi="IBM Plex Mono"/>
                <w:color w:val="334155"/>
                <w:sz w:val="16"/>
                <w:szCs w:val="16"/>
              </w:rPr>
              <w:t xml:space="preserve">Placenta retention</w:t>
            </w:r>
          </w:p>
        </w:tc>
        <w:tc>
          <w:tcPr>
            <w:tcW w:type="dxa" w:w="1560"/>
            <w:shd w:fill="F1F5F9" w:val="clear"/>
            <w:vAlign w:val="center"/>
          </w:tcPr>
          <w:p>
            <w:r>
              <w:rPr>
                <w:rFonts w:ascii="IBM Plex Mono" w:cs="IBM Plex Mono" w:eastAsia="IBM Plex Mono" w:hAnsi="IBM Plex Mono"/>
                <w:color w:val="334155"/>
                <w:sz w:val="16"/>
                <w:szCs w:val="16"/>
              </w:rPr>
              <w:t xml:space="preserve">O73.0; O73.1</w:t>
            </w:r>
          </w:p>
        </w:tc>
        <w:tc>
          <w:tcPr>
            <w:tcW w:type="dxa" w:w="1560"/>
            <w:shd w:fill="F1F5F9" w:val="clear"/>
            <w:vAlign w:val="center"/>
          </w:tcPr>
          <w:p>
            <w:r>
              <w:rPr>
                <w:rFonts w:ascii="IBM Plex Mono" w:cs="IBM Plex Mono" w:eastAsia="IBM Plex Mono" w:hAnsi="IBM Plex Mono"/>
                <w:color w:val="334155"/>
                <w:sz w:val="16"/>
                <w:szCs w:val="16"/>
              </w:rPr>
              <w:t xml:space="preserve">JA43.0; JB0B</w:t>
            </w:r>
          </w:p>
        </w:tc>
        <w:tc>
          <w:tcPr>
            <w:tcW w:type="dxa" w:w="1560"/>
            <w:shd w:fill="F1F5F9" w:val="clear"/>
            <w:vAlign w:val="center"/>
          </w:tcPr>
          <w:p>
            <w:r>
              <w:rPr>
                <w:rFonts w:ascii="IBM Plex Mono" w:cs="IBM Plex Mono" w:eastAsia="IBM Plex Mono" w:hAnsi="IBM Plex Mono"/>
                <w:color w:val="334155"/>
                <w:sz w:val="16"/>
                <w:szCs w:val="16"/>
              </w:rPr>
              <w:t xml:space="preserve">Penyebab perdarahan postpartum; intervensi segera</w:t>
            </w:r>
          </w:p>
        </w:tc>
      </w:tr>
    </w:tbl>
    <w:p>
      <w:pPr>
        <w:spacing w:after="200"/>
      </w:pPr>
    </w:p>
    <w:p>
      <w:pPr>
        <w:pStyle w:val="Heading1"/>
        <w:spacing w:after="160" w:before="320"/>
      </w:pPr>
      <w:r>
        <w:t xml:space="preserve">9. Perbandingan dan Pengayaan Standar Internasional</w:t>
      </w:r>
    </w:p>
    <w:p>
      <w:pPr>
        <w:spacing w:after="180"/>
        <w:jc w:val="both"/>
      </w:pPr>
      <w:r>
        <w:rPr>
          <w:rFonts w:ascii="IBM Plex Sans" w:cs="IBM Plex Sans" w:eastAsia="IBM Plex Sans" w:hAnsi="IBM Plex Sans"/>
          <w:color w:val="334155"/>
          <w:sz w:val="21"/>
          <w:szCs w:val="21"/>
        </w:rPr>
        <w:t xml:space="preserve">Standar nasional — Program P4K dengan Stiker — menekankan pendekatan berbasis rumah tangga melalui notifikasi stiker dan pemberdayaan kader di tingkat komunitas sebagai instrumen utama kesiapsiagaan persalinan (Departemen Kesehatan RI, 2009). Standar internasional WHO merekomendasikan model kontak antenatal minimal delapan kali sepanjang kehamilan untuk memperbaiki luaran perinatal dan pengalaman ibu (WHO, 2016), sebagaimana diuraikan pada Bagian 5. Untuk kesiapan sistem rujukan, kerangka Emergency Obstetric and Newborn Care (EmONC) telah diperbarui melalui proses konsensus Delphi global yang melibatkan 113 pakar kesehatan ibu dan bayi baru lahir, menghasilkan 25 fungsi sinyal (signal functions) pada tiga tingkat layanan — pembaruan dari kerangka sembilan fungsi sinyal yang berlaku sejak 2009 (Moxon dkk., 2025). International Federation of Gynecology and Obstetrics (FIGO), melalui FIGO Saving Mothers and Newborns Initiative, turut menekankan penguatan kapasitas organisasi profesi nasional dalam upaya keselamatan ibu dan bayi baru lahir. Praktik di Indonesia mengikuti standar nasional Program P4K, dengan pengayaan model kontak antenatal WHO dan kerangka fungsi sinyal EmONC hasil pembaruan 2025 sebagai acuan tambahan untuk menilai kesiapan fasilitas rujukan tujuan pada alur di Bagian 7.</w:t>
      </w:r>
    </w:p>
    <w:p>
      <w:pPr>
        <w:pStyle w:val="Heading1"/>
        <w:spacing w:after="160" w:before="320"/>
      </w:pPr>
      <w:r>
        <w:t xml:space="preserve">10. Kepustakaan</w:t>
      </w:r>
    </w:p>
    <w:p>
      <w:pPr>
        <w:pStyle w:val="ListParagraph"/>
        <w:numPr>
          <w:ilvl w:val="0"/>
          <w:numId w:val="1"/>
        </w:numPr>
        <w:spacing w:after="80"/>
      </w:pPr>
      <w:r>
        <w:rPr>
          <w:rFonts w:ascii="IBM Plex Sans" w:cs="IBM Plex Sans" w:eastAsia="IBM Plex Sans" w:hAnsi="IBM Plex Sans"/>
          <w:color w:val="334155"/>
          <w:sz w:val="21"/>
          <w:szCs w:val="21"/>
        </w:rPr>
        <w:t xml:space="preserve">Keputusan Ketua Konsil Kesehatan Indonesia No. HK.01.02/KKI/1318/2026 tentang Standar Kompetensi Dokter Spesialis dan Subspesialis Bidang Obstetri dan Ginekologi.</w:t>
      </w:r>
    </w:p>
    <w:p>
      <w:pPr>
        <w:pStyle w:val="ListParagraph"/>
        <w:numPr>
          <w:ilvl w:val="0"/>
          <w:numId w:val="1"/>
        </w:numPr>
        <w:spacing w:after="80"/>
      </w:pPr>
      <w:r>
        <w:rPr>
          <w:rFonts w:ascii="IBM Plex Sans" w:cs="IBM Plex Sans" w:eastAsia="IBM Plex Sans" w:hAnsi="IBM Plex Sans"/>
          <w:color w:val="334155"/>
          <w:sz w:val="21"/>
          <w:szCs w:val="21"/>
        </w:rPr>
        <w:t xml:space="preserve">Undang-Undang Nomor 17 Tahun 2023 tentang Kesehatan.</w:t>
      </w:r>
    </w:p>
    <w:p>
      <w:pPr>
        <w:pStyle w:val="ListParagraph"/>
        <w:numPr>
          <w:ilvl w:val="0"/>
          <w:numId w:val="1"/>
        </w:numPr>
        <w:spacing w:after="80"/>
      </w:pPr>
      <w:r>
        <w:rPr>
          <w:rFonts w:ascii="IBM Plex Sans" w:cs="IBM Plex Sans" w:eastAsia="IBM Plex Sans" w:hAnsi="IBM Plex Sans"/>
          <w:color w:val="334155"/>
          <w:sz w:val="21"/>
          <w:szCs w:val="21"/>
        </w:rPr>
        <w:t xml:space="preserve">Peraturan Pemerintah Nomor 28 Tahun 2024 tentang Peraturan Pelaksanaan Undang-Undang Nomor 17 Tahun 2023 tentang Kesehatan.</w:t>
      </w:r>
    </w:p>
    <w:p>
      <w:pPr>
        <w:pStyle w:val="ListParagraph"/>
        <w:numPr>
          <w:ilvl w:val="0"/>
          <w:numId w:val="1"/>
        </w:numPr>
        <w:spacing w:after="80"/>
      </w:pPr>
      <w:r>
        <w:rPr>
          <w:rFonts w:ascii="IBM Plex Sans" w:cs="IBM Plex Sans" w:eastAsia="IBM Plex Sans" w:hAnsi="IBM Plex Sans"/>
          <w:color w:val="334155"/>
          <w:sz w:val="21"/>
          <w:szCs w:val="21"/>
        </w:rPr>
        <w:t xml:space="preserve">Peraturan Menteri Kesehatan Nomor 2 Tahun 2025 tentang Penyelenggaraan Upaya Kesehatan Reproduksi.</w:t>
      </w:r>
    </w:p>
    <w:p>
      <w:pPr>
        <w:pStyle w:val="ListParagraph"/>
        <w:numPr>
          <w:ilvl w:val="0"/>
          <w:numId w:val="1"/>
        </w:numPr>
        <w:spacing w:after="80"/>
      </w:pPr>
      <w:r>
        <w:rPr>
          <w:rFonts w:ascii="IBM Plex Sans" w:cs="IBM Plex Sans" w:eastAsia="IBM Plex Sans" w:hAnsi="IBM Plex Sans"/>
          <w:color w:val="334155"/>
          <w:sz w:val="21"/>
          <w:szCs w:val="21"/>
        </w:rPr>
        <w:t xml:space="preserve">Departemen Kesehatan RI. Pedoman Perencanaan Persalinan dan Pencegahan Komplikasi (P4K) dengan Stiker. Jakarta: Departemen Kesehatan RI; 2009.</w:t>
      </w:r>
    </w:p>
    <w:p>
      <w:pPr>
        <w:pStyle w:val="ListParagraph"/>
        <w:numPr>
          <w:ilvl w:val="0"/>
          <w:numId w:val="1"/>
        </w:numPr>
        <w:spacing w:after="80"/>
      </w:pPr>
      <w:r>
        <w:rPr>
          <w:rFonts w:ascii="IBM Plex Sans" w:cs="IBM Plex Sans" w:eastAsia="IBM Plex Sans" w:hAnsi="IBM Plex Sans"/>
          <w:color w:val="334155"/>
          <w:sz w:val="21"/>
          <w:szCs w:val="21"/>
        </w:rPr>
        <w:t xml:space="preserve">World Health Organization. WHO Recommendations on Antenatal Care for a Positive Pregnancy Experience. Geneva: WHO; 2016.</w:t>
      </w:r>
    </w:p>
    <w:p>
      <w:pPr>
        <w:pStyle w:val="ListParagraph"/>
        <w:numPr>
          <w:ilvl w:val="0"/>
          <w:numId w:val="1"/>
        </w:numPr>
        <w:spacing w:after="80"/>
      </w:pPr>
      <w:r>
        <w:rPr>
          <w:rFonts w:ascii="IBM Plex Sans" w:cs="IBM Plex Sans" w:eastAsia="IBM Plex Sans" w:hAnsi="IBM Plex Sans"/>
          <w:color w:val="334155"/>
          <w:sz w:val="21"/>
          <w:szCs w:val="21"/>
        </w:rPr>
        <w:t xml:space="preserve">Moxon SG, Wharton-Smith A, Sharma S, Aluvaala J, Campbell OMR, Gupta G, dkk. A Delphi process to build consensus on revised Emergency Obstetric and Newborn Care (EmONC) signal functions and levels of care. PLOS ONE. 2025;20(9):e0331684. doi:10.1371/journal.pone.0331684.</w:t>
      </w:r>
    </w:p>
    <w:p>
      <w:pPr>
        <w:pStyle w:val="ListParagraph"/>
        <w:numPr>
          <w:ilvl w:val="0"/>
          <w:numId w:val="1"/>
        </w:numPr>
        <w:spacing w:after="80"/>
      </w:pPr>
      <w:r>
        <w:rPr>
          <w:rFonts w:ascii="IBM Plex Sans" w:cs="IBM Plex Sans" w:eastAsia="IBM Plex Sans" w:hAnsi="IBM Plex Sans"/>
          <w:color w:val="334155"/>
          <w:sz w:val="21"/>
          <w:szCs w:val="21"/>
        </w:rPr>
        <w:t xml:space="preserve">International Federation of Gynecology and Obstetrics (FIGO). FIGO Saving Mothers and Newborns Initiative.</w:t>
      </w:r>
    </w:p>
    <w:p>
      <w:pPr>
        <w:pStyle w:val="ListParagraph"/>
        <w:numPr>
          <w:ilvl w:val="0"/>
          <w:numId w:val="1"/>
        </w:numPr>
        <w:spacing w:after="80"/>
      </w:pPr>
      <w:r>
        <w:rPr>
          <w:rFonts w:ascii="IBM Plex Sans" w:cs="IBM Plex Sans" w:eastAsia="IBM Plex Sans" w:hAnsi="IBM Plex Sans"/>
          <w:color w:val="334155"/>
          <w:sz w:val="21"/>
          <w:szCs w:val="21"/>
        </w:rPr>
        <w:t xml:space="preserve">Buku Tematik B3 — Obstetri Patologis dan Kegawatdaruratan Maternal (dokumen internal seri ini).</w:t>
      </w:r>
    </w:p>
    <w:p>
      <w:pPr>
        <w:pStyle w:val="ListParagraph"/>
        <w:numPr>
          <w:ilvl w:val="0"/>
          <w:numId w:val="1"/>
        </w:numPr>
        <w:spacing w:after="80"/>
      </w:pPr>
      <w:r>
        <w:rPr>
          <w:rFonts w:ascii="IBM Plex Sans" w:cs="IBM Plex Sans" w:eastAsia="IBM Plex Sans" w:hAnsi="IBM Plex Sans"/>
          <w:color w:val="334155"/>
          <w:sz w:val="21"/>
          <w:szCs w:val="21"/>
        </w:rPr>
        <w:t xml:space="preserve">PPK-007 s.d. PPK-016 (dokumen internal seri ini).</w:t>
      </w:r>
    </w:p>
    <w:p>
      <w:pPr>
        <w:pStyle w:val="Heading1"/>
        <w:spacing w:after="160" w:before="320"/>
      </w:pPr>
      <w:r>
        <w:t xml:space="preserve">Glosarium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Pr>
        <w:tc>
          <w:tcPr>
            <w:tcW w:type="dxa" w:w="4680"/>
            <w:shd w:fill="4F46E5" w:val="clear"/>
            <w:vAlign w:val="center"/>
          </w:tcPr>
          <w:p>
            <w:r>
              <w:rPr>
                <w:rFonts w:ascii="IBM Plex Sans" w:cs="IBM Plex Sans" w:eastAsia="IBM Plex Sans" w:hAnsi="IBM Plex Sans"/>
                <w:b/>
                <w:bCs/>
                <w:color w:val="FFFFFF"/>
                <w:sz w:val="18"/>
                <w:szCs w:val="18"/>
              </w:rPr>
              <w:t xml:space="preserve">Istilah</w:t>
            </w:r>
          </w:p>
        </w:tc>
        <w:tc>
          <w:tcPr>
            <w:tcW w:type="dxa" w:w="4680"/>
            <w:shd w:fill="4F46E5" w:val="clear"/>
            <w:vAlign w:val="center"/>
          </w:tcPr>
          <w:p>
            <w:r>
              <w:rPr>
                <w:rFonts w:ascii="IBM Plex Sans" w:cs="IBM Plex Sans" w:eastAsia="IBM Plex Sans" w:hAnsi="IBM Plex Sans"/>
                <w:b/>
                <w:bCs/>
                <w:color w:val="FFFFFF"/>
                <w:sz w:val="18"/>
                <w:szCs w:val="18"/>
              </w:rPr>
              <w:t xml:space="preserve">Definisi</w:t>
            </w:r>
          </w:p>
        </w:tc>
      </w:tr>
      <w:tr>
        <w:trPr>
          <w:cantSplit/>
        </w:trPr>
        <w:tc>
          <w:tcPr>
            <w:tcW w:type="dxa" w:w="4680"/>
            <w:shd w:fill="FFFFFF" w:val="clear"/>
            <w:vAlign w:val="center"/>
          </w:tcPr>
          <w:p>
            <w:r>
              <w:rPr>
                <w:rFonts w:ascii="IBM Plex Mono" w:cs="IBM Plex Mono" w:eastAsia="IBM Plex Mono" w:hAnsi="IBM Plex Mono"/>
                <w:color w:val="334155"/>
                <w:sz w:val="16"/>
                <w:szCs w:val="16"/>
              </w:rPr>
              <w:t xml:space="preserve">P4K</w:t>
            </w:r>
          </w:p>
        </w:tc>
        <w:tc>
          <w:tcPr>
            <w:tcW w:type="dxa" w:w="4680"/>
            <w:shd w:fill="FFFFFF" w:val="clear"/>
            <w:vAlign w:val="center"/>
          </w:tcPr>
          <w:p>
            <w:r>
              <w:rPr>
                <w:rFonts w:ascii="IBM Plex Mono" w:cs="IBM Plex Mono" w:eastAsia="IBM Plex Mono" w:hAnsi="IBM Plex Mono"/>
                <w:color w:val="334155"/>
                <w:sz w:val="16"/>
                <w:szCs w:val="16"/>
              </w:rPr>
              <w:t xml:space="preserve">Perencanaan Persalinan dan Pencegahan Komplikasi — program nasional berbasis stiker untuk mendorong peran aktif suami, keluarga, dan masyarakat dalam merencanakan persalinan yang aman.</w:t>
            </w:r>
          </w:p>
        </w:tc>
      </w:tr>
      <w:tr>
        <w:trPr>
          <w:cantSplit/>
        </w:trPr>
        <w:tc>
          <w:tcPr>
            <w:tcW w:type="dxa" w:w="4680"/>
            <w:shd w:fill="F1F5F9" w:val="clear"/>
            <w:vAlign w:val="center"/>
          </w:tcPr>
          <w:p>
            <w:r>
              <w:rPr>
                <w:rFonts w:ascii="IBM Plex Mono" w:cs="IBM Plex Mono" w:eastAsia="IBM Plex Mono" w:hAnsi="IBM Plex Mono"/>
                <w:color w:val="334155"/>
                <w:sz w:val="16"/>
                <w:szCs w:val="16"/>
              </w:rPr>
              <w:t xml:space="preserve">Stiker P4K</w:t>
            </w:r>
          </w:p>
        </w:tc>
        <w:tc>
          <w:tcPr>
            <w:tcW w:type="dxa" w:w="4680"/>
            <w:shd w:fill="F1F5F9" w:val="clear"/>
            <w:vAlign w:val="center"/>
          </w:tcPr>
          <w:p>
            <w:r>
              <w:rPr>
                <w:rFonts w:ascii="IBM Plex Mono" w:cs="IBM Plex Mono" w:eastAsia="IBM Plex Mono" w:hAnsi="IBM Plex Mono"/>
                <w:color w:val="334155"/>
                <w:sz w:val="16"/>
                <w:szCs w:val="16"/>
              </w:rPr>
              <w:t xml:space="preserve">Media notifikasi yang ditempel di rumah ibu hamil, memuat taksiran persalinan, penolong, tempat bersalin, pendamping, transportasi, dan calon donor darah.</w:t>
            </w:r>
          </w:p>
        </w:tc>
      </w:tr>
      <w:tr>
        <w:trPr>
          <w:cantSplit/>
        </w:trPr>
        <w:tc>
          <w:tcPr>
            <w:tcW w:type="dxa" w:w="4680"/>
            <w:shd w:fill="FFFFFF" w:val="clear"/>
            <w:vAlign w:val="center"/>
          </w:tcPr>
          <w:p>
            <w:r>
              <w:rPr>
                <w:rFonts w:ascii="IBM Plex Mono" w:cs="IBM Plex Mono" w:eastAsia="IBM Plex Mono" w:hAnsi="IBM Plex Mono"/>
                <w:color w:val="334155"/>
                <w:sz w:val="16"/>
                <w:szCs w:val="16"/>
              </w:rPr>
              <w:t xml:space="preserve">ANC (Antenatal Care)</w:t>
            </w:r>
          </w:p>
        </w:tc>
        <w:tc>
          <w:tcPr>
            <w:tcW w:type="dxa" w:w="4680"/>
            <w:shd w:fill="FFFFFF" w:val="clear"/>
            <w:vAlign w:val="center"/>
          </w:tcPr>
          <w:p>
            <w:r>
              <w:rPr>
                <w:rFonts w:ascii="IBM Plex Mono" w:cs="IBM Plex Mono" w:eastAsia="IBM Plex Mono" w:hAnsi="IBM Plex Mono"/>
                <w:color w:val="334155"/>
                <w:sz w:val="16"/>
                <w:szCs w:val="16"/>
              </w:rPr>
              <w:t xml:space="preserve">Pelayanan kesehatan yang diberikan kepada ibu selama masa kehamilan untuk memantau kesehatan ibu dan janin serta mendeteksi dini komplikasi.</w:t>
            </w:r>
          </w:p>
        </w:tc>
      </w:tr>
      <w:tr>
        <w:trPr>
          <w:cantSplit/>
        </w:trPr>
        <w:tc>
          <w:tcPr>
            <w:tcW w:type="dxa" w:w="4680"/>
            <w:shd w:fill="F1F5F9" w:val="clear"/>
            <w:vAlign w:val="center"/>
          </w:tcPr>
          <w:p>
            <w:r>
              <w:rPr>
                <w:rFonts w:ascii="IBM Plex Mono" w:cs="IBM Plex Mono" w:eastAsia="IBM Plex Mono" w:hAnsi="IBM Plex Mono"/>
                <w:color w:val="334155"/>
                <w:sz w:val="16"/>
                <w:szCs w:val="16"/>
              </w:rPr>
              <w:t xml:space="preserve">Kontak ANC</w:t>
            </w:r>
          </w:p>
        </w:tc>
        <w:tc>
          <w:tcPr>
            <w:tcW w:type="dxa" w:w="4680"/>
            <w:shd w:fill="F1F5F9" w:val="clear"/>
            <w:vAlign w:val="center"/>
          </w:tcPr>
          <w:p>
            <w:r>
              <w:rPr>
                <w:rFonts w:ascii="IBM Plex Mono" w:cs="IBM Plex Mono" w:eastAsia="IBM Plex Mono" w:hAnsi="IBM Plex Mono"/>
                <w:color w:val="334155"/>
                <w:sz w:val="16"/>
                <w:szCs w:val="16"/>
              </w:rPr>
              <w:t xml:space="preserve">Istilah yang digunakan WHO untuk pertemuan ibu hamil dengan tenaga kesehatan selama kehamilan, menekankan interaksi aktif dan bukan sekadar kunjungan administratif.</w:t>
            </w:r>
          </w:p>
        </w:tc>
      </w:tr>
      <w:tr>
        <w:trPr>
          <w:cantSplit/>
        </w:trPr>
        <w:tc>
          <w:tcPr>
            <w:tcW w:type="dxa" w:w="4680"/>
            <w:shd w:fill="FFFFFF" w:val="clear"/>
            <w:vAlign w:val="center"/>
          </w:tcPr>
          <w:p>
            <w:r>
              <w:rPr>
                <w:rFonts w:ascii="IBM Plex Mono" w:cs="IBM Plex Mono" w:eastAsia="IBM Plex Mono" w:hAnsi="IBM Plex Mono"/>
                <w:color w:val="334155"/>
                <w:sz w:val="16"/>
                <w:szCs w:val="16"/>
              </w:rPr>
              <w:t xml:space="preserve">EmONC (Emergency Obstetric and Newborn Care)</w:t>
            </w:r>
          </w:p>
        </w:tc>
        <w:tc>
          <w:tcPr>
            <w:tcW w:type="dxa" w:w="4680"/>
            <w:shd w:fill="FFFFFF" w:val="clear"/>
            <w:vAlign w:val="center"/>
          </w:tcPr>
          <w:p>
            <w:r>
              <w:rPr>
                <w:rFonts w:ascii="IBM Plex Mono" w:cs="IBM Plex Mono" w:eastAsia="IBM Plex Mono" w:hAnsi="IBM Plex Mono"/>
                <w:color w:val="334155"/>
                <w:sz w:val="16"/>
                <w:szCs w:val="16"/>
              </w:rPr>
              <w:t xml:space="preserve">Kerangka pelayanan kegawatdaruratan obstetri dan neonatal yang dipantau melalui serangkaian fungsi sinyal (signal functions) klinis pada fasilitas kesehatan.</w:t>
            </w:r>
          </w:p>
        </w:tc>
      </w:tr>
      <w:tr>
        <w:trPr>
          <w:cantSplit/>
        </w:trPr>
        <w:tc>
          <w:tcPr>
            <w:tcW w:type="dxa" w:w="4680"/>
            <w:shd w:fill="F1F5F9" w:val="clear"/>
            <w:vAlign w:val="center"/>
          </w:tcPr>
          <w:p>
            <w:r>
              <w:rPr>
                <w:rFonts w:ascii="IBM Plex Mono" w:cs="IBM Plex Mono" w:eastAsia="IBM Plex Mono" w:hAnsi="IBM Plex Mono"/>
                <w:color w:val="334155"/>
                <w:sz w:val="16"/>
                <w:szCs w:val="16"/>
              </w:rPr>
              <w:t xml:space="preserve">Fungsi Sinyal (Signal Function)</w:t>
            </w:r>
          </w:p>
        </w:tc>
        <w:tc>
          <w:tcPr>
            <w:tcW w:type="dxa" w:w="4680"/>
            <w:shd w:fill="F1F5F9" w:val="clear"/>
            <w:vAlign w:val="center"/>
          </w:tcPr>
          <w:p>
            <w:r>
              <w:rPr>
                <w:rFonts w:ascii="IBM Plex Mono" w:cs="IBM Plex Mono" w:eastAsia="IBM Plex Mono" w:hAnsi="IBM Plex Mono"/>
                <w:color w:val="334155"/>
                <w:sz w:val="16"/>
                <w:szCs w:val="16"/>
              </w:rPr>
              <w:t xml:space="preserve">Intervensi klinis kunci yang menjadi indikator kemampuan sebuah fasilitas menangani kegawatdaruratan obstetri-neonatal tertentu.</w:t>
            </w:r>
          </w:p>
        </w:tc>
      </w:tr>
      <w:tr>
        <w:trPr>
          <w:cantSplit/>
        </w:trPr>
        <w:tc>
          <w:tcPr>
            <w:tcW w:type="dxa" w:w="4680"/>
            <w:shd w:fill="FFFFFF" w:val="clear"/>
            <w:vAlign w:val="center"/>
          </w:tcPr>
          <w:p>
            <w:r>
              <w:rPr>
                <w:rFonts w:ascii="IBM Plex Mono" w:cs="IBM Plex Mono" w:eastAsia="IBM Plex Mono" w:hAnsi="IBM Plex Mono"/>
                <w:color w:val="334155"/>
                <w:sz w:val="16"/>
                <w:szCs w:val="16"/>
              </w:rPr>
              <w:t xml:space="preserve">Kader Kesehatan</w:t>
            </w:r>
          </w:p>
        </w:tc>
        <w:tc>
          <w:tcPr>
            <w:tcW w:type="dxa" w:w="4680"/>
            <w:shd w:fill="FFFFFF" w:val="clear"/>
            <w:vAlign w:val="center"/>
          </w:tcPr>
          <w:p>
            <w:r>
              <w:rPr>
                <w:rFonts w:ascii="IBM Plex Mono" w:cs="IBM Plex Mono" w:eastAsia="IBM Plex Mono" w:hAnsi="IBM Plex Mono"/>
                <w:color w:val="334155"/>
                <w:sz w:val="16"/>
                <w:szCs w:val="16"/>
              </w:rPr>
              <w:t xml:space="preserve">Anggota masyarakat yang dilatih untuk membantu mobilisasi, edukasi, dan pemantauan kesehatan ibu hamil di tingkat rumah tangga.</w:t>
            </w:r>
          </w:p>
        </w:tc>
      </w:tr>
      <w:tr>
        <w:trPr>
          <w:cantSplit/>
        </w:trPr>
        <w:tc>
          <w:tcPr>
            <w:tcW w:type="dxa" w:w="4680"/>
            <w:shd w:fill="F1F5F9" w:val="clear"/>
            <w:vAlign w:val="center"/>
          </w:tcPr>
          <w:p>
            <w:r>
              <w:rPr>
                <w:rFonts w:ascii="IBM Plex Mono" w:cs="IBM Plex Mono" w:eastAsia="IBM Plex Mono" w:hAnsi="IBM Plex Mono"/>
                <w:color w:val="334155"/>
                <w:sz w:val="16"/>
                <w:szCs w:val="16"/>
              </w:rPr>
              <w:t xml:space="preserve">Puskesmas</w:t>
            </w:r>
          </w:p>
        </w:tc>
        <w:tc>
          <w:tcPr>
            <w:tcW w:type="dxa" w:w="4680"/>
            <w:shd w:fill="F1F5F9" w:val="clear"/>
            <w:vAlign w:val="center"/>
          </w:tcPr>
          <w:p>
            <w:r>
              <w:rPr>
                <w:rFonts w:ascii="IBM Plex Mono" w:cs="IBM Plex Mono" w:eastAsia="IBM Plex Mono" w:hAnsi="IBM Plex Mono"/>
                <w:color w:val="334155"/>
                <w:sz w:val="16"/>
                <w:szCs w:val="16"/>
              </w:rPr>
              <w:t xml:space="preserve">Pusat Kesehatan Masyarakat — fasilitas pelayanan kesehatan tingkat pertama yang menjadi penyelenggara utama PPKK ini.</w:t>
            </w:r>
          </w:p>
        </w:tc>
      </w:tr>
      <w:tr>
        <w:trPr>
          <w:cantSplit/>
        </w:trPr>
        <w:tc>
          <w:tcPr>
            <w:tcW w:type="dxa" w:w="4680"/>
            <w:shd w:fill="FFFFFF" w:val="clear"/>
            <w:vAlign w:val="center"/>
          </w:tcPr>
          <w:p>
            <w:r>
              <w:rPr>
                <w:rFonts w:ascii="IBM Plex Mono" w:cs="IBM Plex Mono" w:eastAsia="IBM Plex Mono" w:hAnsi="IBM Plex Mono"/>
                <w:color w:val="334155"/>
                <w:sz w:val="16"/>
                <w:szCs w:val="16"/>
              </w:rPr>
              <w:t xml:space="preserve">PPDS</w:t>
            </w:r>
          </w:p>
        </w:tc>
        <w:tc>
          <w:tcPr>
            <w:tcW w:type="dxa" w:w="4680"/>
            <w:shd w:fill="FFFFFF" w:val="clear"/>
            <w:vAlign w:val="center"/>
          </w:tcPr>
          <w:p>
            <w:r>
              <w:rPr>
                <w:rFonts w:ascii="IBM Plex Mono" w:cs="IBM Plex Mono" w:eastAsia="IBM Plex Mono" w:hAnsi="IBM Plex Mono"/>
                <w:color w:val="334155"/>
                <w:sz w:val="16"/>
                <w:szCs w:val="16"/>
              </w:rPr>
              <w:t xml:space="preserve">Peserta Program Dokter Spesialis — dokter yang sedang menempuh pendidikan spesialisasi di bawah supervisi.</w:t>
            </w:r>
          </w:p>
        </w:tc>
      </w:tr>
      <w:tr>
        <w:trPr>
          <w:cantSplit/>
        </w:trPr>
        <w:tc>
          <w:tcPr>
            <w:tcW w:type="dxa" w:w="4680"/>
            <w:shd w:fill="F1F5F9" w:val="clear"/>
            <w:vAlign w:val="center"/>
          </w:tcPr>
          <w:p>
            <w:r>
              <w:rPr>
                <w:rFonts w:ascii="IBM Plex Mono" w:cs="IBM Plex Mono" w:eastAsia="IBM Plex Mono" w:hAnsi="IBM Plex Mono"/>
                <w:color w:val="334155"/>
                <w:sz w:val="16"/>
                <w:szCs w:val="16"/>
              </w:rPr>
              <w:t xml:space="preserve">PPK (Panduan Praktik Klinis)</w:t>
            </w:r>
          </w:p>
        </w:tc>
        <w:tc>
          <w:tcPr>
            <w:tcW w:type="dxa" w:w="4680"/>
            <w:shd w:fill="F1F5F9" w:val="clear"/>
            <w:vAlign w:val="center"/>
          </w:tcPr>
          <w:p>
            <w:r>
              <w:rPr>
                <w:rFonts w:ascii="IBM Plex Mono" w:cs="IBM Plex Mono" w:eastAsia="IBM Plex Mono" w:hAnsi="IBM Plex Mono"/>
                <w:color w:val="334155"/>
                <w:sz w:val="16"/>
                <w:szCs w:val="16"/>
              </w:rPr>
              <w:t xml:space="preserve">Dokumen tata laksana klinis untuk satu diagnosis pada satu pasien dalam satu episode layanan.</w:t>
            </w:r>
          </w:p>
        </w:tc>
      </w:tr>
      <w:tr>
        <w:trPr>
          <w:cantSplit/>
        </w:trPr>
        <w:tc>
          <w:tcPr>
            <w:tcW w:type="dxa" w:w="4680"/>
            <w:shd w:fill="FFFFFF" w:val="clear"/>
            <w:vAlign w:val="center"/>
          </w:tcPr>
          <w:p>
            <w:r>
              <w:rPr>
                <w:rFonts w:ascii="IBM Plex Mono" w:cs="IBM Plex Mono" w:eastAsia="IBM Plex Mono" w:hAnsi="IBM Plex Mono"/>
                <w:color w:val="334155"/>
                <w:sz w:val="16"/>
                <w:szCs w:val="16"/>
              </w:rPr>
              <w:t xml:space="preserve">PPKK (Panduan Praktik Klinis Kelompok/Komunitas)</w:t>
            </w:r>
          </w:p>
        </w:tc>
        <w:tc>
          <w:tcPr>
            <w:tcW w:type="dxa" w:w="4680"/>
            <w:shd w:fill="FFFFFF" w:val="clear"/>
            <w:vAlign w:val="center"/>
          </w:tcPr>
          <w:p>
            <w:r>
              <w:rPr>
                <w:rFonts w:ascii="IBM Plex Mono" w:cs="IBM Plex Mono" w:eastAsia="IBM Plex Mono" w:hAnsi="IBM Plex Mono"/>
                <w:color w:val="334155"/>
                <w:sz w:val="16"/>
                <w:szCs w:val="16"/>
              </w:rPr>
              <w:t xml:space="preserve">Dokumen tata laksana berbasis kelompok/komunitas dengan unit analisis berupa populasi sasaran, bukan satu pasien.</w:t>
            </w:r>
          </w:p>
        </w:tc>
      </w:tr>
      <w:tr>
        <w:trPr>
          <w:cantSplit/>
        </w:trPr>
        <w:tc>
          <w:tcPr>
            <w:tcW w:type="dxa" w:w="4680"/>
            <w:shd w:fill="F1F5F9" w:val="clear"/>
            <w:vAlign w:val="center"/>
          </w:tcPr>
          <w:p>
            <w:r>
              <w:rPr>
                <w:rFonts w:ascii="IBM Plex Mono" w:cs="IBM Plex Mono" w:eastAsia="IBM Plex Mono" w:hAnsi="IBM Plex Mono"/>
                <w:color w:val="334155"/>
                <w:sz w:val="16"/>
                <w:szCs w:val="16"/>
              </w:rPr>
              <w:t xml:space="preserve">Rujukan Berjenjang</w:t>
            </w:r>
          </w:p>
        </w:tc>
        <w:tc>
          <w:tcPr>
            <w:tcW w:type="dxa" w:w="4680"/>
            <w:shd w:fill="F1F5F9" w:val="clear"/>
            <w:vAlign w:val="center"/>
          </w:tcPr>
          <w:p>
            <w:r>
              <w:rPr>
                <w:rFonts w:ascii="IBM Plex Mono" w:cs="IBM Plex Mono" w:eastAsia="IBM Plex Mono" w:hAnsi="IBM Plex Mono"/>
                <w:color w:val="334155"/>
                <w:sz w:val="16"/>
                <w:szCs w:val="16"/>
              </w:rPr>
              <w:t xml:space="preserve">Mekanisme pengalihan penanganan pasien dari fasilitas kesehatan tingkat pertama ke fasilitas rujukan sesuai tingkat kegawatan dan kompetensi yang dibutuhkan.</w:t>
            </w:r>
          </w:p>
        </w:tc>
      </w:tr>
      <w:tr>
        <w:trPr>
          <w:cantSplit/>
        </w:trPr>
        <w:tc>
          <w:tcPr>
            <w:tcW w:type="dxa" w:w="4680"/>
            <w:shd w:fill="FFFFFF" w:val="clear"/>
            <w:vAlign w:val="center"/>
          </w:tcPr>
          <w:p>
            <w:r>
              <w:rPr>
                <w:rFonts w:ascii="IBM Plex Mono" w:cs="IBM Plex Mono" w:eastAsia="IBM Plex Mono" w:hAnsi="IBM Plex Mono"/>
                <w:color w:val="334155"/>
                <w:sz w:val="16"/>
                <w:szCs w:val="16"/>
              </w:rPr>
              <w:t xml:space="preserve">Preeklampsia</w:t>
            </w:r>
          </w:p>
        </w:tc>
        <w:tc>
          <w:tcPr>
            <w:tcW w:type="dxa" w:w="4680"/>
            <w:shd w:fill="FFFFFF" w:val="clear"/>
            <w:vAlign w:val="center"/>
          </w:tcPr>
          <w:p>
            <w:r>
              <w:rPr>
                <w:rFonts w:ascii="IBM Plex Mono" w:cs="IBM Plex Mono" w:eastAsia="IBM Plex Mono" w:hAnsi="IBM Plex Mono"/>
                <w:color w:val="334155"/>
                <w:sz w:val="16"/>
                <w:szCs w:val="16"/>
              </w:rPr>
              <w:t xml:space="preserve">Kondisi hipertensi dalam kehamilan yang disertai proteinuria atau tanda kerusakan organ lain, muncul setelah usia kehamilan 20 minggu.</w:t>
            </w:r>
          </w:p>
        </w:tc>
      </w:tr>
      <w:tr>
        <w:trPr>
          <w:cantSplit/>
        </w:trPr>
        <w:tc>
          <w:tcPr>
            <w:tcW w:type="dxa" w:w="4680"/>
            <w:shd w:fill="F1F5F9" w:val="clear"/>
            <w:vAlign w:val="center"/>
          </w:tcPr>
          <w:p>
            <w:r>
              <w:rPr>
                <w:rFonts w:ascii="IBM Plex Mono" w:cs="IBM Plex Mono" w:eastAsia="IBM Plex Mono" w:hAnsi="IBM Plex Mono"/>
                <w:color w:val="334155"/>
                <w:sz w:val="16"/>
                <w:szCs w:val="16"/>
              </w:rPr>
              <w:t xml:space="preserve">Eklampsia</w:t>
            </w:r>
          </w:p>
        </w:tc>
        <w:tc>
          <w:tcPr>
            <w:tcW w:type="dxa" w:w="4680"/>
            <w:shd w:fill="F1F5F9" w:val="clear"/>
            <w:vAlign w:val="center"/>
          </w:tcPr>
          <w:p>
            <w:r>
              <w:rPr>
                <w:rFonts w:ascii="IBM Plex Mono" w:cs="IBM Plex Mono" w:eastAsia="IBM Plex Mono" w:hAnsi="IBM Plex Mono"/>
                <w:color w:val="334155"/>
                <w:sz w:val="16"/>
                <w:szCs w:val="16"/>
              </w:rPr>
              <w:t xml:space="preserve">Kejang yang terjadi pada ibu hamil dengan preeklampsia, merupakan kegawatdaruratan obstetri.</w:t>
            </w:r>
          </w:p>
        </w:tc>
      </w:tr>
      <w:tr>
        <w:trPr>
          <w:cantSplit/>
        </w:trPr>
        <w:tc>
          <w:tcPr>
            <w:tcW w:type="dxa" w:w="4680"/>
            <w:shd w:fill="FFFFFF" w:val="clear"/>
            <w:vAlign w:val="center"/>
          </w:tcPr>
          <w:p>
            <w:r>
              <w:rPr>
                <w:rFonts w:ascii="IBM Plex Mono" w:cs="IBM Plex Mono" w:eastAsia="IBM Plex Mono" w:hAnsi="IBM Plex Mono"/>
                <w:color w:val="334155"/>
                <w:sz w:val="16"/>
                <w:szCs w:val="16"/>
              </w:rPr>
              <w:t xml:space="preserve">Plasenta Previa</w:t>
            </w:r>
          </w:p>
        </w:tc>
        <w:tc>
          <w:tcPr>
            <w:tcW w:type="dxa" w:w="4680"/>
            <w:shd w:fill="FFFFFF" w:val="clear"/>
            <w:vAlign w:val="center"/>
          </w:tcPr>
          <w:p>
            <w:r>
              <w:rPr>
                <w:rFonts w:ascii="IBM Plex Mono" w:cs="IBM Plex Mono" w:eastAsia="IBM Plex Mono" w:hAnsi="IBM Plex Mono"/>
                <w:color w:val="334155"/>
                <w:sz w:val="16"/>
                <w:szCs w:val="16"/>
              </w:rPr>
              <w:t xml:space="preserve">Implantasi plasenta yang menutupi sebagian atau seluruh jalan lahir, berisiko menyebabkan perdarahan antepartum.</w:t>
            </w:r>
          </w:p>
        </w:tc>
      </w:tr>
      <w:tr>
        <w:trPr>
          <w:cantSplit/>
        </w:trPr>
        <w:tc>
          <w:tcPr>
            <w:tcW w:type="dxa" w:w="4680"/>
            <w:shd w:fill="F1F5F9" w:val="clear"/>
            <w:vAlign w:val="center"/>
          </w:tcPr>
          <w:p>
            <w:r>
              <w:rPr>
                <w:rFonts w:ascii="IBM Plex Mono" w:cs="IBM Plex Mono" w:eastAsia="IBM Plex Mono" w:hAnsi="IBM Plex Mono"/>
                <w:color w:val="334155"/>
                <w:sz w:val="16"/>
                <w:szCs w:val="16"/>
              </w:rPr>
              <w:t xml:space="preserve">Solusio Plasenta</w:t>
            </w:r>
          </w:p>
        </w:tc>
        <w:tc>
          <w:tcPr>
            <w:tcW w:type="dxa" w:w="4680"/>
            <w:shd w:fill="F1F5F9" w:val="clear"/>
            <w:vAlign w:val="center"/>
          </w:tcPr>
          <w:p>
            <w:r>
              <w:rPr>
                <w:rFonts w:ascii="IBM Plex Mono" w:cs="IBM Plex Mono" w:eastAsia="IBM Plex Mono" w:hAnsi="IBM Plex Mono"/>
                <w:color w:val="334155"/>
                <w:sz w:val="16"/>
                <w:szCs w:val="16"/>
              </w:rPr>
              <w:t xml:space="preserve">Lepasnya plasenta dari dinding rahim sebelum waktunya, menyebabkan perdarahan dan mengancam kesejahteraan janin.</w:t>
            </w:r>
          </w:p>
        </w:tc>
      </w:tr>
      <w:tr>
        <w:trPr>
          <w:cantSplit/>
        </w:trPr>
        <w:tc>
          <w:tcPr>
            <w:tcW w:type="dxa" w:w="4680"/>
            <w:shd w:fill="FFFFFF" w:val="clear"/>
            <w:vAlign w:val="center"/>
          </w:tcPr>
          <w:p>
            <w:r>
              <w:rPr>
                <w:rFonts w:ascii="IBM Plex Mono" w:cs="IBM Plex Mono" w:eastAsia="IBM Plex Mono" w:hAnsi="IBM Plex Mono"/>
                <w:color w:val="334155"/>
                <w:sz w:val="16"/>
                <w:szCs w:val="16"/>
              </w:rPr>
              <w:t xml:space="preserve">Atonia Uteri</w:t>
            </w:r>
          </w:p>
        </w:tc>
        <w:tc>
          <w:tcPr>
            <w:tcW w:type="dxa" w:w="4680"/>
            <w:shd w:fill="FFFFFF" w:val="clear"/>
            <w:vAlign w:val="center"/>
          </w:tcPr>
          <w:p>
            <w:r>
              <w:rPr>
                <w:rFonts w:ascii="IBM Plex Mono" w:cs="IBM Plex Mono" w:eastAsia="IBM Plex Mono" w:hAnsi="IBM Plex Mono"/>
                <w:color w:val="334155"/>
                <w:sz w:val="16"/>
                <w:szCs w:val="16"/>
              </w:rPr>
              <w:t xml:space="preserve">Kegagalan otot rahim berkontraksi secara adekuat setelah persalinan, penyebab utama perdarahan pascapersalinan.</w:t>
            </w:r>
          </w:p>
        </w:tc>
      </w:tr>
      <w:tr>
        <w:trPr>
          <w:cantSplit/>
        </w:trPr>
        <w:tc>
          <w:tcPr>
            <w:tcW w:type="dxa" w:w="4680"/>
            <w:shd w:fill="F1F5F9" w:val="clear"/>
            <w:vAlign w:val="center"/>
          </w:tcPr>
          <w:p>
            <w:r>
              <w:rPr>
                <w:rFonts w:ascii="IBM Plex Mono" w:cs="IBM Plex Mono" w:eastAsia="IBM Plex Mono" w:hAnsi="IBM Plex Mono"/>
                <w:color w:val="334155"/>
                <w:sz w:val="16"/>
                <w:szCs w:val="16"/>
              </w:rPr>
              <w:t xml:space="preserve">Retensio Plasenta</w:t>
            </w:r>
          </w:p>
        </w:tc>
        <w:tc>
          <w:tcPr>
            <w:tcW w:type="dxa" w:w="4680"/>
            <w:shd w:fill="F1F5F9" w:val="clear"/>
            <w:vAlign w:val="center"/>
          </w:tcPr>
          <w:p>
            <w:r>
              <w:rPr>
                <w:rFonts w:ascii="IBM Plex Mono" w:cs="IBM Plex Mono" w:eastAsia="IBM Plex Mono" w:hAnsi="IBM Plex Mono"/>
                <w:color w:val="334155"/>
                <w:sz w:val="16"/>
                <w:szCs w:val="16"/>
              </w:rPr>
              <w:t xml:space="preserve">Plasenta yang tidak lahir dalam waktu yang seharusnya setelah bayi lahir, dapat menyebabkan perdarahan postpartum.</w:t>
            </w:r>
          </w:p>
        </w:tc>
      </w:tr>
      <w:tr>
        <w:trPr>
          <w:cantSplit/>
        </w:trPr>
        <w:tc>
          <w:tcPr>
            <w:tcW w:type="dxa" w:w="4680"/>
            <w:shd w:fill="FFFFFF" w:val="clear"/>
            <w:vAlign w:val="center"/>
          </w:tcPr>
          <w:p>
            <w:r>
              <w:rPr>
                <w:rFonts w:ascii="IBM Plex Mono" w:cs="IBM Plex Mono" w:eastAsia="IBM Plex Mono" w:hAnsi="IBM Plex Mono"/>
                <w:color w:val="334155"/>
                <w:sz w:val="16"/>
                <w:szCs w:val="16"/>
              </w:rPr>
              <w:t xml:space="preserve">Ruptur Uteri</w:t>
            </w:r>
          </w:p>
        </w:tc>
        <w:tc>
          <w:tcPr>
            <w:tcW w:type="dxa" w:w="4680"/>
            <w:shd w:fill="FFFFFF" w:val="clear"/>
            <w:vAlign w:val="center"/>
          </w:tcPr>
          <w:p>
            <w:r>
              <w:rPr>
                <w:rFonts w:ascii="IBM Plex Mono" w:cs="IBM Plex Mono" w:eastAsia="IBM Plex Mono" w:hAnsi="IBM Plex Mono"/>
                <w:color w:val="334155"/>
                <w:sz w:val="16"/>
                <w:szCs w:val="16"/>
              </w:rPr>
              <w:t xml:space="preserve">Robeknya dinding rahim, paling sering terjadi pada persalinan dengan riwayat seksio sesarea sebelumnya; kegawatdaruratan dengan risiko mortalitas tinggi.</w:t>
            </w:r>
          </w:p>
        </w:tc>
      </w:tr>
      <w:tr>
        <w:trPr>
          <w:cantSplit/>
        </w:trPr>
        <w:tc>
          <w:tcPr>
            <w:tcW w:type="dxa" w:w="4680"/>
            <w:shd w:fill="F1F5F9" w:val="clear"/>
            <w:vAlign w:val="center"/>
          </w:tcPr>
          <w:p>
            <w:r>
              <w:rPr>
                <w:rFonts w:ascii="IBM Plex Mono" w:cs="IBM Plex Mono" w:eastAsia="IBM Plex Mono" w:hAnsi="IBM Plex Mono"/>
                <w:color w:val="334155"/>
                <w:sz w:val="16"/>
                <w:szCs w:val="16"/>
              </w:rPr>
              <w:t xml:space="preserve">ICD-10 / ICD-11</w:t>
            </w:r>
          </w:p>
        </w:tc>
        <w:tc>
          <w:tcPr>
            <w:tcW w:type="dxa" w:w="4680"/>
            <w:shd w:fill="F1F5F9" w:val="clear"/>
            <w:vAlign w:val="center"/>
          </w:tcPr>
          <w:p>
            <w:r>
              <w:rPr>
                <w:rFonts w:ascii="IBM Plex Mono" w:cs="IBM Plex Mono" w:eastAsia="IBM Plex Mono" w:hAnsi="IBM Plex Mono"/>
                <w:color w:val="334155"/>
                <w:sz w:val="16"/>
                <w:szCs w:val="16"/>
              </w:rPr>
              <w:t xml:space="preserve">International Classification of Diseases — sistem klasifikasi diagnosis yang diterbitkan WHO; revisi ke-10 dan ke-11.</w:t>
            </w:r>
          </w:p>
        </w:tc>
      </w:tr>
    </w:tbl>
    <w:p>
      <w:pPr>
        <w:spacing w:after="200"/>
      </w:pPr>
    </w:p>
    <w:p>
      <w:r>
        <w:br w:type="page"/>
      </w:r>
    </w:p>
    <w:p>
      <w:pPr>
        <w:pStyle w:val="Heading1"/>
      </w:pPr>
      <w:r>
        <w:t xml:space="preserve">Kolofon</w:t>
      </w:r>
    </w:p>
    <w:p>
      <w:pPr>
        <w:spacing w:after="80"/>
      </w:pPr>
      <w:r>
        <w:rPr>
          <w:rFonts w:ascii="IBM Plex Sans" w:cs="IBM Plex Sans" w:eastAsia="IBM Plex Sans" w:hAnsi="IBM Plex Sans"/>
          <w:color w:val="334155"/>
          <w:sz w:val="20"/>
          <w:szCs w:val="20"/>
        </w:rPr>
        <w:t xml:space="preserve">Penulis: Dr.dr. Budi Siswanto, Sp.OG., Subsp.Obginsos., SH., S.Kom.</w:t>
      </w:r>
    </w:p>
    <w:p>
      <w:pPr>
        <w:spacing w:after="80"/>
      </w:pPr>
      <w:r>
        <w:rPr>
          <w:rFonts w:ascii="IBM Plex Sans" w:cs="IBM Plex Sans" w:eastAsia="IBM Plex Sans" w:hAnsi="IBM Plex Sans"/>
          <w:color w:val="334155"/>
          <w:sz w:val="20"/>
          <w:szCs w:val="20"/>
        </w:rPr>
        <w:t xml:space="preserve">Penerbit: Perpustakaan Digital ABBA</w:t>
      </w:r>
    </w:p>
    <w:p>
      <w:pPr>
        <w:spacing w:after="80"/>
      </w:pPr>
      <w:r>
        <w:rPr>
          <w:rFonts w:ascii="IBM Plex Sans" w:cs="IBM Plex Sans" w:eastAsia="IBM Plex Sans" w:hAnsi="IBM Plex Sans"/>
          <w:color w:val="334155"/>
          <w:sz w:val="20"/>
          <w:szCs w:val="20"/>
        </w:rPr>
        <w:t xml:space="preserve">Alamat: Jl. Kerinci Raya No. 9, Malang 65138</w:t>
      </w:r>
    </w:p>
    <w:p>
      <w:pPr>
        <w:spacing w:after="80"/>
      </w:pPr>
      <w:r>
        <w:rPr>
          <w:rFonts w:ascii="IBM Plex Sans" w:cs="IBM Plex Sans" w:eastAsia="IBM Plex Sans" w:hAnsi="IBM Plex Sans"/>
          <w:color w:val="334155"/>
          <w:sz w:val="20"/>
          <w:szCs w:val="20"/>
        </w:rPr>
        <w:t xml:space="preserve">Kode Unit: PPKK-K2 — Dokumen 2 dari 8 (kategori PPKK)</w:t>
      </w:r>
    </w:p>
    <w:p>
      <w:pPr>
        <w:spacing w:after="80"/>
      </w:pPr>
      <w:r>
        <w:rPr>
          <w:rFonts w:ascii="IBM Plex Sans" w:cs="IBM Plex Sans" w:eastAsia="IBM Plex Sans" w:hAnsi="IBM Plex Sans"/>
          <w:color w:val="334155"/>
          <w:sz w:val="20"/>
          <w:szCs w:val="20"/>
        </w:rPr>
        <w:t xml:space="preserve">Rujukan Silang: Buku Tematik B3 — Obstetri Patologis dan Kegawatdaruratan Maternal</w:t>
      </w:r>
    </w:p>
    <w:sectPr>
      <w:headerReference w:type="default" r:id="rId7"/>
      <w:footerReference w:type="default" r:id="rId8"/>
      <w:pgSz w:w="11906" w:h="16838" w:orient="portrait"/>
      <w:pgMar w:top="1440" w:right="1276" w:bottom="1440" w:left="127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334155"/>
        <w:sz w:val="16"/>
        <w:szCs w:val="16"/>
      </w:rPr>
      <w:t xml:space="preserve">Dokumen PPKK-K2 dari 8 — halaman </w:t>
    </w:r>
    <w:r>
      <w:rPr>
        <w:rFonts w:ascii="IBM Plex Sans" w:cs="IBM Plex Sans" w:eastAsia="IBM Plex Sans" w:hAnsi="IBM Plex Sans"/>
        <w:color w:val="334155"/>
        <w:sz w:val="16"/>
        <w:szCs w:val="16"/>
      </w:rPr>
      <w:fldChar w:fldCharType="begin"/>
      <w:instrText xml:space="preserve">PAGE</w:instrText>
      <w:fldChar w:fldCharType="separate"/>
      <w:fldChar w:fldCharType="end"/>
    </w:r>
    <w:r>
      <w:rPr>
        <w:rFonts w:ascii="IBM Plex Sans" w:cs="IBM Plex Sans" w:eastAsia="IBM Plex Sans" w:hAnsi="IBM Plex Sans"/>
        <w:color w:val="334155"/>
        <w:sz w:val="16"/>
        <w:szCs w:val="16"/>
      </w:rPr>
      <w:t xml:space="preserve"> dari </w:t>
    </w:r>
    <w:r>
      <w:rPr>
        <w:rFonts w:ascii="IBM Plex Sans" w:cs="IBM Plex Sans" w:eastAsia="IBM Plex Sans" w:hAnsi="IBM Plex Sans"/>
        <w:color w:val="3341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color w:val="334155"/>
        <w:sz w:val="16"/>
        <w:szCs w:val="16"/>
      </w:rPr>
      <w:t xml:space="preserve">PPKK-K2 — Program Perencanaan Persalinan dan Pencegahan Komplikasi (P4K) Berbasis Komunitas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45309" w:sz="6" w:space="4"/>
      </w:pBdr>
      <w:spacing w:after="160" w:before="32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20"/>
    </w:pPr>
    <w:rPr>
      <w:rFonts w:ascii="Source Serif 4" w:cs="Source Serif 4" w:eastAsia="Source Serif 4" w:hAnsi="Source Serif 4"/>
      <w:b/>
      <w:bCs/>
      <w:color w:val="33415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2026-08-18T09:19:19.846Z</dcterms:created>
  <dcterms:modified xsi:type="dcterms:W3CDTF">2026-08-18T09:19:19.860Z</dcterms:modified>
</cp:coreProperties>
</file>

<file path=docProps/custom.xml><?xml version="1.0" encoding="utf-8"?>
<Properties xmlns="http://schemas.openxmlformats.org/officeDocument/2006/custom-properties" xmlns:vt="http://schemas.openxmlformats.org/officeDocument/2006/docPropsVTypes"/>
</file>