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
      </w:pPr>
      <w:r>
        <w:rPr>
          <w:rFonts w:ascii="Source Serif 4" w:cs="Source Serif 4" w:eastAsia="Source Serif 4" w:hAnsi="Source Serif 4"/>
          <w:b/>
          <w:bCs/>
          <w:color w:val="4F46E5"/>
          <w:sz w:val="28"/>
          <w:szCs w:val="28"/>
        </w:rPr>
        <w:t xml:space="preserve">Perpustakaan Digital ABBA</w:t>
      </w:r>
    </w:p>
    <w:p>
      <w:r>
        <w:rPr>
          <w:rFonts w:ascii="IBM Plex Sans" w:cs="IBM Plex Sans" w:eastAsia="IBM Plex Sans" w:hAnsi="IBM Plex Sans"/>
          <w:color w:val="334155"/>
          <w:sz w:val="20"/>
          <w:szCs w:val="20"/>
        </w:rPr>
        <w:t xml:space="preserve">Jl. Kerinci Raya No. 9, Malang 65138</w:t>
      </w:r>
    </w:p>
    <w:p>
      <w:pPr>
        <w:spacing w:before="800"/>
      </w:pPr>
      <w:r>
        <w:rPr>
          <w:rFonts w:ascii="IBM Plex Mono" w:cs="IBM Plex Mono" w:eastAsia="IBM Plex Mono" w:hAnsi="IBM Plex Mono"/>
          <w:b/>
          <w:bCs/>
          <w:color w:val="B45309"/>
          <w:sz w:val="24"/>
          <w:szCs w:val="24"/>
        </w:rPr>
        <w:t xml:space="preserve">PPKK — PPKK-K5</w:t>
      </w:r>
    </w:p>
    <w:p>
      <w:pPr>
        <w:spacing w:after="200" w:before="200"/>
      </w:pPr>
      <w:r>
        <w:rPr>
          <w:rFonts w:ascii="Source Serif 4" w:cs="Source Serif 4" w:eastAsia="Source Serif 4" w:hAnsi="Source Serif 4"/>
          <w:b/>
          <w:bCs/>
          <w:color w:val="4F46E5"/>
          <w:sz w:val="44"/>
          <w:szCs w:val="44"/>
        </w:rPr>
        <w:t xml:space="preserve">Pelayanan dan Konseling KB Berbasis Kelompok/Komunitas</w:t>
      </w:r>
    </w:p>
    <w:p>
      <w:r>
        <w:rPr>
          <w:rFonts w:ascii="IBM Plex Sans" w:cs="IBM Plex Sans" w:eastAsia="IBM Plex Sans" w:hAnsi="IBM Plex Sans"/>
          <w:i/>
          <w:iCs/>
          <w:color w:val="334155"/>
          <w:sz w:val="22"/>
          <w:szCs w:val="22"/>
        </w:rPr>
        <w:t xml:space="preserve">Panduan Praktik Klinis Kelompok/Komunitas — Sasaran: Pasangan Usia Subur dalam Sesi Konseling Kelompok/Safari KB</w:t>
      </w:r>
    </w:p>
    <w:p>
      <w:pPr>
        <w:spacing w:before="600"/>
      </w:pPr>
      <w:r>
        <w:rPr>
          <w:rFonts w:ascii="IBM Plex Sans" w:cs="IBM Plex Sans" w:eastAsia="IBM Plex Sans" w:hAnsi="IBM Plex Sans"/>
          <w:color w:val="334155"/>
          <w:sz w:val="20"/>
          <w:szCs w:val="20"/>
        </w:rPr>
        <w:t xml:space="preserve">Disusun oleh:</w:t>
      </w:r>
    </w:p>
    <w:p>
      <w:r>
        <w:rPr>
          <w:rFonts w:ascii="IBM Plex Sans" w:cs="IBM Plex Sans" w:eastAsia="IBM Plex Sans" w:hAnsi="IBM Plex Sans"/>
          <w:b/>
          <w:bCs/>
          <w:color w:val="334155"/>
          <w:sz w:val="22"/>
          <w:szCs w:val="22"/>
        </w:rPr>
        <w:t xml:space="preserve">Dr. dr. Budi Siswanto, Sp.OG., Subsp.Obginsos., SH., S.Kom.</w:t>
      </w:r>
    </w:p>
    <w:p>
      <w:pPr>
        <w:spacing w:before="400"/>
      </w:pPr>
      <w:r>
        <w:rPr>
          <w:rFonts w:ascii="IBM Plex Sans" w:cs="IBM Plex Sans" w:eastAsia="IBM Plex Sans" w:hAnsi="IBM Plex Sans"/>
          <w:color w:val="334155"/>
          <w:sz w:val="18"/>
          <w:szCs w:val="18"/>
        </w:rPr>
        <w:t xml:space="preserve">Dasar Hukum: Keputusan Ketua Konsil Kesehatan Indonesia No. HK.01.02/KKI/1318/2026 tentang Standar Kompetensi Dokter Spesialis dan Subspesialis Bidang Obstetri dan Ginekologi</w:t>
      </w:r>
    </w:p>
    <w:p>
      <w:r>
        <w:rPr>
          <w:rFonts w:ascii="IBM Plex Mono" w:cs="IBM Plex Mono" w:eastAsia="IBM Plex Mono" w:hAnsi="IBM Plex Mono"/>
          <w:color w:val="B45309"/>
          <w:sz w:val="18"/>
          <w:szCs w:val="18"/>
        </w:rPr>
        <w:t xml:space="preserve">Dokumen 5 dari 8 dalam kategori PPKK</w:t>
      </w:r>
    </w:p>
    <w:p>
      <w:r>
        <w:br w:type="page"/>
      </w:r>
    </w:p>
    <w:p>
      <w:pPr>
        <w:pStyle w:val="Heading1"/>
      </w:pPr>
      <w:r>
        <w:rPr>
          <w:rFonts w:ascii="Source Serif 4" w:cs="Source Serif 4" w:eastAsia="Source Serif 4" w:hAnsi="Source Serif 4"/>
          <w:color w:val="4F46E5"/>
        </w:rPr>
        <w:t xml:space="preserve">Daftar Isi</w:t>
      </w:r>
    </w:p>
    <w:p>
      <w:pPr>
        <w:spacing w:after="100"/>
      </w:pPr>
      <w:r>
        <w:rPr>
          <w:rFonts w:ascii="IBM Plex Sans" w:cs="IBM Plex Sans" w:eastAsia="IBM Plex Sans" w:hAnsi="IBM Plex Sans"/>
          <w:color w:val="334155"/>
          <w:sz w:val="22"/>
          <w:szCs w:val="22"/>
        </w:rPr>
        <w:t xml:space="preserve">1. Pengertian dan Tujuan Program</w:t>
      </w:r>
    </w:p>
    <w:p>
      <w:pPr>
        <w:spacing w:after="100"/>
      </w:pPr>
      <w:r>
        <w:rPr>
          <w:rFonts w:ascii="IBM Plex Sans" w:cs="IBM Plex Sans" w:eastAsia="IBM Plex Sans" w:hAnsi="IBM Plex Sans"/>
          <w:color w:val="334155"/>
          <w:sz w:val="22"/>
          <w:szCs w:val="22"/>
        </w:rPr>
        <w:t xml:space="preserve">2. Sasaran dan Kriteria Inklusi Kelompok</w:t>
      </w:r>
    </w:p>
    <w:p>
      <w:pPr>
        <w:spacing w:after="100"/>
      </w:pPr>
      <w:r>
        <w:rPr>
          <w:rFonts w:ascii="IBM Plex Sans" w:cs="IBM Plex Sans" w:eastAsia="IBM Plex Sans" w:hAnsi="IBM Plex Sans"/>
          <w:color w:val="334155"/>
          <w:sz w:val="22"/>
          <w:szCs w:val="22"/>
        </w:rPr>
        <w:t xml:space="preserve">3. Struktur Sesi/Alur Layanan</w:t>
      </w:r>
    </w:p>
    <w:p>
      <w:pPr>
        <w:spacing w:after="100"/>
      </w:pPr>
      <w:r>
        <w:rPr>
          <w:rFonts w:ascii="IBM Plex Sans" w:cs="IBM Plex Sans" w:eastAsia="IBM Plex Sans" w:hAnsi="IBM Plex Sans"/>
          <w:color w:val="334155"/>
          <w:sz w:val="22"/>
          <w:szCs w:val="22"/>
        </w:rPr>
        <w:t xml:space="preserve">4. Peran Tenaga Kesehatan per Sesi</w:t>
      </w:r>
    </w:p>
    <w:p>
      <w:pPr>
        <w:spacing w:after="100"/>
      </w:pPr>
      <w:r>
        <w:rPr>
          <w:rFonts w:ascii="IBM Plex Sans" w:cs="IBM Plex Sans" w:eastAsia="IBM Plex Sans" w:hAnsi="IBM Plex Sans"/>
          <w:color w:val="334155"/>
          <w:sz w:val="22"/>
          <w:szCs w:val="22"/>
        </w:rPr>
        <w:t xml:space="preserve">5. Materi/Konten yang Disampaikan pada Setiap Sesi</w:t>
      </w:r>
    </w:p>
    <w:p>
      <w:pPr>
        <w:spacing w:after="100"/>
      </w:pPr>
      <w:r>
        <w:rPr>
          <w:rFonts w:ascii="IBM Plex Sans" w:cs="IBM Plex Sans" w:eastAsia="IBM Plex Sans" w:hAnsi="IBM Plex Sans"/>
          <w:color w:val="334155"/>
          <w:sz w:val="22"/>
          <w:szCs w:val="22"/>
        </w:rPr>
        <w:t xml:space="preserve">6. Indikator Keberhasilan Program</w:t>
      </w:r>
    </w:p>
    <w:p>
      <w:pPr>
        <w:spacing w:after="100"/>
      </w:pPr>
      <w:r>
        <w:rPr>
          <w:rFonts w:ascii="IBM Plex Sans" w:cs="IBM Plex Sans" w:eastAsia="IBM Plex Sans" w:hAnsi="IBM Plex Sans"/>
          <w:color w:val="334155"/>
          <w:sz w:val="22"/>
          <w:szCs w:val="22"/>
        </w:rPr>
        <w:t xml:space="preserve">7. Kriteria dan Alur Rujukan Bila Ditemukan Kasus Individual Berisiko</w:t>
      </w:r>
    </w:p>
    <w:p>
      <w:pPr>
        <w:spacing w:after="100"/>
      </w:pPr>
      <w:r>
        <w:rPr>
          <w:rFonts w:ascii="IBM Plex Sans" w:cs="IBM Plex Sans" w:eastAsia="IBM Plex Sans" w:hAnsi="IBM Plex Sans"/>
          <w:color w:val="334155"/>
          <w:sz w:val="22"/>
          <w:szCs w:val="22"/>
        </w:rPr>
        <w:t xml:space="preserve">8. Dasar Regulasi dan Rujukan Program Nasional</w:t>
      </w:r>
    </w:p>
    <w:p>
      <w:pPr>
        <w:spacing w:after="100"/>
      </w:pPr>
      <w:r>
        <w:rPr>
          <w:rFonts w:ascii="IBM Plex Sans" w:cs="IBM Plex Sans" w:eastAsia="IBM Plex Sans" w:hAnsi="IBM Plex Sans"/>
          <w:color w:val="334155"/>
          <w:sz w:val="22"/>
          <w:szCs w:val="22"/>
        </w:rPr>
        <w:t xml:space="preserve">9. Perbandingan dan Pengayaan Standar Internasional</w:t>
      </w:r>
    </w:p>
    <w:p>
      <w:pPr>
        <w:spacing w:after="100"/>
      </w:pPr>
      <w:r>
        <w:rPr>
          <w:rFonts w:ascii="IBM Plex Sans" w:cs="IBM Plex Sans" w:eastAsia="IBM Plex Sans" w:hAnsi="IBM Plex Sans"/>
          <w:color w:val="334155"/>
          <w:sz w:val="22"/>
          <w:szCs w:val="22"/>
        </w:rPr>
        <w:t xml:space="preserve">Glosarium Dwibahasa</w:t>
      </w:r>
    </w:p>
    <w:p>
      <w:pPr>
        <w:spacing w:after="100"/>
      </w:pPr>
      <w:r>
        <w:rPr>
          <w:rFonts w:ascii="IBM Plex Sans" w:cs="IBM Plex Sans" w:eastAsia="IBM Plex Sans" w:hAnsi="IBM Plex Sans"/>
          <w:color w:val="334155"/>
          <w:sz w:val="22"/>
          <w:szCs w:val="22"/>
        </w:rPr>
        <w:t xml:space="preserve">10. Kepustakaan</w:t>
      </w:r>
    </w:p>
    <w:p>
      <w:r>
        <w:br w:type="page"/>
      </w:r>
    </w:p>
    <w:p>
      <w:pPr>
        <w:pStyle w:val="Heading1"/>
      </w:pPr>
      <w:r>
        <w:rPr>
          <w:rFonts w:ascii="Source Serif 4" w:cs="Source Serif 4" w:eastAsia="Source Serif 4" w:hAnsi="Source Serif 4"/>
          <w:color w:val="4F46E5"/>
        </w:rPr>
        <w:t xml:space="preserve">Ringkasan Dokumen</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2800"/>
            <w:shd w:fill="F1F5F9" w:val="clear"/>
          </w:tcPr>
          <w:p>
            <w:r>
              <w:rPr>
                <w:rFonts w:ascii="IBM Plex Sans" w:cs="IBM Plex Sans" w:eastAsia="IBM Plex Sans" w:hAnsi="IBM Plex Sans"/>
                <w:b/>
                <w:bCs/>
                <w:color w:val="4F46E5"/>
                <w:sz w:val="20"/>
                <w:szCs w:val="20"/>
              </w:rPr>
              <w:t xml:space="preserve">Kategori</w:t>
            </w:r>
          </w:p>
        </w:tc>
        <w:tc>
          <w:tcPr>
            <w:tcW w:type="dxa" w:w="6550"/>
          </w:tcPr>
          <w:p>
            <w:r>
              <w:rPr>
                <w:rFonts w:ascii="IBM Plex Sans" w:cs="IBM Plex Sans" w:eastAsia="IBM Plex Sans" w:hAnsi="IBM Plex Sans"/>
                <w:color w:val="334155"/>
                <w:sz w:val="20"/>
                <w:szCs w:val="20"/>
              </w:rPr>
              <w:t xml:space="preserve">PPKK (Panduan Praktik Klinis Kelompok/Komunitas) — Dokumen 5 dari 8</w:t>
            </w:r>
          </w:p>
        </w:tc>
      </w:tr>
      <w:tr>
        <w:tc>
          <w:tcPr>
            <w:tcW w:type="dxa" w:w="2800"/>
            <w:shd w:fill="F1F5F9" w:val="clear"/>
          </w:tcPr>
          <w:p>
            <w:r>
              <w:rPr>
                <w:rFonts w:ascii="IBM Plex Sans" w:cs="IBM Plex Sans" w:eastAsia="IBM Plex Sans" w:hAnsi="IBM Plex Sans"/>
                <w:b/>
                <w:bCs/>
                <w:color w:val="4F46E5"/>
                <w:sz w:val="20"/>
                <w:szCs w:val="20"/>
              </w:rPr>
              <w:t xml:space="preserve">Sasaran Kelompok</w:t>
            </w:r>
          </w:p>
        </w:tc>
        <w:tc>
          <w:tcPr>
            <w:tcW w:type="dxa" w:w="6550"/>
          </w:tcPr>
          <w:p>
            <w:r>
              <w:rPr>
                <w:rFonts w:ascii="IBM Plex Sans" w:cs="IBM Plex Sans" w:eastAsia="IBM Plex Sans" w:hAnsi="IBM Plex Sans"/>
                <w:color w:val="334155"/>
                <w:sz w:val="20"/>
                <w:szCs w:val="20"/>
              </w:rPr>
              <w:t xml:space="preserve">Pasangan usia subur (PUS) dalam sesi konseling kelompok / safari KB</w:t>
            </w:r>
          </w:p>
        </w:tc>
      </w:tr>
      <w:tr>
        <w:tc>
          <w:tcPr>
            <w:tcW w:type="dxa" w:w="2800"/>
            <w:shd w:fill="F1F5F9" w:val="clear"/>
          </w:tcPr>
          <w:p>
            <w:r>
              <w:rPr>
                <w:rFonts w:ascii="IBM Plex Sans" w:cs="IBM Plex Sans" w:eastAsia="IBM Plex Sans" w:hAnsi="IBM Plex Sans"/>
                <w:b/>
                <w:bCs/>
                <w:color w:val="4F46E5"/>
                <w:sz w:val="20"/>
                <w:szCs w:val="20"/>
              </w:rPr>
              <w:t xml:space="preserve">Dasar Regulasi</w:t>
            </w:r>
          </w:p>
        </w:tc>
        <w:tc>
          <w:tcPr>
            <w:tcW w:type="dxa" w:w="6550"/>
          </w:tcPr>
          <w:p>
            <w:r>
              <w:rPr>
                <w:rFonts w:ascii="IBM Plex Sans" w:cs="IBM Plex Sans" w:eastAsia="IBM Plex Sans" w:hAnsi="IBM Plex Sans"/>
                <w:color w:val="334155"/>
                <w:sz w:val="20"/>
                <w:szCs w:val="20"/>
              </w:rPr>
              <w:t xml:space="preserve">Tabel 7 No. 70 Kepkonsil (Kontrasepsi, Z30/QA21.1); Permenkes No. 2 Tahun 2025; Program Bangga Kencana (Kemendukbangga/BKKBN)</w:t>
            </w:r>
          </w:p>
        </w:tc>
      </w:tr>
      <w:tr>
        <w:tc>
          <w:tcPr>
            <w:tcW w:type="dxa" w:w="2800"/>
            <w:shd w:fill="F1F5F9" w:val="clear"/>
          </w:tcPr>
          <w:p>
            <w:r>
              <w:rPr>
                <w:rFonts w:ascii="IBM Plex Sans" w:cs="IBM Plex Sans" w:eastAsia="IBM Plex Sans" w:hAnsi="IBM Plex Sans"/>
                <w:b/>
                <w:bCs/>
                <w:color w:val="4F46E5"/>
                <w:sz w:val="20"/>
                <w:szCs w:val="20"/>
              </w:rPr>
              <w:t xml:space="preserve">Buku Tematik Induk</w:t>
            </w:r>
          </w:p>
        </w:tc>
        <w:tc>
          <w:tcPr>
            <w:tcW w:type="dxa" w:w="6550"/>
          </w:tcPr>
          <w:p>
            <w:r>
              <w:rPr>
                <w:rFonts w:ascii="IBM Plex Sans" w:cs="IBM Plex Sans" w:eastAsia="IBM Plex Sans" w:hAnsi="IBM Plex Sans"/>
                <w:color w:val="334155"/>
                <w:sz w:val="20"/>
                <w:szCs w:val="20"/>
              </w:rPr>
              <w:t xml:space="preserve">B11 — Kedokteran Sosial, Mediko-Legal, Kontrasepsi, dan Kesehatan Reproduksi Remaja</w:t>
            </w:r>
          </w:p>
        </w:tc>
      </w:tr>
      <w:tr>
        <w:tc>
          <w:tcPr>
            <w:tcW w:type="dxa" w:w="2800"/>
            <w:shd w:fill="F1F5F9" w:val="clear"/>
          </w:tcPr>
          <w:p>
            <w:r>
              <w:rPr>
                <w:rFonts w:ascii="IBM Plex Sans" w:cs="IBM Plex Sans" w:eastAsia="IBM Plex Sans" w:hAnsi="IBM Plex Sans"/>
                <w:b/>
                <w:bCs/>
                <w:color w:val="4F46E5"/>
                <w:sz w:val="20"/>
                <w:szCs w:val="20"/>
              </w:rPr>
              <w:t xml:space="preserve">Rujukan Kasus Berisiko</w:t>
            </w:r>
          </w:p>
        </w:tc>
        <w:tc>
          <w:tcPr>
            <w:tcW w:type="dxa" w:w="6550"/>
          </w:tcPr>
          <w:p>
            <w:r>
              <w:rPr>
                <w:rFonts w:ascii="IBM Plex Sans" w:cs="IBM Plex Sans" w:eastAsia="IBM Plex Sans" w:hAnsi="IBM Plex Sans"/>
                <w:color w:val="334155"/>
                <w:sz w:val="20"/>
                <w:szCs w:val="20"/>
              </w:rPr>
              <w:t xml:space="preserve">PPK-070 — Kontrasepsi</w:t>
            </w:r>
          </w:p>
        </w:tc>
      </w:tr>
    </w:tbl>
    <w:p>
      <w:r>
        <w:br w:type="page"/>
      </w:r>
    </w:p>
    <w:p>
      <w:pPr>
        <w:pStyle w:val="Heading1"/>
      </w:pPr>
      <w:r>
        <w:rPr>
          <w:rFonts w:ascii="Source Serif 4" w:cs="Source Serif 4" w:eastAsia="Source Serif 4" w:hAnsi="Source Serif 4"/>
          <w:color w:val="4F46E5"/>
        </w:rPr>
        <w:t xml:space="preserve">1. Pengertian dan Tujuan Program</w:t>
      </w:r>
    </w:p>
    <w:p>
      <w:pPr>
        <w:spacing w:after="160"/>
      </w:pPr>
      <w:r>
        <w:rPr>
          <w:rFonts w:ascii="IBM Plex Sans" w:cs="IBM Plex Sans" w:eastAsia="IBM Plex Sans" w:hAnsi="IBM Plex Sans"/>
          <w:color w:val="334155"/>
          <w:sz w:val="22"/>
          <w:szCs w:val="22"/>
        </w:rPr>
        <w:t xml:space="preserve">Pelayanan dan Konseling Keluarga Berencana (KB) Berbasis Kelompok/Komunitas — dikenal luas di lapangan sebagai kegiatan "safari KB" atau "pelayanan KB bergerak" (mobile family planning services) — adalah model layanan yang menggabungkan edukasi, konseling, dan pelayanan kontrasepsi bagi sekelompok pasangan usia subur (PUS) dalam satu sesi terjadwal di tingkat komunitas, alih-alih dilayani satu per satu secara individual di fasilitas kesehatan. Dokumen ini merupakan pendalaman layanan berbasis kelompok dari Buku Tematik B11 — Kedokteran Sosial, Mediko-Legal, Kontrasepsi, dan Kesehatan Reproduksi Remaja, dan disusun tunduk penuh pada kriteria pemisah PPK vs PPKK (Aturan 9, Perintah Umum): unit analisis PPKK ini adalah kelompok/populasi sasaran dalam satu sesi/program layanan, bukan satu pasien dalam satu episode layanan klinis individual.</w:t>
      </w:r>
    </w:p>
    <w:p>
      <w:pPr>
        <w:spacing w:after="160"/>
      </w:pPr>
      <w:r>
        <w:rPr>
          <w:rFonts w:ascii="IBM Plex Sans" w:cs="IBM Plex Sans" w:eastAsia="IBM Plex Sans" w:hAnsi="IBM Plex Sans"/>
          <w:color w:val="334155"/>
          <w:sz w:val="22"/>
          <w:szCs w:val="22"/>
        </w:rPr>
        <w:t xml:space="preserve">Model ini merupakan salah satu bentuk operasional dari Program Pembangunan Keluarga, Kependudukan, dan Keluarga Berencana (Program Bangga Kencana) yang diselenggarakan oleh Kementerian Kependudukan dan Pembangunan Keluarga/Badan Kependudukan dan Keluarga Berencana Nasional (Kemendukbangga/BKKBN), dan secara teknis tunduk pada Peraturan Menteri Kesehatan Nomor 2 Tahun 2025 tentang Penyelenggaraan Upaya Kesehatan Reproduksi, yang mengatur pelayanan pengaturan kehamilan termasuk penyediaan dan pemberian kontrasepsi sebagai bagian dari upaya kesehatan reproduksi sepanjang siklus hidup.</w:t>
      </w:r>
    </w:p>
    <w:p>
      <w:pPr>
        <w:spacing w:after="160"/>
      </w:pPr>
      <w:r>
        <w:rPr>
          <w:rFonts w:ascii="IBM Plex Sans" w:cs="IBM Plex Sans" w:eastAsia="IBM Plex Sans" w:hAnsi="IBM Plex Sans"/>
          <w:color w:val="334155"/>
          <w:sz w:val="22"/>
          <w:szCs w:val="22"/>
        </w:rPr>
        <w:t xml:space="preserve">Program ini menempatkan Dokter Spesialis Obstetri dan Ginekologi — khususnya dengan penguatan kompetensi Subspesialis Obstetri Ginekologi Sosial — sebagai penanggung jawab klinis dan pembina teknis atas mutu konseling dan keamanan tindakan, bekerja bersama jejaring tenaga kesehatan primer (bidan, perawat) dan kader komunitas (Penyuluh Keluarga Berencana/PKB, Petugas Pembantu Pembina KB Desa/PPKBD, kader Posyandu) sesuai kerangka determinan sosial kesehatan reproduksi.</w:t>
      </w:r>
    </w:p>
    <w:p>
      <w:pPr>
        <w:pStyle w:val="Heading2"/>
      </w:pPr>
      <w:r>
        <w:rPr>
          <w:rFonts w:ascii="Source Serif 4" w:cs="Source Serif 4" w:eastAsia="Source Serif 4" w:hAnsi="Source Serif 4"/>
          <w:color w:val="4F46E5"/>
          <w:sz w:val="26"/>
          <w:szCs w:val="26"/>
        </w:rPr>
        <w:t xml:space="preserve">1.1 Tujuan Program</w:t>
      </w:r>
    </w:p>
    <w:p>
      <w:pPr>
        <w:spacing w:after="160"/>
      </w:pPr>
      <w:r>
        <w:rPr>
          <w:rFonts w:ascii="IBM Plex Sans" w:cs="IBM Plex Sans" w:eastAsia="IBM Plex Sans" w:hAnsi="IBM Plex Sans"/>
          <w:color w:val="334155"/>
          <w:sz w:val="22"/>
          <w:szCs w:val="22"/>
        </w:rPr>
        <w:t xml:space="preserve">Program pelayanan dan konseling KB berbasis kelompok memiliki tujuan yang bersifat berlapis, mencakup tingkat individu peserta, tingkat populasi/agregat, dan tingkat sistem pelayanan kesehatan.</w:t>
      </w:r>
    </w:p>
    <w:p>
      <w:pPr>
        <w:pStyle w:val="ListParagraph"/>
        <w:numPr>
          <w:ilvl w:val="0"/>
          <w:numId w:val="2"/>
        </w:numPr>
        <w:spacing w:after="100"/>
      </w:pPr>
      <w:r>
        <w:rPr>
          <w:rFonts w:ascii="IBM Plex Sans" w:cs="IBM Plex Sans" w:eastAsia="IBM Plex Sans" w:hAnsi="IBM Plex Sans"/>
          <w:color w:val="334155"/>
          <w:sz w:val="22"/>
          <w:szCs w:val="22"/>
        </w:rPr>
        <w:t xml:space="preserve">Tujuan individu: memastikan setiap peserta memahami pilihan metode kontrasepsi yang tersedia (Metode Kontrasepsi Jangka Panjang/MKJP maupun non-MKJP), memahami manfaat, efek samping, dan kontraindikasi masing-masing metode secara memadai untuk mengambil keputusan berdasarkan informasi (informed choice), serta memperoleh akses pelayanan pemasangan/pemberian kontrasepsi pada hari yang sama bila memungkinkan dan sesuai kelayakan medis.</w:t>
      </w:r>
    </w:p>
    <w:p>
      <w:pPr>
        <w:pStyle w:val="ListParagraph"/>
        <w:numPr>
          <w:ilvl w:val="0"/>
          <w:numId w:val="2"/>
        </w:numPr>
        <w:spacing w:after="100"/>
      </w:pPr>
      <w:r>
        <w:rPr>
          <w:rFonts w:ascii="IBM Plex Sans" w:cs="IBM Plex Sans" w:eastAsia="IBM Plex Sans" w:hAnsi="IBM Plex Sans"/>
          <w:color w:val="334155"/>
          <w:sz w:val="22"/>
          <w:szCs w:val="22"/>
        </w:rPr>
        <w:t xml:space="preserve">Tujuan populasi: meningkatkan cakupan kesertaan ber-KB di wilayah sasaran, menurunkan kebutuhan ber-KB yang tidak terpenuhi (unmet need for family planning), mendukung penjarangan dan perencanaan kehamilan sesuai preferensi keluarga, serta berkontribusi pada penurunan angka kematian ibu (AKI) melalui pencegahan kehamilan berisiko tinggi dan kehamilan yang tidak diinginkan.</w:t>
      </w:r>
    </w:p>
    <w:p>
      <w:pPr>
        <w:pStyle w:val="ListParagraph"/>
        <w:numPr>
          <w:ilvl w:val="0"/>
          <w:numId w:val="2"/>
        </w:numPr>
        <w:spacing w:after="100"/>
      </w:pPr>
      <w:r>
        <w:rPr>
          <w:rFonts w:ascii="IBM Plex Sans" w:cs="IBM Plex Sans" w:eastAsia="IBM Plex Sans" w:hAnsi="IBM Plex Sans"/>
          <w:color w:val="334155"/>
          <w:sz w:val="22"/>
          <w:szCs w:val="22"/>
        </w:rPr>
        <w:t xml:space="preserve">Tujuan sistem: memperluas jangkauan pelayanan KB berkualitas ke wilayah dengan akses fasilitas kesehatan tetap yang terbatas, mengoptimalkan efisiensi sumber daya tenaga spesialis melalui pendekatan populasi, dan memperkuat rujukan berjenjang antara layanan berbasis komunitas dan layanan klinis individual (PPK-070).</w:t>
      </w:r>
    </w:p>
    <w:p>
      <w:pPr>
        <w:pStyle w:val="ListParagraph"/>
        <w:numPr>
          <w:ilvl w:val="0"/>
          <w:numId w:val="2"/>
        </w:numPr>
        <w:spacing w:after="100"/>
      </w:pPr>
      <w:r>
        <w:rPr>
          <w:rFonts w:ascii="IBM Plex Sans" w:cs="IBM Plex Sans" w:eastAsia="IBM Plex Sans" w:hAnsi="IBM Plex Sans"/>
          <w:color w:val="334155"/>
          <w:sz w:val="22"/>
          <w:szCs w:val="22"/>
        </w:rPr>
        <w:t xml:space="preserve">Tujuan integrasi program: menyelaraskan pelayanan KB berbasis kelompok dengan sasaran Program Bangga Kencana lainnya, termasuk percepatan penurunan stunting melalui pengaturan jarak dan usia ideal melahirkan, serta penguatan ketahanan keluarga melalui kelompok kegiatan pembinaan keluarga di tingkat komunitas (mis. Bina Keluarga Balita, Bina Keluarga Remaja).</w:t>
      </w:r>
    </w:p>
    <w:p>
      <w:pPr>
        <w:pStyle w:val="Heading2"/>
      </w:pPr>
      <w:r>
        <w:rPr>
          <w:rFonts w:ascii="Source Serif 4" w:cs="Source Serif 4" w:eastAsia="Source Serif 4" w:hAnsi="Source Serif 4"/>
          <w:color w:val="4F46E5"/>
          <w:sz w:val="26"/>
          <w:szCs w:val="26"/>
        </w:rPr>
        <w:t xml:space="preserve">1.2 Definisi Operasional</w:t>
      </w:r>
    </w:p>
    <w:p>
      <w:pPr>
        <w:spacing w:after="160"/>
      </w:pPr>
      <w:r>
        <w:rPr>
          <w:rFonts w:ascii="IBM Plex Sans" w:cs="IBM Plex Sans" w:eastAsia="IBM Plex Sans" w:hAnsi="IBM Plex Sans"/>
          <w:color w:val="334155"/>
          <w:sz w:val="22"/>
          <w:szCs w:val="22"/>
        </w:rPr>
        <w:t xml:space="preserve">Kontrasepsi (Contraception) didefinisikan dalam Tabel 7 No. 70 Kepkonsil sebagai pengaturan fertilitas pada wanita usia reproduksi, dengan padanan kode ICD-10 Z30 dan ICD-11 QA21.1. Dalam konteks PPKK ini, "berbasis kelompok/komunitas" berarti unit pelayanan diselenggarakan untuk sekelompok PUS secara serentak dalam satu sesi terjadwal di fasilitas pelayanan kesehatan tingkat pertama (FKTP), balai desa, posyandu, atau lokasi komunitas lain yang disepakati, dan bukan pelayanan individual berurutan.</w:t>
      </w:r>
    </w:p>
    <w:p>
      <w:pPr>
        <w:spacing w:after="160"/>
      </w:pPr>
      <w:r>
        <w:rPr>
          <w:rFonts w:ascii="IBM Plex Sans" w:cs="IBM Plex Sans" w:eastAsia="IBM Plex Sans" w:hAnsi="IBM Plex Sans"/>
          <w:color w:val="334155"/>
          <w:sz w:val="22"/>
          <w:szCs w:val="22"/>
        </w:rPr>
        <w:t xml:space="preserve">Pasangan usia subur (PUS) didefinisikan sebagai pasangan suami-istri yang istrinya berusia 15–49 tahun dan berpotensi untuk hamil, mengikuti definisi operasional yang digunakan secara konsisten dalam sistem pendataan Program Bangga Kencana.</w:t>
      </w:r>
    </w:p>
    <w:p>
      <w:pPr>
        <w:pStyle w:val="Heading1"/>
      </w:pPr>
      <w:r>
        <w:rPr>
          <w:rFonts w:ascii="Source Serif 4" w:cs="Source Serif 4" w:eastAsia="Source Serif 4" w:hAnsi="Source Serif 4"/>
          <w:color w:val="4F46E5"/>
        </w:rPr>
        <w:t xml:space="preserve">2. Sasaran dan Kriteria Inklusi Kelompok</w:t>
      </w:r>
    </w:p>
    <w:p>
      <w:pPr>
        <w:spacing w:after="160"/>
      </w:pPr>
      <w:r>
        <w:rPr>
          <w:rFonts w:ascii="IBM Plex Sans" w:cs="IBM Plex Sans" w:eastAsia="IBM Plex Sans" w:hAnsi="IBM Plex Sans"/>
          <w:color w:val="334155"/>
          <w:sz w:val="22"/>
          <w:szCs w:val="22"/>
        </w:rPr>
        <w:t xml:space="preserve">Sasaran program adalah pasangan usia subur (PUS) yang berada dalam sesi konseling kelompok atau kegiatan safari KB terjadwal, dengan kriteria inklusi dan eksklusi yang ditetapkan untuk menjamin keamanan klinis dan efektivitas edukasi kelompok.</w:t>
      </w:r>
    </w:p>
    <w:p>
      <w:pPr>
        <w:pStyle w:val="Heading2"/>
      </w:pPr>
      <w:r>
        <w:rPr>
          <w:rFonts w:ascii="Source Serif 4" w:cs="Source Serif 4" w:eastAsia="Source Serif 4" w:hAnsi="Source Serif 4"/>
          <w:color w:val="4F46E5"/>
          <w:sz w:val="26"/>
          <w:szCs w:val="26"/>
        </w:rPr>
        <w:t xml:space="preserve">2.1 Kriteria Inklusi</w:t>
      </w:r>
    </w:p>
    <w:p>
      <w:pPr>
        <w:pStyle w:val="ListParagraph"/>
        <w:numPr>
          <w:ilvl w:val="0"/>
          <w:numId w:val="2"/>
        </w:numPr>
        <w:spacing w:after="100"/>
      </w:pPr>
      <w:r>
        <w:rPr>
          <w:rFonts w:ascii="IBM Plex Sans" w:cs="IBM Plex Sans" w:eastAsia="IBM Plex Sans" w:hAnsi="IBM Plex Sans"/>
          <w:color w:val="334155"/>
          <w:sz w:val="22"/>
          <w:szCs w:val="22"/>
        </w:rPr>
        <w:t xml:space="preserve">Pasangan usia subur (istri usia 15–49 tahun) yang belum ber-KB, ingin ganti metode, atau ingin melanjutkan/mengulang metode kontrasepsi.</w:t>
      </w:r>
    </w:p>
    <w:p>
      <w:pPr>
        <w:pStyle w:val="ListParagraph"/>
        <w:numPr>
          <w:ilvl w:val="0"/>
          <w:numId w:val="2"/>
        </w:numPr>
        <w:spacing w:after="100"/>
      </w:pPr>
      <w:r>
        <w:rPr>
          <w:rFonts w:ascii="IBM Plex Sans" w:cs="IBM Plex Sans" w:eastAsia="IBM Plex Sans" w:hAnsi="IBM Plex Sans"/>
          <w:color w:val="334155"/>
          <w:sz w:val="22"/>
          <w:szCs w:val="22"/>
        </w:rPr>
        <w:t xml:space="preserve">Bersedia hadir dan berpartisipasi aktif dalam sesi kelompok terjadwal, baik atas inisiatif sendiri, ajakan kader, maupun rujukan dari layanan antenatal/postpartum/posyandu.</w:t>
      </w:r>
    </w:p>
    <w:p>
      <w:pPr>
        <w:pStyle w:val="ListParagraph"/>
        <w:numPr>
          <w:ilvl w:val="0"/>
          <w:numId w:val="2"/>
        </w:numPr>
        <w:spacing w:after="100"/>
      </w:pPr>
      <w:r>
        <w:rPr>
          <w:rFonts w:ascii="IBM Plex Sans" w:cs="IBM Plex Sans" w:eastAsia="IBM Plex Sans" w:hAnsi="IBM Plex Sans"/>
          <w:color w:val="334155"/>
          <w:sz w:val="22"/>
          <w:szCs w:val="22"/>
        </w:rPr>
        <w:t xml:space="preserve">Ibu pascasalin (post-partum) dan pascakeguguran (post-abortion) yang memenuhi syarat untuk konseling KB pascapersalinan/pascakeguguran berbasis kelompok sebagai bagian dari kunjungan nifas terintegrasi.</w:t>
      </w:r>
    </w:p>
    <w:p>
      <w:pPr>
        <w:pStyle w:val="ListParagraph"/>
        <w:numPr>
          <w:ilvl w:val="0"/>
          <w:numId w:val="2"/>
        </w:numPr>
        <w:spacing w:after="100"/>
      </w:pPr>
      <w:r>
        <w:rPr>
          <w:rFonts w:ascii="IBM Plex Sans" w:cs="IBM Plex Sans" w:eastAsia="IBM Plex Sans" w:hAnsi="IBM Plex Sans"/>
          <w:color w:val="334155"/>
          <w:sz w:val="22"/>
          <w:szCs w:val="22"/>
        </w:rPr>
        <w:t xml:space="preserve">Peserta program keluarga berencana yang memerlukan penyegaran informasi metode (refreshing konseling) atau evaluasi berkala penggunaan MKJP.</w:t>
      </w:r>
    </w:p>
    <w:p>
      <w:pPr>
        <w:pStyle w:val="ListParagraph"/>
        <w:numPr>
          <w:ilvl w:val="0"/>
          <w:numId w:val="2"/>
        </w:numPr>
        <w:spacing w:after="100"/>
      </w:pPr>
      <w:r>
        <w:rPr>
          <w:rFonts w:ascii="IBM Plex Sans" w:cs="IBM Plex Sans" w:eastAsia="IBM Plex Sans" w:hAnsi="IBM Plex Sans"/>
          <w:color w:val="334155"/>
          <w:sz w:val="22"/>
          <w:szCs w:val="22"/>
        </w:rPr>
        <w:t xml:space="preserve">Pasangan calon pengantin atau pasangan baru menikah yang memerlukan konseling perencanaan kehamilan sejak awal pernikahan, sesuai prinsip kesehatan reproduksi sepanjang siklus hidup.</w:t>
      </w:r>
    </w:p>
    <w:p>
      <w:pPr>
        <w:pStyle w:val="Heading2"/>
      </w:pPr>
      <w:r>
        <w:rPr>
          <w:rFonts w:ascii="Source Serif 4" w:cs="Source Serif 4" w:eastAsia="Source Serif 4" w:hAnsi="Source Serif 4"/>
          <w:color w:val="4F46E5"/>
          <w:sz w:val="26"/>
          <w:szCs w:val="26"/>
        </w:rPr>
        <w:t xml:space="preserve">2.2 Kriteria Eksklusi dan Jalur Alternatif</w:t>
      </w:r>
    </w:p>
    <w:p>
      <w:pPr>
        <w:spacing w:after="160"/>
      </w:pPr>
      <w:r>
        <w:rPr>
          <w:rFonts w:ascii="IBM Plex Sans" w:cs="IBM Plex Sans" w:eastAsia="IBM Plex Sans" w:hAnsi="IBM Plex Sans"/>
          <w:color w:val="334155"/>
          <w:sz w:val="22"/>
          <w:szCs w:val="22"/>
        </w:rPr>
        <w:t xml:space="preserve">Kondisi berikut menandakan peserta memerlukan penilaian dan/atau tindakan individual di fasilitas kesehatan sebagai gantinya dari, atau tambahan atas, sesi kelompok, dan dirujuk mengikuti alur pada Bagian 7:</w:t>
      </w:r>
    </w:p>
    <w:p>
      <w:pPr>
        <w:pStyle w:val="ListParagraph"/>
        <w:numPr>
          <w:ilvl w:val="0"/>
          <w:numId w:val="2"/>
        </w:numPr>
        <w:spacing w:after="100"/>
      </w:pPr>
      <w:r>
        <w:rPr>
          <w:rFonts w:ascii="IBM Plex Sans" w:cs="IBM Plex Sans" w:eastAsia="IBM Plex Sans" w:hAnsi="IBM Plex Sans"/>
          <w:color w:val="334155"/>
          <w:sz w:val="22"/>
          <w:szCs w:val="22"/>
        </w:rPr>
        <w:t xml:space="preserve">Kondisi medis kompleks yang memerlukan penapisan kelayakan kontrasepsi individual sesuai kategori risiko (lihat Bagian 9 — WHO Medical Eligibility Criteria for Contraceptive Use).</w:t>
      </w:r>
    </w:p>
    <w:p>
      <w:pPr>
        <w:pStyle w:val="ListParagraph"/>
        <w:numPr>
          <w:ilvl w:val="0"/>
          <w:numId w:val="2"/>
        </w:numPr>
        <w:spacing w:after="100"/>
      </w:pPr>
      <w:r>
        <w:rPr>
          <w:rFonts w:ascii="IBM Plex Sans" w:cs="IBM Plex Sans" w:eastAsia="IBM Plex Sans" w:hAnsi="IBM Plex Sans"/>
          <w:color w:val="334155"/>
          <w:sz w:val="22"/>
          <w:szCs w:val="22"/>
        </w:rPr>
        <w:t xml:space="preserve">Kecurigaan kehamilan yang belum terkonfirmasi, perdarahan uterus abnormal yang belum terinvestigasi, atau gejala ginekologis yang memerlukan pemeriksaan lanjutan.</w:t>
      </w:r>
    </w:p>
    <w:p>
      <w:pPr>
        <w:pStyle w:val="ListParagraph"/>
        <w:numPr>
          <w:ilvl w:val="0"/>
          <w:numId w:val="2"/>
        </w:numPr>
        <w:spacing w:after="100"/>
      </w:pPr>
      <w:r>
        <w:rPr>
          <w:rFonts w:ascii="IBM Plex Sans" w:cs="IBM Plex Sans" w:eastAsia="IBM Plex Sans" w:hAnsi="IBM Plex Sans"/>
          <w:color w:val="334155"/>
          <w:sz w:val="22"/>
          <w:szCs w:val="22"/>
        </w:rPr>
        <w:t xml:space="preserve">Riwayat atau kecurigaan kekerasan dalam rumah tangga/kekerasan berbasis gender yang memerlukan penanganan mediko-legal terpisah dan privat, tidak dibahas dalam forum kelompok.</w:t>
      </w:r>
    </w:p>
    <w:p>
      <w:pPr>
        <w:pStyle w:val="ListParagraph"/>
        <w:numPr>
          <w:ilvl w:val="0"/>
          <w:numId w:val="2"/>
        </w:numPr>
        <w:spacing w:after="100"/>
      </w:pPr>
      <w:r>
        <w:rPr>
          <w:rFonts w:ascii="IBM Plex Sans" w:cs="IBM Plex Sans" w:eastAsia="IBM Plex Sans" w:hAnsi="IBM Plex Sans"/>
          <w:color w:val="334155"/>
          <w:sz w:val="22"/>
          <w:szCs w:val="22"/>
        </w:rPr>
        <w:t xml:space="preserve">Preferensi peserta untuk konseling privat/individual karena alasan pribadi, budaya, atau agama — hak ini wajib dihormati tanpa memengaruhi akses pelayanan.</w:t>
      </w:r>
    </w:p>
    <w:p>
      <w:pPr>
        <w:pStyle w:val="ListParagraph"/>
        <w:numPr>
          <w:ilvl w:val="0"/>
          <w:numId w:val="2"/>
        </w:numPr>
        <w:spacing w:after="100"/>
      </w:pPr>
      <w:r>
        <w:rPr>
          <w:rFonts w:ascii="IBM Plex Sans" w:cs="IBM Plex Sans" w:eastAsia="IBM Plex Sans" w:hAnsi="IBM Plex Sans"/>
          <w:color w:val="334155"/>
          <w:sz w:val="22"/>
          <w:szCs w:val="22"/>
        </w:rPr>
        <w:t xml:space="preserve">Usia peserta di bawah 20 tahun atau kondisi khusus lain (mis. disabilitas, keterbatasan literasi kesehatan) yang menurut penilaian tenaga kesehatan lebih terlayani melalui pendampingan individual daripada forum kelompok terbuka.</w:t>
      </w:r>
    </w:p>
    <w:p>
      <w:pPr>
        <w:pStyle w:val="Heading1"/>
      </w:pPr>
      <w:r>
        <w:rPr>
          <w:rFonts w:ascii="Source Serif 4" w:cs="Source Serif 4" w:eastAsia="Source Serif 4" w:hAnsi="Source Serif 4"/>
          <w:color w:val="4F46E5"/>
        </w:rPr>
        <w:t xml:space="preserve">3. Struktur Sesi/Alur Layanan</w:t>
      </w:r>
    </w:p>
    <w:p>
      <w:pPr>
        <w:spacing w:after="160"/>
      </w:pPr>
      <w:r>
        <w:rPr>
          <w:rFonts w:ascii="IBM Plex Sans" w:cs="IBM Plex Sans" w:eastAsia="IBM Plex Sans" w:hAnsi="IBM Plex Sans"/>
          <w:color w:val="334155"/>
          <w:sz w:val="22"/>
          <w:szCs w:val="22"/>
        </w:rPr>
        <w:t xml:space="preserve">Sesi konseling dan pelayanan KB berbasis kelompok disusun dalam tahapan berurutan dengan estimasi durasi total 120–180 menit per sesi (bergantung jumlah peserta dan jumlah metode yang dilayani langsung di tempat), dirancang agar edukasi kelompok tidak mengorbankan privasi keputusan dan tindakan individual.</w:t>
      </w:r>
    </w:p>
    <w:p>
      <w:pPr>
        <w:spacing w:after="80" w:before="120"/>
      </w:pPr>
      <w:r>
        <w:rPr>
          <w:rFonts w:ascii="IBM Plex Sans" w:cs="IBM Plex Sans" w:eastAsia="IBM Plex Sans" w:hAnsi="IBM Plex Sans"/>
          <w:i/>
          <w:iCs/>
          <w:color w:val="334155"/>
          <w:sz w:val="20"/>
          <w:szCs w:val="20"/>
        </w:rPr>
        <w:t xml:space="preserve">Tabel 1. Tahapan Sesi Pelayanan dan Konseling KB Berbasis Kelompok</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37"/>
        <w:gridCol w:w="2337"/>
        <w:gridCol w:w="2337"/>
        <w:gridCol w:w="2337"/>
      </w:tblGrid>
      <w:tr>
        <w:trPr>
          <w:tblHeader/>
        </w:trPr>
        <w:tc>
          <w:tcPr>
            <w:tcW w:type="dxa" w:w="2337"/>
            <w:shd w:fill="4F46E5" w:val="clear"/>
          </w:tcPr>
          <w:p>
            <w:r>
              <w:rPr>
                <w:rFonts w:ascii="IBM Plex Sans" w:cs="IBM Plex Sans" w:eastAsia="IBM Plex Sans" w:hAnsi="IBM Plex Sans"/>
                <w:b/>
                <w:bCs/>
                <w:color w:val="FFFFFF"/>
                <w:sz w:val="20"/>
                <w:szCs w:val="20"/>
              </w:rPr>
              <w:t xml:space="preserve">Tahap</w:t>
            </w:r>
          </w:p>
        </w:tc>
        <w:tc>
          <w:tcPr>
            <w:tcW w:type="dxa" w:w="2337"/>
            <w:shd w:fill="4F46E5" w:val="clear"/>
          </w:tcPr>
          <w:p>
            <w:r>
              <w:rPr>
                <w:rFonts w:ascii="IBM Plex Sans" w:cs="IBM Plex Sans" w:eastAsia="IBM Plex Sans" w:hAnsi="IBM Plex Sans"/>
                <w:b/>
                <w:bCs/>
                <w:color w:val="FFFFFF"/>
                <w:sz w:val="20"/>
                <w:szCs w:val="20"/>
              </w:rPr>
              <w:t xml:space="preserve">Kegiatan</w:t>
            </w:r>
          </w:p>
        </w:tc>
        <w:tc>
          <w:tcPr>
            <w:tcW w:type="dxa" w:w="2337"/>
            <w:shd w:fill="4F46E5" w:val="clear"/>
          </w:tcPr>
          <w:p>
            <w:r>
              <w:rPr>
                <w:rFonts w:ascii="IBM Plex Sans" w:cs="IBM Plex Sans" w:eastAsia="IBM Plex Sans" w:hAnsi="IBM Plex Sans"/>
                <w:b/>
                <w:bCs/>
                <w:color w:val="FFFFFF"/>
                <w:sz w:val="20"/>
                <w:szCs w:val="20"/>
              </w:rPr>
              <w:t xml:space="preserve">Estimasi Durasi</w:t>
            </w:r>
          </w:p>
        </w:tc>
        <w:tc>
          <w:tcPr>
            <w:tcW w:type="dxa" w:w="2337"/>
            <w:shd w:fill="4F46E5" w:val="clear"/>
          </w:tcPr>
          <w:p>
            <w:r>
              <w:rPr>
                <w:rFonts w:ascii="IBM Plex Sans" w:cs="IBM Plex Sans" w:eastAsia="IBM Plex Sans" w:hAnsi="IBM Plex Sans"/>
                <w:b/>
                <w:bCs/>
                <w:color w:val="FFFFFF"/>
                <w:sz w:val="20"/>
                <w:szCs w:val="20"/>
              </w:rPr>
              <w:t xml:space="preserve">Sifat</w:t>
            </w:r>
          </w:p>
        </w:tc>
      </w:tr>
      <w:tr>
        <w:tc>
          <w:tcPr>
            <w:tcW w:type="dxa" w:w="2337"/>
          </w:tcPr>
          <w:p>
            <w:r>
              <w:rPr>
                <w:rFonts w:ascii="IBM Plex Sans" w:cs="IBM Plex Sans" w:eastAsia="IBM Plex Sans" w:hAnsi="IBM Plex Sans"/>
                <w:color w:val="334155"/>
                <w:sz w:val="20"/>
                <w:szCs w:val="20"/>
              </w:rPr>
              <w:t xml:space="preserve">1. Pendaftaran dan Skrining Awal</w:t>
            </w:r>
          </w:p>
        </w:tc>
        <w:tc>
          <w:tcPr>
            <w:tcW w:type="dxa" w:w="2337"/>
          </w:tcPr>
          <w:p>
            <w:r>
              <w:rPr>
                <w:rFonts w:ascii="IBM Plex Sans" w:cs="IBM Plex Sans" w:eastAsia="IBM Plex Sans" w:hAnsi="IBM Plex Sans"/>
                <w:color w:val="334155"/>
                <w:sz w:val="20"/>
                <w:szCs w:val="20"/>
              </w:rPr>
              <w:t xml:space="preserve">Registrasi peserta, pengisian formulir skrining kelayakan medis dasar (riwayat obstetri, penyakit penyerta, tekanan darah), identifikasi peserta yang memerlukan jalur individual (lihat 2.2).</w:t>
            </w:r>
          </w:p>
        </w:tc>
        <w:tc>
          <w:tcPr>
            <w:tcW w:type="dxa" w:w="2337"/>
          </w:tcPr>
          <w:p>
            <w:r>
              <w:rPr>
                <w:rFonts w:ascii="IBM Plex Sans" w:cs="IBM Plex Sans" w:eastAsia="IBM Plex Sans" w:hAnsi="IBM Plex Sans"/>
                <w:color w:val="334155"/>
                <w:sz w:val="20"/>
                <w:szCs w:val="20"/>
              </w:rPr>
              <w:t xml:space="preserve">20–30 menit</w:t>
            </w:r>
          </w:p>
        </w:tc>
        <w:tc>
          <w:tcPr>
            <w:tcW w:type="dxa" w:w="2337"/>
          </w:tcPr>
          <w:p>
            <w:r>
              <w:rPr>
                <w:rFonts w:ascii="IBM Plex Sans" w:cs="IBM Plex Sans" w:eastAsia="IBM Plex Sans" w:hAnsi="IBM Plex Sans"/>
                <w:color w:val="334155"/>
                <w:sz w:val="20"/>
                <w:szCs w:val="20"/>
              </w:rPr>
              <w:t xml:space="preserve">Kelompok, dengan pencatatan individual</w:t>
            </w:r>
          </w:p>
        </w:tc>
      </w:tr>
      <w:tr>
        <w:tc>
          <w:tcPr>
            <w:tcW w:type="dxa" w:w="2337"/>
            <w:shd w:fill="F1F5F9" w:val="clear"/>
          </w:tcPr>
          <w:p>
            <w:r>
              <w:rPr>
                <w:rFonts w:ascii="IBM Plex Sans" w:cs="IBM Plex Sans" w:eastAsia="IBM Plex Sans" w:hAnsi="IBM Plex Sans"/>
                <w:color w:val="334155"/>
                <w:sz w:val="20"/>
                <w:szCs w:val="20"/>
              </w:rPr>
              <w:t xml:space="preserve">2. Edukasi Kelompok (Penyuluhan)</w:t>
            </w:r>
          </w:p>
        </w:tc>
        <w:tc>
          <w:tcPr>
            <w:tcW w:type="dxa" w:w="2337"/>
            <w:shd w:fill="F1F5F9" w:val="clear"/>
          </w:tcPr>
          <w:p>
            <w:r>
              <w:rPr>
                <w:rFonts w:ascii="IBM Plex Sans" w:cs="IBM Plex Sans" w:eastAsia="IBM Plex Sans" w:hAnsi="IBM Plex Sans"/>
                <w:color w:val="334155"/>
                <w:sz w:val="20"/>
                <w:szCs w:val="20"/>
              </w:rPr>
              <w:t xml:space="preserve">Pemaparan pilihan metode kontrasepsi (MKJP dan non-MKJP), mekanisme kerja, efektivitas, efek samping umum, dan mitos-fakta KB, menggunakan media edukasi visual (lembar balik, alat peraga, Alat Bantu Pengambilan Keputusan/ABPK ber-KB).</w:t>
            </w:r>
          </w:p>
        </w:tc>
        <w:tc>
          <w:tcPr>
            <w:tcW w:type="dxa" w:w="2337"/>
            <w:shd w:fill="F1F5F9" w:val="clear"/>
          </w:tcPr>
          <w:p>
            <w:r>
              <w:rPr>
                <w:rFonts w:ascii="IBM Plex Sans" w:cs="IBM Plex Sans" w:eastAsia="IBM Plex Sans" w:hAnsi="IBM Plex Sans"/>
                <w:color w:val="334155"/>
                <w:sz w:val="20"/>
                <w:szCs w:val="20"/>
              </w:rPr>
              <w:t xml:space="preserve">30–40 menit</w:t>
            </w:r>
          </w:p>
        </w:tc>
        <w:tc>
          <w:tcPr>
            <w:tcW w:type="dxa" w:w="2337"/>
            <w:shd w:fill="F1F5F9" w:val="clear"/>
          </w:tcPr>
          <w:p>
            <w:r>
              <w:rPr>
                <w:rFonts w:ascii="IBM Plex Sans" w:cs="IBM Plex Sans" w:eastAsia="IBM Plex Sans" w:hAnsi="IBM Plex Sans"/>
                <w:color w:val="334155"/>
                <w:sz w:val="20"/>
                <w:szCs w:val="20"/>
              </w:rPr>
              <w:t xml:space="preserve">Kelompok</w:t>
            </w:r>
          </w:p>
        </w:tc>
      </w:tr>
      <w:tr>
        <w:tc>
          <w:tcPr>
            <w:tcW w:type="dxa" w:w="2337"/>
          </w:tcPr>
          <w:p>
            <w:r>
              <w:rPr>
                <w:rFonts w:ascii="IBM Plex Sans" w:cs="IBM Plex Sans" w:eastAsia="IBM Plex Sans" w:hAnsi="IBM Plex Sans"/>
                <w:color w:val="334155"/>
                <w:sz w:val="20"/>
                <w:szCs w:val="20"/>
              </w:rPr>
              <w:t xml:space="preserve">3. Konseling Individual Terarah (Individual Counseling within Group Setting)</w:t>
            </w:r>
          </w:p>
        </w:tc>
        <w:tc>
          <w:tcPr>
            <w:tcW w:type="dxa" w:w="2337"/>
          </w:tcPr>
          <w:p>
            <w:r>
              <w:rPr>
                <w:rFonts w:ascii="IBM Plex Sans" w:cs="IBM Plex Sans" w:eastAsia="IBM Plex Sans" w:hAnsi="IBM Plex Sans"/>
                <w:color w:val="334155"/>
                <w:sz w:val="20"/>
                <w:szCs w:val="20"/>
              </w:rPr>
              <w:t xml:space="preserve">Sesi tanya-jawab dan konseling singkat one-on-one atau dalam kelompok kecil untuk membantu peserta memilih metode sesuai preferensi, kondisi kesehatan, dan rencana reproduksi — inti dari informed choice.</w:t>
            </w:r>
          </w:p>
        </w:tc>
        <w:tc>
          <w:tcPr>
            <w:tcW w:type="dxa" w:w="2337"/>
          </w:tcPr>
          <w:p>
            <w:r>
              <w:rPr>
                <w:rFonts w:ascii="IBM Plex Sans" w:cs="IBM Plex Sans" w:eastAsia="IBM Plex Sans" w:hAnsi="IBM Plex Sans"/>
                <w:color w:val="334155"/>
                <w:sz w:val="20"/>
                <w:szCs w:val="20"/>
              </w:rPr>
              <w:t xml:space="preserve">30–45 menit</w:t>
            </w:r>
          </w:p>
        </w:tc>
        <w:tc>
          <w:tcPr>
            <w:tcW w:type="dxa" w:w="2337"/>
          </w:tcPr>
          <w:p>
            <w:r>
              <w:rPr>
                <w:rFonts w:ascii="IBM Plex Sans" w:cs="IBM Plex Sans" w:eastAsia="IBM Plex Sans" w:hAnsi="IBM Plex Sans"/>
                <w:color w:val="334155"/>
                <w:sz w:val="20"/>
                <w:szCs w:val="20"/>
              </w:rPr>
              <w:t xml:space="preserve">Individual dalam setting kelompok</w:t>
            </w:r>
          </w:p>
        </w:tc>
      </w:tr>
      <w:tr>
        <w:tc>
          <w:tcPr>
            <w:tcW w:type="dxa" w:w="2337"/>
            <w:shd w:fill="F1F5F9" w:val="clear"/>
          </w:tcPr>
          <w:p>
            <w:r>
              <w:rPr>
                <w:rFonts w:ascii="IBM Plex Sans" w:cs="IBM Plex Sans" w:eastAsia="IBM Plex Sans" w:hAnsi="IBM Plex Sans"/>
                <w:color w:val="334155"/>
                <w:sz w:val="20"/>
                <w:szCs w:val="20"/>
              </w:rPr>
              <w:t xml:space="preserve">4. Penapisan Kelayakan Medis Individual</w:t>
            </w:r>
          </w:p>
        </w:tc>
        <w:tc>
          <w:tcPr>
            <w:tcW w:type="dxa" w:w="2337"/>
            <w:shd w:fill="F1F5F9" w:val="clear"/>
          </w:tcPr>
          <w:p>
            <w:r>
              <w:rPr>
                <w:rFonts w:ascii="IBM Plex Sans" w:cs="IBM Plex Sans" w:eastAsia="IBM Plex Sans" w:hAnsi="IBM Plex Sans"/>
                <w:color w:val="334155"/>
                <w:sz w:val="20"/>
                <w:szCs w:val="20"/>
              </w:rPr>
              <w:t xml:space="preserve">Pemeriksaan status kesehatan spesifik metode terpilih (tekanan darah, indeks massa tubuh, riwayat penyakit) mengacu pada kategori kelayakan medis WHO Medical Eligibility Criteria; identifikasi kontraindikasi.</w:t>
            </w:r>
          </w:p>
        </w:tc>
        <w:tc>
          <w:tcPr>
            <w:tcW w:type="dxa" w:w="2337"/>
            <w:shd w:fill="F1F5F9" w:val="clear"/>
          </w:tcPr>
          <w:p>
            <w:r>
              <w:rPr>
                <w:rFonts w:ascii="IBM Plex Sans" w:cs="IBM Plex Sans" w:eastAsia="IBM Plex Sans" w:hAnsi="IBM Plex Sans"/>
                <w:color w:val="334155"/>
                <w:sz w:val="20"/>
                <w:szCs w:val="20"/>
              </w:rPr>
              <w:t xml:space="preserve">10–15 menit/peserta</w:t>
            </w:r>
          </w:p>
        </w:tc>
        <w:tc>
          <w:tcPr>
            <w:tcW w:type="dxa" w:w="2337"/>
            <w:shd w:fill="F1F5F9" w:val="clear"/>
          </w:tcPr>
          <w:p>
            <w:r>
              <w:rPr>
                <w:rFonts w:ascii="IBM Plex Sans" w:cs="IBM Plex Sans" w:eastAsia="IBM Plex Sans" w:hAnsi="IBM Plex Sans"/>
                <w:color w:val="334155"/>
                <w:sz w:val="20"/>
                <w:szCs w:val="20"/>
              </w:rPr>
              <w:t xml:space="preserve">Individual</w:t>
            </w:r>
          </w:p>
        </w:tc>
      </w:tr>
      <w:tr>
        <w:tc>
          <w:tcPr>
            <w:tcW w:type="dxa" w:w="2337"/>
          </w:tcPr>
          <w:p>
            <w:r>
              <w:rPr>
                <w:rFonts w:ascii="IBM Plex Sans" w:cs="IBM Plex Sans" w:eastAsia="IBM Plex Sans" w:hAnsi="IBM Plex Sans"/>
                <w:color w:val="334155"/>
                <w:sz w:val="20"/>
                <w:szCs w:val="20"/>
              </w:rPr>
              <w:t xml:space="preserve">5. Persetujuan Tindakan Medis (Informed Consent)</w:t>
            </w:r>
          </w:p>
        </w:tc>
        <w:tc>
          <w:tcPr>
            <w:tcW w:type="dxa" w:w="2337"/>
          </w:tcPr>
          <w:p>
            <w:r>
              <w:rPr>
                <w:rFonts w:ascii="IBM Plex Sans" w:cs="IBM Plex Sans" w:eastAsia="IBM Plex Sans" w:hAnsi="IBM Plex Sans"/>
                <w:color w:val="334155"/>
                <w:sz w:val="20"/>
                <w:szCs w:val="20"/>
              </w:rPr>
              <w:t xml:space="preserve">Penjelasan risiko, manfaat, dan alternatif tindakan sebelum penandatanganan lembar persetujuan tindakan medis untuk setiap metode invasif; dilakukan sebelum pasien memasuki ruang tindakan.</w:t>
            </w:r>
          </w:p>
        </w:tc>
        <w:tc>
          <w:tcPr>
            <w:tcW w:type="dxa" w:w="2337"/>
          </w:tcPr>
          <w:p>
            <w:r>
              <w:rPr>
                <w:rFonts w:ascii="IBM Plex Sans" w:cs="IBM Plex Sans" w:eastAsia="IBM Plex Sans" w:hAnsi="IBM Plex Sans"/>
                <w:color w:val="334155"/>
                <w:sz w:val="20"/>
                <w:szCs w:val="20"/>
              </w:rPr>
              <w:t xml:space="preserve">5–10 menit/peserta</w:t>
            </w:r>
          </w:p>
        </w:tc>
        <w:tc>
          <w:tcPr>
            <w:tcW w:type="dxa" w:w="2337"/>
          </w:tcPr>
          <w:p>
            <w:r>
              <w:rPr>
                <w:rFonts w:ascii="IBM Plex Sans" w:cs="IBM Plex Sans" w:eastAsia="IBM Plex Sans" w:hAnsi="IBM Plex Sans"/>
                <w:color w:val="334155"/>
                <w:sz w:val="20"/>
                <w:szCs w:val="20"/>
              </w:rPr>
              <w:t xml:space="preserve">Individual</w:t>
            </w:r>
          </w:p>
        </w:tc>
      </w:tr>
      <w:tr>
        <w:tc>
          <w:tcPr>
            <w:tcW w:type="dxa" w:w="2337"/>
            <w:shd w:fill="F1F5F9" w:val="clear"/>
          </w:tcPr>
          <w:p>
            <w:r>
              <w:rPr>
                <w:rFonts w:ascii="IBM Plex Sans" w:cs="IBM Plex Sans" w:eastAsia="IBM Plex Sans" w:hAnsi="IBM Plex Sans"/>
                <w:color w:val="334155"/>
                <w:sz w:val="20"/>
                <w:szCs w:val="20"/>
              </w:rPr>
              <w:t xml:space="preserve">6. Tindakan/Pemberian Kontrasepsi</w:t>
            </w:r>
          </w:p>
        </w:tc>
        <w:tc>
          <w:tcPr>
            <w:tcW w:type="dxa" w:w="2337"/>
            <w:shd w:fill="F1F5F9" w:val="clear"/>
          </w:tcPr>
          <w:p>
            <w:r>
              <w:rPr>
                <w:rFonts w:ascii="IBM Plex Sans" w:cs="IBM Plex Sans" w:eastAsia="IBM Plex Sans" w:hAnsi="IBM Plex Sans"/>
                <w:color w:val="334155"/>
                <w:sz w:val="20"/>
                <w:szCs w:val="20"/>
              </w:rPr>
              <w:t xml:space="preserve">Pemasangan AKDR/implan, injeksi, atau penyerahan pil/kondom sesuai pilihan dan kelayakan; dilakukan di ruang tindakan terpisah yang menjamin privasi dan asepsis.</w:t>
            </w:r>
          </w:p>
        </w:tc>
        <w:tc>
          <w:tcPr>
            <w:tcW w:type="dxa" w:w="2337"/>
            <w:shd w:fill="F1F5F9" w:val="clear"/>
          </w:tcPr>
          <w:p>
            <w:r>
              <w:rPr>
                <w:rFonts w:ascii="IBM Plex Sans" w:cs="IBM Plex Sans" w:eastAsia="IBM Plex Sans" w:hAnsi="IBM Plex Sans"/>
                <w:color w:val="334155"/>
                <w:sz w:val="20"/>
                <w:szCs w:val="20"/>
              </w:rPr>
              <w:t xml:space="preserve">Bervariasi per metode</w:t>
            </w:r>
          </w:p>
        </w:tc>
        <w:tc>
          <w:tcPr>
            <w:tcW w:type="dxa" w:w="2337"/>
            <w:shd w:fill="F1F5F9" w:val="clear"/>
          </w:tcPr>
          <w:p>
            <w:r>
              <w:rPr>
                <w:rFonts w:ascii="IBM Plex Sans" w:cs="IBM Plex Sans" w:eastAsia="IBM Plex Sans" w:hAnsi="IBM Plex Sans"/>
                <w:color w:val="334155"/>
                <w:sz w:val="20"/>
                <w:szCs w:val="20"/>
              </w:rPr>
              <w:t xml:space="preserve">Individual</w:t>
            </w:r>
          </w:p>
        </w:tc>
      </w:tr>
      <w:tr>
        <w:tc>
          <w:tcPr>
            <w:tcW w:type="dxa" w:w="2337"/>
          </w:tcPr>
          <w:p>
            <w:r>
              <w:rPr>
                <w:rFonts w:ascii="IBM Plex Sans" w:cs="IBM Plex Sans" w:eastAsia="IBM Plex Sans" w:hAnsi="IBM Plex Sans"/>
                <w:color w:val="334155"/>
                <w:sz w:val="20"/>
                <w:szCs w:val="20"/>
              </w:rPr>
              <w:t xml:space="preserve">7. Edukasi Pasca-Tindakan dan Penjadwalan Kontrol</w:t>
            </w:r>
          </w:p>
        </w:tc>
        <w:tc>
          <w:tcPr>
            <w:tcW w:type="dxa" w:w="2337"/>
          </w:tcPr>
          <w:p>
            <w:r>
              <w:rPr>
                <w:rFonts w:ascii="IBM Plex Sans" w:cs="IBM Plex Sans" w:eastAsia="IBM Plex Sans" w:hAnsi="IBM Plex Sans"/>
                <w:color w:val="334155"/>
                <w:sz w:val="20"/>
                <w:szCs w:val="20"/>
              </w:rPr>
              <w:t xml:space="preserve">Instruksi perawatan pascatindakan, tanda bahaya yang harus diwaspadai, dan jadwal kunjungan ulang/kontrol atau penggantian metode.</w:t>
            </w:r>
          </w:p>
        </w:tc>
        <w:tc>
          <w:tcPr>
            <w:tcW w:type="dxa" w:w="2337"/>
          </w:tcPr>
          <w:p>
            <w:r>
              <w:rPr>
                <w:rFonts w:ascii="IBM Plex Sans" w:cs="IBM Plex Sans" w:eastAsia="IBM Plex Sans" w:hAnsi="IBM Plex Sans"/>
                <w:color w:val="334155"/>
                <w:sz w:val="20"/>
                <w:szCs w:val="20"/>
              </w:rPr>
              <w:t xml:space="preserve">10 menit/peserta</w:t>
            </w:r>
          </w:p>
        </w:tc>
        <w:tc>
          <w:tcPr>
            <w:tcW w:type="dxa" w:w="2337"/>
          </w:tcPr>
          <w:p>
            <w:r>
              <w:rPr>
                <w:rFonts w:ascii="IBM Plex Sans" w:cs="IBM Plex Sans" w:eastAsia="IBM Plex Sans" w:hAnsi="IBM Plex Sans"/>
                <w:color w:val="334155"/>
                <w:sz w:val="20"/>
                <w:szCs w:val="20"/>
              </w:rPr>
              <w:t xml:space="preserve">Individual</w:t>
            </w:r>
          </w:p>
        </w:tc>
      </w:tr>
      <w:tr>
        <w:tc>
          <w:tcPr>
            <w:tcW w:type="dxa" w:w="2337"/>
            <w:shd w:fill="F1F5F9" w:val="clear"/>
          </w:tcPr>
          <w:p>
            <w:r>
              <w:rPr>
                <w:rFonts w:ascii="IBM Plex Sans" w:cs="IBM Plex Sans" w:eastAsia="IBM Plex Sans" w:hAnsi="IBM Plex Sans"/>
                <w:color w:val="334155"/>
                <w:sz w:val="20"/>
                <w:szCs w:val="20"/>
              </w:rPr>
              <w:t xml:space="preserve">8. Pencatatan dan Pelaporan</w:t>
            </w:r>
          </w:p>
        </w:tc>
        <w:tc>
          <w:tcPr>
            <w:tcW w:type="dxa" w:w="2337"/>
            <w:shd w:fill="F1F5F9" w:val="clear"/>
          </w:tcPr>
          <w:p>
            <w:r>
              <w:rPr>
                <w:rFonts w:ascii="IBM Plex Sans" w:cs="IBM Plex Sans" w:eastAsia="IBM Plex Sans" w:hAnsi="IBM Plex Sans"/>
                <w:color w:val="334155"/>
                <w:sz w:val="20"/>
                <w:szCs w:val="20"/>
              </w:rPr>
              <w:t xml:space="preserve">Dokumentasi pada kartu peserta KB dan rekam medis, pencatatan pada register kohort KB, pelaporan ke sistem informasi Program Bangga Kencana (Sistem Informasi Keluarga).</w:t>
            </w:r>
          </w:p>
        </w:tc>
        <w:tc>
          <w:tcPr>
            <w:tcW w:type="dxa" w:w="2337"/>
            <w:shd w:fill="F1F5F9" w:val="clear"/>
          </w:tcPr>
          <w:p>
            <w:r>
              <w:rPr>
                <w:rFonts w:ascii="IBM Plex Sans" w:cs="IBM Plex Sans" w:eastAsia="IBM Plex Sans" w:hAnsi="IBM Plex Sans"/>
                <w:color w:val="334155"/>
                <w:sz w:val="20"/>
                <w:szCs w:val="20"/>
              </w:rPr>
              <w:t xml:space="preserve">Berjalan sepanjang sesi</w:t>
            </w:r>
          </w:p>
        </w:tc>
        <w:tc>
          <w:tcPr>
            <w:tcW w:type="dxa" w:w="2337"/>
            <w:shd w:fill="F1F5F9" w:val="clear"/>
          </w:tcPr>
          <w:p>
            <w:r>
              <w:rPr>
                <w:rFonts w:ascii="IBM Plex Sans" w:cs="IBM Plex Sans" w:eastAsia="IBM Plex Sans" w:hAnsi="IBM Plex Sans"/>
                <w:color w:val="334155"/>
                <w:sz w:val="20"/>
                <w:szCs w:val="20"/>
              </w:rPr>
              <w:t xml:space="preserve">Administratif</w:t>
            </w:r>
          </w:p>
        </w:tc>
      </w:tr>
    </w:tbl>
    <w:p>
      <w:pPr>
        <w:spacing w:after="120"/>
      </w:pPr>
    </w:p>
    <w:p>
      <w:pPr>
        <w:spacing w:after="160"/>
      </w:pPr>
      <w:r>
        <w:rPr>
          <w:rFonts w:ascii="IBM Plex Sans" w:cs="IBM Plex Sans" w:eastAsia="IBM Plex Sans" w:hAnsi="IBM Plex Sans"/>
          <w:color w:val="334155"/>
          <w:sz w:val="22"/>
          <w:szCs w:val="22"/>
        </w:rPr>
        <w:t xml:space="preserve">Urutan tahap 3–7 dapat disesuaikan secara paralel bila tersedia lebih dari satu tenaga kesehatan pemberi layanan, dengan tetap menjaga giliran dan privasi tiap peserta pada tahap penapisan, persetujuan tindakan, dan tindakan itu sendiri.</w:t>
      </w:r>
    </w:p>
    <w:p>
      <w:pPr>
        <w:pStyle w:val="Heading1"/>
      </w:pPr>
      <w:r>
        <w:rPr>
          <w:rFonts w:ascii="Source Serif 4" w:cs="Source Serif 4" w:eastAsia="Source Serif 4" w:hAnsi="Source Serif 4"/>
          <w:color w:val="4F46E5"/>
        </w:rPr>
        <w:t xml:space="preserve">4. Peran Tenaga Kesehatan per Sesi</w:t>
      </w:r>
    </w:p>
    <w:p>
      <w:pPr>
        <w:spacing w:after="160"/>
      </w:pPr>
      <w:r>
        <w:rPr>
          <w:rFonts w:ascii="IBM Plex Sans" w:cs="IBM Plex Sans" w:eastAsia="IBM Plex Sans" w:hAnsi="IBM Plex Sans"/>
          <w:color w:val="334155"/>
          <w:sz w:val="22"/>
          <w:szCs w:val="22"/>
        </w:rPr>
        <w:t xml:space="preserve">Keberhasilan sesi kelompok bergantung pada pembagian peran yang jelas antar anggota tim, dengan Dokter Spesialis Obstetri dan Ginekologi (SpOG) — idealnya dengan penguatan kompetensi Subspesialis Obstetri Ginekologi Sosial — berperan sebagai penanggung jawab klinis keseluruhan sesi.</w:t>
      </w:r>
    </w:p>
    <w:p>
      <w:pPr>
        <w:spacing w:after="80" w:before="120"/>
      </w:pPr>
      <w:r>
        <w:rPr>
          <w:rFonts w:ascii="IBM Plex Sans" w:cs="IBM Plex Sans" w:eastAsia="IBM Plex Sans" w:hAnsi="IBM Plex Sans"/>
          <w:i/>
          <w:iCs/>
          <w:color w:val="334155"/>
          <w:sz w:val="20"/>
          <w:szCs w:val="20"/>
        </w:rPr>
        <w:t xml:space="preserve">Tabel 2. Pembagian Peran Tenaga Kesehatan dan Kader</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4675"/>
        <w:gridCol w:w="4675"/>
      </w:tblGrid>
      <w:tr>
        <w:trPr>
          <w:tblHeader/>
        </w:trPr>
        <w:tc>
          <w:tcPr>
            <w:tcW w:type="dxa" w:w="4675"/>
            <w:shd w:fill="4F46E5" w:val="clear"/>
          </w:tcPr>
          <w:p>
            <w:r>
              <w:rPr>
                <w:rFonts w:ascii="IBM Plex Sans" w:cs="IBM Plex Sans" w:eastAsia="IBM Plex Sans" w:hAnsi="IBM Plex Sans"/>
                <w:b/>
                <w:bCs/>
                <w:color w:val="FFFFFF"/>
                <w:sz w:val="20"/>
                <w:szCs w:val="20"/>
              </w:rPr>
              <w:t xml:space="preserve">Peran/Profesi</w:t>
            </w:r>
          </w:p>
        </w:tc>
        <w:tc>
          <w:tcPr>
            <w:tcW w:type="dxa" w:w="4675"/>
            <w:shd w:fill="4F46E5" w:val="clear"/>
          </w:tcPr>
          <w:p>
            <w:r>
              <w:rPr>
                <w:rFonts w:ascii="IBM Plex Sans" w:cs="IBM Plex Sans" w:eastAsia="IBM Plex Sans" w:hAnsi="IBM Plex Sans"/>
                <w:b/>
                <w:bCs/>
                <w:color w:val="FFFFFF"/>
                <w:sz w:val="20"/>
                <w:szCs w:val="20"/>
              </w:rPr>
              <w:t xml:space="preserve">Tanggung Jawab Utama dalam Sesi</w:t>
            </w:r>
          </w:p>
        </w:tc>
      </w:tr>
      <w:tr>
        <w:tc>
          <w:tcPr>
            <w:tcW w:type="dxa" w:w="4675"/>
          </w:tcPr>
          <w:p>
            <w:r>
              <w:rPr>
                <w:rFonts w:ascii="IBM Plex Sans" w:cs="IBM Plex Sans" w:eastAsia="IBM Plex Sans" w:hAnsi="IBM Plex Sans"/>
                <w:color w:val="334155"/>
                <w:sz w:val="20"/>
                <w:szCs w:val="20"/>
              </w:rPr>
              <w:t xml:space="preserve">Dokter Spesialis Obstetri dan Ginekologi (SpOG) / Subspesialis Obstetri Ginekologi Sosial</w:t>
            </w:r>
          </w:p>
        </w:tc>
        <w:tc>
          <w:tcPr>
            <w:tcW w:type="dxa" w:w="4675"/>
          </w:tcPr>
          <w:p>
            <w:r>
              <w:rPr>
                <w:rFonts w:ascii="IBM Plex Sans" w:cs="IBM Plex Sans" w:eastAsia="IBM Plex Sans" w:hAnsi="IBM Plex Sans"/>
                <w:color w:val="334155"/>
                <w:sz w:val="20"/>
                <w:szCs w:val="20"/>
              </w:rPr>
              <w:t xml:space="preserve">Penanggung jawab klinis sesi; supervisi kelayakan medis kasus kompleks; melakukan atau mensupervisi tindakan pemasangan MKJP pada kasus dengan kondisi penyerta; memutuskan rujukan ke PPK-070 untuk kasus individual berisiko; membina mutu konseling tim; menandatangani dokumentasi persetujuan tindakan pada kasus berisiko.</w:t>
            </w:r>
          </w:p>
        </w:tc>
      </w:tr>
      <w:tr>
        <w:tc>
          <w:tcPr>
            <w:tcW w:type="dxa" w:w="4675"/>
            <w:shd w:fill="F1F5F9" w:val="clear"/>
          </w:tcPr>
          <w:p>
            <w:r>
              <w:rPr>
                <w:rFonts w:ascii="IBM Plex Sans" w:cs="IBM Plex Sans" w:eastAsia="IBM Plex Sans" w:hAnsi="IBM Plex Sans"/>
                <w:color w:val="334155"/>
                <w:sz w:val="20"/>
                <w:szCs w:val="20"/>
              </w:rPr>
              <w:t xml:space="preserve">Peserta Didik Dokter Spesialis (PPDS) Obstetri dan Ginekologi</w:t>
            </w:r>
          </w:p>
        </w:tc>
        <w:tc>
          <w:tcPr>
            <w:tcW w:type="dxa" w:w="4675"/>
            <w:shd w:fill="F1F5F9" w:val="clear"/>
          </w:tcPr>
          <w:p>
            <w:r>
              <w:rPr>
                <w:rFonts w:ascii="IBM Plex Sans" w:cs="IBM Plex Sans" w:eastAsia="IBM Plex Sans" w:hAnsi="IBM Plex Sans"/>
                <w:color w:val="334155"/>
                <w:sz w:val="20"/>
                <w:szCs w:val="20"/>
              </w:rPr>
              <w:t xml:space="preserve">Melakukan konseling individual terarah dan tindakan pemasangan/pelepasan kontrasepsi di bawah supervisi SpOG, sebagai bagian dari pencapaian kompetensi prosedural sesuai jenjang pendidikan; mendokumentasikan tindakan.</w:t>
            </w:r>
          </w:p>
        </w:tc>
      </w:tr>
      <w:tr>
        <w:tc>
          <w:tcPr>
            <w:tcW w:type="dxa" w:w="4675"/>
          </w:tcPr>
          <w:p>
            <w:r>
              <w:rPr>
                <w:rFonts w:ascii="IBM Plex Sans" w:cs="IBM Plex Sans" w:eastAsia="IBM Plex Sans" w:hAnsi="IBM Plex Sans"/>
                <w:color w:val="334155"/>
                <w:sz w:val="20"/>
                <w:szCs w:val="20"/>
              </w:rPr>
              <w:t xml:space="preserve">Bidan/Perawat Terlatih KB</w:t>
            </w:r>
          </w:p>
        </w:tc>
        <w:tc>
          <w:tcPr>
            <w:tcW w:type="dxa" w:w="4675"/>
          </w:tcPr>
          <w:p>
            <w:r>
              <w:rPr>
                <w:rFonts w:ascii="IBM Plex Sans" w:cs="IBM Plex Sans" w:eastAsia="IBM Plex Sans" w:hAnsi="IBM Plex Sans"/>
                <w:color w:val="334155"/>
                <w:sz w:val="20"/>
                <w:szCs w:val="20"/>
              </w:rPr>
              <w:t xml:space="preserve">Melaksanakan edukasi kelompok, konseling individual metode non-invasif dan MKJP sesuai kewenangan, pemasangan/pelepasan AKDR dan implan sesuai kompetensi dan kewenangan klinis yang berlaku, injeksi kontrasepsi, serta penapisan kelayakan medis dasar.</w:t>
            </w:r>
          </w:p>
        </w:tc>
      </w:tr>
      <w:tr>
        <w:tc>
          <w:tcPr>
            <w:tcW w:type="dxa" w:w="4675"/>
            <w:shd w:fill="F1F5F9" w:val="clear"/>
          </w:tcPr>
          <w:p>
            <w:r>
              <w:rPr>
                <w:rFonts w:ascii="IBM Plex Sans" w:cs="IBM Plex Sans" w:eastAsia="IBM Plex Sans" w:hAnsi="IBM Plex Sans"/>
                <w:color w:val="334155"/>
                <w:sz w:val="20"/>
                <w:szCs w:val="20"/>
              </w:rPr>
              <w:t xml:space="preserve">Kader Kesehatan / Penyuluh Keluarga Berencana (PKB) / Petugas Pembantu Pembina KB Desa (PPKBD)</w:t>
            </w:r>
          </w:p>
        </w:tc>
        <w:tc>
          <w:tcPr>
            <w:tcW w:type="dxa" w:w="4675"/>
            <w:shd w:fill="F1F5F9" w:val="clear"/>
          </w:tcPr>
          <w:p>
            <w:r>
              <w:rPr>
                <w:rFonts w:ascii="IBM Plex Sans" w:cs="IBM Plex Sans" w:eastAsia="IBM Plex Sans" w:hAnsi="IBM Plex Sans"/>
                <w:color w:val="334155"/>
                <w:sz w:val="20"/>
                <w:szCs w:val="20"/>
              </w:rPr>
              <w:t xml:space="preserve">Mobilisasi dan pendaftaran peserta, penyuluhan awal tingkat komunitas, pendampingan peserta selama sesi, pencatatan kehadiran, serta tindak lanjut kunjungan ulang di tingkat masyarakat sebagai bagian dari jejaring Program Bangga Kencana.</w:t>
            </w:r>
          </w:p>
        </w:tc>
      </w:tr>
    </w:tbl>
    <w:p>
      <w:pPr>
        <w:spacing w:after="120"/>
      </w:pPr>
    </w:p>
    <w:p>
      <w:pPr>
        <w:pStyle w:val="Heading1"/>
      </w:pPr>
      <w:r>
        <w:rPr>
          <w:rFonts w:ascii="Source Serif 4" w:cs="Source Serif 4" w:eastAsia="Source Serif 4" w:hAnsi="Source Serif 4"/>
          <w:color w:val="4F46E5"/>
        </w:rPr>
        <w:t xml:space="preserve">5. Materi/Konten yang Disampaikan pada Setiap Sesi</w:t>
      </w:r>
    </w:p>
    <w:p>
      <w:pPr>
        <w:spacing w:after="160"/>
      </w:pPr>
      <w:r>
        <w:rPr>
          <w:rFonts w:ascii="IBM Plex Sans" w:cs="IBM Plex Sans" w:eastAsia="IBM Plex Sans" w:hAnsi="IBM Plex Sans"/>
          <w:color w:val="334155"/>
          <w:sz w:val="22"/>
          <w:szCs w:val="22"/>
        </w:rPr>
        <w:t xml:space="preserve">Materi edukasi disusun berjenjang dari pengetahuan umum di sesi kelompok besar menuju informasi spesifik-metode pada konseling individual, dengan prinsip informed choice dan penghormatan atas otonomi reproduksi peserta.</w:t>
      </w:r>
    </w:p>
    <w:p>
      <w:pPr>
        <w:pStyle w:val="Heading2"/>
      </w:pPr>
      <w:r>
        <w:rPr>
          <w:rFonts w:ascii="Source Serif 4" w:cs="Source Serif 4" w:eastAsia="Source Serif 4" w:hAnsi="Source Serif 4"/>
          <w:color w:val="4F46E5"/>
          <w:sz w:val="26"/>
          <w:szCs w:val="26"/>
        </w:rPr>
        <w:t xml:space="preserve">5.1 Materi Sesi Edukasi Kelompok</w:t>
      </w:r>
    </w:p>
    <w:p>
      <w:pPr>
        <w:pStyle w:val="ListParagraph"/>
        <w:numPr>
          <w:ilvl w:val="0"/>
          <w:numId w:val="2"/>
        </w:numPr>
        <w:spacing w:after="100"/>
      </w:pPr>
      <w:r>
        <w:rPr>
          <w:rFonts w:ascii="IBM Plex Sans" w:cs="IBM Plex Sans" w:eastAsia="IBM Plex Sans" w:hAnsi="IBM Plex Sans"/>
          <w:color w:val="334155"/>
          <w:sz w:val="22"/>
          <w:szCs w:val="22"/>
        </w:rPr>
        <w:t xml:space="preserve">Konsep dasar kesuburan dan siklus reproduksi; pentingnya perencanaan kehamilan bagi kesehatan ibu dan anak, termasuk kaitannya dengan pencegahan stunting melalui pengaturan jarak dan usia ideal melahirkan.</w:t>
      </w:r>
    </w:p>
    <w:p>
      <w:pPr>
        <w:pStyle w:val="ListParagraph"/>
        <w:numPr>
          <w:ilvl w:val="0"/>
          <w:numId w:val="2"/>
        </w:numPr>
        <w:spacing w:after="100"/>
      </w:pPr>
      <w:r>
        <w:rPr>
          <w:rFonts w:ascii="IBM Plex Sans" w:cs="IBM Plex Sans" w:eastAsia="IBM Plex Sans" w:hAnsi="IBM Plex Sans"/>
          <w:color w:val="334155"/>
          <w:sz w:val="22"/>
          <w:szCs w:val="22"/>
        </w:rPr>
        <w:t xml:space="preserve">Ragam metode kontrasepsi: metode kontrasepsi jangka panjang (MKJP: AKDR/IUD, implan, tubektomi, vasektomi) dan metode jangka pendek (pil kombinasi/progestin, suntik, kondom, metode amenore laktasi).</w:t>
      </w:r>
    </w:p>
    <w:p>
      <w:pPr>
        <w:pStyle w:val="ListParagraph"/>
        <w:numPr>
          <w:ilvl w:val="0"/>
          <w:numId w:val="2"/>
        </w:numPr>
        <w:spacing w:after="100"/>
      </w:pPr>
      <w:r>
        <w:rPr>
          <w:rFonts w:ascii="IBM Plex Sans" w:cs="IBM Plex Sans" w:eastAsia="IBM Plex Sans" w:hAnsi="IBM Plex Sans"/>
          <w:color w:val="334155"/>
          <w:sz w:val="22"/>
          <w:szCs w:val="22"/>
        </w:rPr>
        <w:t xml:space="preserve">Perbandingan efektivitas, cara kerja, keuntungan, efek samping umum, dan reversibilitas tiap metode, disampaikan secara netral tanpa mengarahkan pada satu metode tertentu.</w:t>
      </w:r>
    </w:p>
    <w:p>
      <w:pPr>
        <w:pStyle w:val="ListParagraph"/>
        <w:numPr>
          <w:ilvl w:val="0"/>
          <w:numId w:val="2"/>
        </w:numPr>
        <w:spacing w:after="100"/>
      </w:pPr>
      <w:r>
        <w:rPr>
          <w:rFonts w:ascii="IBM Plex Sans" w:cs="IBM Plex Sans" w:eastAsia="IBM Plex Sans" w:hAnsi="IBM Plex Sans"/>
          <w:color w:val="334155"/>
          <w:sz w:val="22"/>
          <w:szCs w:val="22"/>
        </w:rPr>
        <w:t xml:space="preserve">Mitos dan fakta seputar KB yang umum beredar di masyarakat, disampaikan dengan pendekatan yang menghormati keyakinan dan latar budaya peserta.</w:t>
      </w:r>
    </w:p>
    <w:p>
      <w:pPr>
        <w:pStyle w:val="ListParagraph"/>
        <w:numPr>
          <w:ilvl w:val="0"/>
          <w:numId w:val="2"/>
        </w:numPr>
        <w:spacing w:after="100"/>
      </w:pPr>
      <w:r>
        <w:rPr>
          <w:rFonts w:ascii="IBM Plex Sans" w:cs="IBM Plex Sans" w:eastAsia="IBM Plex Sans" w:hAnsi="IBM Plex Sans"/>
          <w:color w:val="334155"/>
          <w:sz w:val="22"/>
          <w:szCs w:val="22"/>
        </w:rPr>
        <w:t xml:space="preserve">Hak reproduksi dan prinsip persetujuan tindakan medis (informed consent) sebelum tindakan dilakukan, termasuk hak peserta untuk menolak atau menghentikan penggunaan metode kapan pun.</w:t>
      </w:r>
    </w:p>
    <w:p>
      <w:pPr>
        <w:pStyle w:val="Heading2"/>
      </w:pPr>
      <w:r>
        <w:rPr>
          <w:rFonts w:ascii="Source Serif 4" w:cs="Source Serif 4" w:eastAsia="Source Serif 4" w:hAnsi="Source Serif 4"/>
          <w:color w:val="4F46E5"/>
          <w:sz w:val="26"/>
          <w:szCs w:val="26"/>
        </w:rPr>
        <w:t xml:space="preserve">5.2 Materi Konseling Individual</w:t>
      </w:r>
    </w:p>
    <w:p>
      <w:pPr>
        <w:pStyle w:val="ListParagraph"/>
        <w:numPr>
          <w:ilvl w:val="0"/>
          <w:numId w:val="2"/>
        </w:numPr>
        <w:spacing w:after="100"/>
      </w:pPr>
      <w:r>
        <w:rPr>
          <w:rFonts w:ascii="IBM Plex Sans" w:cs="IBM Plex Sans" w:eastAsia="IBM Plex Sans" w:hAnsi="IBM Plex Sans"/>
          <w:color w:val="334155"/>
          <w:sz w:val="22"/>
          <w:szCs w:val="22"/>
        </w:rPr>
        <w:t xml:space="preserve">Penilaian preferensi, rencana jumlah anak, dan jarak kehamilan yang diinginkan menggunakan Alat Bantu Pengambilan Keputusan (ABPK) ber-KB atau perangkat setara.</w:t>
      </w:r>
    </w:p>
    <w:p>
      <w:pPr>
        <w:pStyle w:val="ListParagraph"/>
        <w:numPr>
          <w:ilvl w:val="0"/>
          <w:numId w:val="2"/>
        </w:numPr>
        <w:spacing w:after="100"/>
      </w:pPr>
      <w:r>
        <w:rPr>
          <w:rFonts w:ascii="IBM Plex Sans" w:cs="IBM Plex Sans" w:eastAsia="IBM Plex Sans" w:hAnsi="IBM Plex Sans"/>
          <w:color w:val="334155"/>
          <w:sz w:val="22"/>
          <w:szCs w:val="22"/>
        </w:rPr>
        <w:t xml:space="preserve">Penapisan riwayat kesehatan spesifik-metode dan identifikasi kontraindikasi berdasarkan kategori kelayakan medis (lihat Bagian 9).</w:t>
      </w:r>
    </w:p>
    <w:p>
      <w:pPr>
        <w:pStyle w:val="ListParagraph"/>
        <w:numPr>
          <w:ilvl w:val="0"/>
          <w:numId w:val="2"/>
        </w:numPr>
        <w:spacing w:after="100"/>
      </w:pPr>
      <w:r>
        <w:rPr>
          <w:rFonts w:ascii="IBM Plex Sans" w:cs="IBM Plex Sans" w:eastAsia="IBM Plex Sans" w:hAnsi="IBM Plex Sans"/>
          <w:color w:val="334155"/>
          <w:sz w:val="22"/>
          <w:szCs w:val="22"/>
        </w:rPr>
        <w:t xml:space="preserve">Penjelasan rinci metode terpilih: prosedur pemasangan/pemberian, efek samping yang mungkin timbul, tanda bahaya yang memerlukan kunjungan segera, dan jadwal kontrol/penggantian.</w:t>
      </w:r>
    </w:p>
    <w:p>
      <w:pPr>
        <w:pStyle w:val="ListParagraph"/>
        <w:numPr>
          <w:ilvl w:val="0"/>
          <w:numId w:val="2"/>
        </w:numPr>
        <w:spacing w:after="100"/>
      </w:pPr>
      <w:r>
        <w:rPr>
          <w:rFonts w:ascii="IBM Plex Sans" w:cs="IBM Plex Sans" w:eastAsia="IBM Plex Sans" w:hAnsi="IBM Plex Sans"/>
          <w:color w:val="334155"/>
          <w:sz w:val="22"/>
          <w:szCs w:val="22"/>
        </w:rPr>
        <w:t xml:space="preserve">Untuk peserta pascasalin/pascakeguguran: penjelasan tambahan mengenai metode yang sesuai dengan periode pascasalin (postpartum) atau pascakeguguran (post-abortion), termasuk kompatibilitas dengan menyusui.</w:t>
      </w:r>
    </w:p>
    <w:p>
      <w:pPr>
        <w:pStyle w:val="ListParagraph"/>
        <w:numPr>
          <w:ilvl w:val="0"/>
          <w:numId w:val="2"/>
        </w:numPr>
        <w:spacing w:after="100"/>
      </w:pPr>
      <w:r>
        <w:rPr>
          <w:rFonts w:ascii="IBM Plex Sans" w:cs="IBM Plex Sans" w:eastAsia="IBM Plex Sans" w:hAnsi="IBM Plex Sans"/>
          <w:color w:val="334155"/>
          <w:sz w:val="22"/>
          <w:szCs w:val="22"/>
        </w:rPr>
        <w:t xml:space="preserve">Untuk peserta yang mempertimbangkan sterilisasi: konseling mendalam tentang sifat permanen tindakan, termasuk waktu jeda pertimbangan yang memadai sebelum penjadwalan tindakan.</w:t>
      </w:r>
    </w:p>
    <w:p>
      <w:pPr>
        <w:pStyle w:val="Heading1"/>
      </w:pPr>
      <w:r>
        <w:rPr>
          <w:rFonts w:ascii="Source Serif 4" w:cs="Source Serif 4" w:eastAsia="Source Serif 4" w:hAnsi="Source Serif 4"/>
          <w:color w:val="4F46E5"/>
        </w:rPr>
        <w:t xml:space="preserve">6. Indikator Keberhasilan Program</w:t>
      </w:r>
    </w:p>
    <w:p>
      <w:pPr>
        <w:pStyle w:val="Heading2"/>
      </w:pPr>
      <w:r>
        <w:rPr>
          <w:rFonts w:ascii="Source Serif 4" w:cs="Source Serif 4" w:eastAsia="Source Serif 4" w:hAnsi="Source Serif 4"/>
          <w:color w:val="4F46E5"/>
          <w:sz w:val="26"/>
          <w:szCs w:val="26"/>
        </w:rPr>
        <w:t xml:space="preserve">6.1 Indikator Tingkat Individu Peserta</w:t>
      </w:r>
    </w:p>
    <w:p>
      <w:pPr>
        <w:pStyle w:val="ListParagraph"/>
        <w:numPr>
          <w:ilvl w:val="0"/>
          <w:numId w:val="2"/>
        </w:numPr>
        <w:spacing w:after="100"/>
      </w:pPr>
      <w:r>
        <w:rPr>
          <w:rFonts w:ascii="IBM Plex Sans" w:cs="IBM Plex Sans" w:eastAsia="IBM Plex Sans" w:hAnsi="IBM Plex Sans"/>
          <w:color w:val="334155"/>
          <w:sz w:val="22"/>
          <w:szCs w:val="22"/>
        </w:rPr>
        <w:t xml:space="preserve">Peserta memahami minimal satu metode kontrasepsi yang sesuai dengan kondisinya (dinilai melalui teach-back sederhana pasca-konseling).</w:t>
      </w:r>
    </w:p>
    <w:p>
      <w:pPr>
        <w:pStyle w:val="ListParagraph"/>
        <w:numPr>
          <w:ilvl w:val="0"/>
          <w:numId w:val="2"/>
        </w:numPr>
        <w:spacing w:after="100"/>
      </w:pPr>
      <w:r>
        <w:rPr>
          <w:rFonts w:ascii="IBM Plex Sans" w:cs="IBM Plex Sans" w:eastAsia="IBM Plex Sans" w:hAnsi="IBM Plex Sans"/>
          <w:color w:val="334155"/>
          <w:sz w:val="22"/>
          <w:szCs w:val="22"/>
        </w:rPr>
        <w:t xml:space="preserve">Peserta memperoleh metode kontrasepsi pilihan pada hari layanan bila memenuhi kelayakan medis, atau memperoleh rujukan/jadwal tindak lanjut yang jelas bila tidak.</w:t>
      </w:r>
    </w:p>
    <w:p>
      <w:pPr>
        <w:pStyle w:val="ListParagraph"/>
        <w:numPr>
          <w:ilvl w:val="0"/>
          <w:numId w:val="2"/>
        </w:numPr>
        <w:spacing w:after="100"/>
      </w:pPr>
      <w:r>
        <w:rPr>
          <w:rFonts w:ascii="IBM Plex Sans" w:cs="IBM Plex Sans" w:eastAsia="IBM Plex Sans" w:hAnsi="IBM Plex Sans"/>
          <w:color w:val="334155"/>
          <w:sz w:val="22"/>
          <w:szCs w:val="22"/>
        </w:rPr>
        <w:t xml:space="preserve">Peserta mengetahui tanda bahaya yang memerlukan kunjungan segera dan jadwal kontrol/kunjungan ulang.</w:t>
      </w:r>
    </w:p>
    <w:p>
      <w:pPr>
        <w:pStyle w:val="ListParagraph"/>
        <w:numPr>
          <w:ilvl w:val="0"/>
          <w:numId w:val="2"/>
        </w:numPr>
        <w:spacing w:after="100"/>
      </w:pPr>
      <w:r>
        <w:rPr>
          <w:rFonts w:ascii="IBM Plex Sans" w:cs="IBM Plex Sans" w:eastAsia="IBM Plex Sans" w:hAnsi="IBM Plex Sans"/>
          <w:color w:val="334155"/>
          <w:sz w:val="22"/>
          <w:szCs w:val="22"/>
        </w:rPr>
        <w:t xml:space="preserve">Kelengkapan dokumentasi persetujuan tindakan (informed consent) untuk setiap tindakan invasif yang dilakukan.</w:t>
      </w:r>
    </w:p>
    <w:p>
      <w:pPr>
        <w:pStyle w:val="Heading2"/>
      </w:pPr>
      <w:r>
        <w:rPr>
          <w:rFonts w:ascii="Source Serif 4" w:cs="Source Serif 4" w:eastAsia="Source Serif 4" w:hAnsi="Source Serif 4"/>
          <w:color w:val="4F46E5"/>
          <w:sz w:val="26"/>
          <w:szCs w:val="26"/>
        </w:rPr>
        <w:t xml:space="preserve">6.2 Indikator Tingkat Agregat/Populasi</w:t>
      </w:r>
    </w:p>
    <w:p>
      <w:pPr>
        <w:spacing w:after="160"/>
      </w:pPr>
      <w:r>
        <w:rPr>
          <w:rFonts w:ascii="IBM Plex Sans" w:cs="IBM Plex Sans" w:eastAsia="IBM Plex Sans" w:hAnsi="IBM Plex Sans"/>
          <w:color w:val="334155"/>
          <w:sz w:val="22"/>
          <w:szCs w:val="22"/>
        </w:rPr>
        <w:t xml:space="preserve">Indikator agregat memerlukan data dari sistem pencatatan dan pelaporan Program Bangga Kencana dan tidak dapat dinyatakan dalam angka baku tanpa rujukan pada laporan resmi terbaru, mengingat capaian program bersifat dinamis dan berbeda antarwilayah serta antarperiode pelaporan.</w:t>
      </w:r>
    </w:p>
    <w:p>
      <w:pPr>
        <w:pStyle w:val="ListParagraph"/>
        <w:numPr>
          <w:ilvl w:val="0"/>
          <w:numId w:val="2"/>
        </w:numPr>
        <w:spacing w:after="100"/>
      </w:pPr>
      <w:r>
        <w:rPr>
          <w:rFonts w:ascii="IBM Plex Sans" w:cs="IBM Plex Sans" w:eastAsia="IBM Plex Sans" w:hAnsi="IBM Plex Sans"/>
          <w:color w:val="334155"/>
          <w:sz w:val="22"/>
          <w:szCs w:val="22"/>
        </w:rPr>
        <w:t xml:space="preserve">Cakupan kesertaan ber-KB (contraceptive prevalence rate) di wilayah sasaran [DATA: rujuk Pendataan Keluarga dan laporan kinerja resmi terbaru Kemendukbangga/BKKBN].</w:t>
      </w:r>
    </w:p>
    <w:p>
      <w:pPr>
        <w:pStyle w:val="ListParagraph"/>
        <w:numPr>
          <w:ilvl w:val="0"/>
          <w:numId w:val="2"/>
        </w:numPr>
        <w:spacing w:after="100"/>
      </w:pPr>
      <w:r>
        <w:rPr>
          <w:rFonts w:ascii="IBM Plex Sans" w:cs="IBM Plex Sans" w:eastAsia="IBM Plex Sans" w:hAnsi="IBM Plex Sans"/>
          <w:color w:val="334155"/>
          <w:sz w:val="22"/>
          <w:szCs w:val="22"/>
        </w:rPr>
        <w:t xml:space="preserve">Proporsi peserta baru MKJP terhadap total peserta baru per sesi [DATA: rujuk laporan/registri resmi terbaru Kemendukbangga/BKKBN].</w:t>
      </w:r>
    </w:p>
    <w:p>
      <w:pPr>
        <w:pStyle w:val="ListParagraph"/>
        <w:numPr>
          <w:ilvl w:val="0"/>
          <w:numId w:val="2"/>
        </w:numPr>
        <w:spacing w:after="100"/>
      </w:pPr>
      <w:r>
        <w:rPr>
          <w:rFonts w:ascii="IBM Plex Sans" w:cs="IBM Plex Sans" w:eastAsia="IBM Plex Sans" w:hAnsi="IBM Plex Sans"/>
          <w:color w:val="334155"/>
          <w:sz w:val="22"/>
          <w:szCs w:val="22"/>
        </w:rPr>
        <w:t xml:space="preserve">Penurunan kebutuhan ber-KB yang tidak terpenuhi (unmet need for family planning) di wilayah sasaran dari waktu ke waktu [DATA: rujuk laporan/registri resmi terbaru Kemendukbangga/BKKBN atau Survei Demografi dan Kesehatan Indonesia edisi terkini].</w:t>
      </w:r>
    </w:p>
    <w:p>
      <w:pPr>
        <w:pStyle w:val="ListParagraph"/>
        <w:numPr>
          <w:ilvl w:val="0"/>
          <w:numId w:val="2"/>
        </w:numPr>
        <w:spacing w:after="100"/>
      </w:pPr>
      <w:r>
        <w:rPr>
          <w:rFonts w:ascii="IBM Plex Sans" w:cs="IBM Plex Sans" w:eastAsia="IBM Plex Sans" w:hAnsi="IBM Plex Sans"/>
          <w:color w:val="334155"/>
          <w:sz w:val="22"/>
          <w:szCs w:val="22"/>
        </w:rPr>
        <w:t xml:space="preserve">Proporsi peserta yang dirujuk ke PPK-070 karena ditemukan kasus individual berisiko, sebagai indikator fungsi penapisan sesi kelompok.</w:t>
      </w:r>
    </w:p>
    <w:p>
      <w:pPr>
        <w:pStyle w:val="ListParagraph"/>
        <w:numPr>
          <w:ilvl w:val="0"/>
          <w:numId w:val="2"/>
        </w:numPr>
        <w:spacing w:after="100"/>
      </w:pPr>
      <w:r>
        <w:rPr>
          <w:rFonts w:ascii="IBM Plex Sans" w:cs="IBM Plex Sans" w:eastAsia="IBM Plex Sans" w:hAnsi="IBM Plex Sans"/>
          <w:color w:val="334155"/>
          <w:sz w:val="22"/>
          <w:szCs w:val="22"/>
        </w:rPr>
        <w:t xml:space="preserve">Tingkat keberlanjutan (continuation rate) dan tingkat putus pakai (drop-out rate) penggunaan metode pada kunjungan kontrol berikutnya, dipantau melalui register kohort KB.</w:t>
      </w:r>
    </w:p>
    <w:p>
      <w:pPr>
        <w:pStyle w:val="Heading1"/>
      </w:pPr>
      <w:r>
        <w:rPr>
          <w:rFonts w:ascii="Source Serif 4" w:cs="Source Serif 4" w:eastAsia="Source Serif 4" w:hAnsi="Source Serif 4"/>
          <w:color w:val="4F46E5"/>
        </w:rPr>
        <w:t xml:space="preserve">7. Kriteria dan Alur Rujukan Bila Ditemukan Kasus Individual Berisiko</w:t>
      </w:r>
    </w:p>
    <w:p>
      <w:pPr>
        <w:spacing w:after="160"/>
      </w:pPr>
      <w:r>
        <w:rPr>
          <w:rFonts w:ascii="IBM Plex Sans" w:cs="IBM Plex Sans" w:eastAsia="IBM Plex Sans" w:hAnsi="IBM Plex Sans"/>
          <w:color w:val="334155"/>
          <w:sz w:val="22"/>
          <w:szCs w:val="22"/>
        </w:rPr>
        <w:t xml:space="preserve">Meskipun dirancang sebagai layanan berbasis kelompok, sesi ini wajib memuat mekanisme penapisan yang mampu mengidentifikasi peserta dengan kondisi individual berisiko dan merujuknya keluar dari alur kelompok menuju penanganan klinis individual sesuai PPK-070 (Kontrasepsi).</w:t>
      </w:r>
    </w:p>
    <w:p>
      <w:pPr>
        <w:pStyle w:val="Heading2"/>
      </w:pPr>
      <w:r>
        <w:rPr>
          <w:rFonts w:ascii="Source Serif 4" w:cs="Source Serif 4" w:eastAsia="Source Serif 4" w:hAnsi="Source Serif 4"/>
          <w:color w:val="4F46E5"/>
          <w:sz w:val="26"/>
          <w:szCs w:val="26"/>
        </w:rPr>
        <w:t xml:space="preserve">7.1 Kriteria Rujukan ke PPK-070</w:t>
      </w:r>
    </w:p>
    <w:p>
      <w:pPr>
        <w:pStyle w:val="ListParagraph"/>
        <w:numPr>
          <w:ilvl w:val="0"/>
          <w:numId w:val="2"/>
        </w:numPr>
        <w:spacing w:after="100"/>
      </w:pPr>
      <w:r>
        <w:rPr>
          <w:rFonts w:ascii="IBM Plex Sans" w:cs="IBM Plex Sans" w:eastAsia="IBM Plex Sans" w:hAnsi="IBM Plex Sans"/>
          <w:color w:val="334155"/>
          <w:sz w:val="22"/>
          <w:szCs w:val="22"/>
        </w:rPr>
        <w:t xml:space="preserve">Kondisi medis dengan kategori kelayakan kontrasepsi yang memerlukan penilaian klinis individual mendalam sebelum metode dapat diberikan dengan aman (kategori 3 atau 4 menurut WHO Medical Eligibility Criteria — lihat Bagian 9.1).</w:t>
      </w:r>
    </w:p>
    <w:p>
      <w:pPr>
        <w:pStyle w:val="ListParagraph"/>
        <w:numPr>
          <w:ilvl w:val="0"/>
          <w:numId w:val="2"/>
        </w:numPr>
        <w:spacing w:after="100"/>
      </w:pPr>
      <w:r>
        <w:rPr>
          <w:rFonts w:ascii="IBM Plex Sans" w:cs="IBM Plex Sans" w:eastAsia="IBM Plex Sans" w:hAnsi="IBM Plex Sans"/>
          <w:color w:val="334155"/>
          <w:sz w:val="22"/>
          <w:szCs w:val="22"/>
        </w:rPr>
        <w:t xml:space="preserve">Kecurigaan komplikasi terkait metode kontrasepsi yang sedang digunakan (mis. perdarahan tidak teratur berat, kecurigaan ekspulsi/malposisi AKDR, tanda infeksi).</w:t>
      </w:r>
    </w:p>
    <w:p>
      <w:pPr>
        <w:pStyle w:val="ListParagraph"/>
        <w:numPr>
          <w:ilvl w:val="0"/>
          <w:numId w:val="2"/>
        </w:numPr>
        <w:spacing w:after="100"/>
      </w:pPr>
      <w:r>
        <w:rPr>
          <w:rFonts w:ascii="IBM Plex Sans" w:cs="IBM Plex Sans" w:eastAsia="IBM Plex Sans" w:hAnsi="IBM Plex Sans"/>
          <w:color w:val="334155"/>
          <w:sz w:val="22"/>
          <w:szCs w:val="22"/>
        </w:rPr>
        <w:t xml:space="preserve">Kegagalan metode kontrasepsi dan kebutuhan kontrasepsi darurat, termasuk pada kasus kegagalan penggunaan kontrasepsi atau riwayat kekerasan seksual.</w:t>
      </w:r>
    </w:p>
    <w:p>
      <w:pPr>
        <w:pStyle w:val="ListParagraph"/>
        <w:numPr>
          <w:ilvl w:val="0"/>
          <w:numId w:val="2"/>
        </w:numPr>
        <w:spacing w:after="100"/>
      </w:pPr>
      <w:r>
        <w:rPr>
          <w:rFonts w:ascii="IBM Plex Sans" w:cs="IBM Plex Sans" w:eastAsia="IBM Plex Sans" w:hAnsi="IBM Plex Sans"/>
          <w:color w:val="334155"/>
          <w:sz w:val="22"/>
          <w:szCs w:val="22"/>
        </w:rPr>
        <w:t xml:space="preserve">Kecurigaan kehamilan yang memerlukan konfirmasi dan tata laksana lebih lanjut.</w:t>
      </w:r>
    </w:p>
    <w:p>
      <w:pPr>
        <w:pStyle w:val="ListParagraph"/>
        <w:numPr>
          <w:ilvl w:val="0"/>
          <w:numId w:val="2"/>
        </w:numPr>
        <w:spacing w:after="100"/>
      </w:pPr>
      <w:r>
        <w:rPr>
          <w:rFonts w:ascii="IBM Plex Sans" w:cs="IBM Plex Sans" w:eastAsia="IBM Plex Sans" w:hAnsi="IBM Plex Sans"/>
          <w:color w:val="334155"/>
          <w:sz w:val="22"/>
          <w:szCs w:val="22"/>
        </w:rPr>
        <w:t xml:space="preserve">Permintaan sterilisasi (tubektomi/vasektomi) yang memerlukan konseling mendalam, penilaian mediko-legal (persetujuan sesuai ketentuan yang berlaku, usia, paritas), dan penjadwalan tindakan di fasilitas yang memadai.</w:t>
      </w:r>
    </w:p>
    <w:p>
      <w:pPr>
        <w:pStyle w:val="Heading2"/>
      </w:pPr>
      <w:r>
        <w:rPr>
          <w:rFonts w:ascii="Source Serif 4" w:cs="Source Serif 4" w:eastAsia="Source Serif 4" w:hAnsi="Source Serif 4"/>
          <w:color w:val="4F46E5"/>
          <w:sz w:val="26"/>
          <w:szCs w:val="26"/>
        </w:rPr>
        <w:t xml:space="preserve">7.2 Alur Rujukan</w:t>
      </w:r>
    </w:p>
    <w:p>
      <w:pPr>
        <w:spacing w:after="160"/>
      </w:pPr>
      <w:r>
        <w:rPr>
          <w:rFonts w:ascii="IBM Plex Sans" w:cs="IBM Plex Sans" w:eastAsia="IBM Plex Sans" w:hAnsi="IBM Plex Sans"/>
          <w:color w:val="334155"/>
          <w:sz w:val="22"/>
          <w:szCs w:val="22"/>
        </w:rPr>
        <w:t xml:space="preserve">Peserta yang teridentifikasi memenuhi salah satu kriteria pada 7.1, baik pada tahap skrining awal, konseling individual, maupun penapisan kelayakan medis, dialihkan dari alur kelompok menuju jalur individual berikut: (1) pencatatan temuan pada formulir rujukan internal; (2) konsultasi langsung dengan SpOG penanggung jawab sesi bila tersedia di tempat, atau penjadwalan kunjungan lanjutan ke fasilitas rujukan; (3) pelaksanaan tata laksana individual mengikuti PPK-070 — Kontrasepsi, mencakup anamnesis, pemeriksaan fisik, kriteria diagnosis, dan tata laksana sesuai format PNPK; (4) umpan balik hasil rujukan dicatat kembali ke register kohort KB komunitas untuk kesinambungan pemantauan.</w:t>
      </w:r>
    </w:p>
    <w:p>
      <w:pPr>
        <w:pStyle w:val="Heading1"/>
      </w:pPr>
      <w:r>
        <w:rPr>
          <w:rFonts w:ascii="Source Serif 4" w:cs="Source Serif 4" w:eastAsia="Source Serif 4" w:hAnsi="Source Serif 4"/>
          <w:color w:val="4F46E5"/>
        </w:rPr>
        <w:t xml:space="preserve">8. Dasar Regulasi dan Rujukan Program Nasional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FDE4C0" w:sz="2"/>
              <w:left w:val="single" w:color="B45309" w:sz="24"/>
              <w:bottom w:val="single" w:color="FDE4C0" w:sz="2"/>
              <w:right w:val="single" w:color="FDE4C0" w:sz="2"/>
            </w:tcBorders>
            <w:shd w:fill="FFF7ED" w:val="clear"/>
            <w:tcMar>
              <w:top w:type="dxa" w:w="120"/>
              <w:left w:type="dxa" w:w="160"/>
              <w:bottom w:type="dxa" w:w="120"/>
              <w:right w:type="dxa" w:w="160"/>
            </w:tcMar>
          </w:tcPr>
          <w:p>
            <w:pPr>
              <w:spacing w:after="80"/>
            </w:pPr>
            <w:r>
              <w:rPr>
                <w:rFonts w:ascii="IBM Plex Sans" w:cs="IBM Plex Sans" w:eastAsia="IBM Plex Sans" w:hAnsi="IBM Plex Sans"/>
                <w:b/>
                <w:bCs/>
                <w:color w:val="B45309"/>
                <w:sz w:val="20"/>
                <w:szCs w:val="20"/>
              </w:rPr>
              <w:t xml:space="preserve">DASAR REGULASI</w:t>
            </w:r>
          </w:p>
          <w:p>
            <w:pPr>
              <w:spacing w:after="60"/>
            </w:pPr>
            <w:r>
              <w:rPr>
                <w:rFonts w:ascii="IBM Plex Sans" w:cs="IBM Plex Sans" w:eastAsia="IBM Plex Sans" w:hAnsi="IBM Plex Sans"/>
                <w:color w:val="334155"/>
                <w:sz w:val="20"/>
                <w:szCs w:val="20"/>
              </w:rPr>
              <w:t xml:space="preserve">Tabel 7 No. 70 Kepkonsil (Keputusan Ketua Konsil Kesehatan Indonesia No. HK.01.02/KKI/1318/2026): "Kontrasepsi (Contraception)", kode ICD-10 Z30, ICD-11 QA21.1, dengan keterangan populasi "Pengaturan fertilitas, wanita usia reproduksi".</w:t>
            </w:r>
          </w:p>
          <w:p>
            <w:pPr>
              <w:spacing w:after="60"/>
            </w:pPr>
            <w:r>
              <w:rPr>
                <w:rFonts w:ascii="IBM Plex Sans" w:cs="IBM Plex Sans" w:eastAsia="IBM Plex Sans" w:hAnsi="IBM Plex Sans"/>
                <w:color w:val="334155"/>
                <w:sz w:val="20"/>
                <w:szCs w:val="20"/>
              </w:rPr>
              <w:t xml:space="preserve">Peraturan Menteri Kesehatan Nomor 2 Tahun 2025 tentang Penyelenggaraan Upaya Kesehatan Reproduksi, sebagai peraturan teknis yang berlaku saat ini bagi penyelenggaraan pelayanan kontrasepsi di fasilitas pelayanan kesehatan.</w:t>
            </w:r>
          </w:p>
          <w:p>
            <w:pPr>
              <w:spacing w:after="60"/>
            </w:pPr>
            <w:r>
              <w:rPr>
                <w:rFonts w:ascii="IBM Plex Sans" w:cs="IBM Plex Sans" w:eastAsia="IBM Plex Sans" w:hAnsi="IBM Plex Sans"/>
                <w:color w:val="334155"/>
                <w:sz w:val="20"/>
                <w:szCs w:val="20"/>
              </w:rPr>
              <w:t xml:space="preserve">Program Pembangunan Keluarga, Kependudukan, dan Keluarga Berencana (Program Bangga Kencana) yang diselenggarakan oleh Kemendukbangga/BKKBN sebagai kerangka program di mana kegiatan pelayanan KB berbasis kelompok/safari KB dilaksanakan di tingkat kabupaten/kota dan desa.</w:t>
            </w:r>
          </w:p>
        </w:tc>
      </w:tr>
    </w:tbl>
    <w:p>
      <w:pPr>
        <w:spacing w:after="120"/>
      </w:pPr>
    </w:p>
    <w:p>
      <w:pPr>
        <w:pStyle w:val="Heading2"/>
      </w:pPr>
      <w:r>
        <w:rPr>
          <w:rFonts w:ascii="Source Serif 4" w:cs="Source Serif 4" w:eastAsia="Source Serif 4" w:hAnsi="Source Serif 4"/>
          <w:color w:val="4F46E5"/>
          <w:sz w:val="26"/>
          <w:szCs w:val="26"/>
        </w:rPr>
        <w:t xml:space="preserve">8.1 Kerangka Regulasi Nasional</w:t>
      </w:r>
    </w:p>
    <w:p>
      <w:pPr>
        <w:spacing w:after="160"/>
      </w:pPr>
      <w:r>
        <w:rPr>
          <w:rFonts w:ascii="IBM Plex Sans" w:cs="IBM Plex Sans" w:eastAsia="IBM Plex Sans" w:hAnsi="IBM Plex Sans"/>
          <w:color w:val="334155"/>
          <w:sz w:val="22"/>
          <w:szCs w:val="22"/>
        </w:rPr>
        <w:t xml:space="preserve">Penyelenggaraan pelayanan KB di Indonesia bertumpu pada Undang-Undang Nomor 52 Tahun 2009 tentang Perkembangan Kependudukan dan Pembangunan Keluarga, yang menjadi dasar hukum pembentukan lembaga pelaksana program keluarga berencana nasional. Sejak terbitnya Keputusan Presiden Nomor 180 Tahun 2024 dan Keputusan Presiden Nomor 181 Tahun 2024, penyelenggaraan urusan kependudukan dan keluarga berencana dilaksanakan oleh Kementerian Kependudukan dan Pembangunan Keluarga bersama Badan Kependudukan dan Keluarga Berencana Nasional (Kemendukbangga/BKKBN) sebagai satu kesatuan kelembagaan.</w:t>
      </w:r>
    </w:p>
    <w:p>
      <w:pPr>
        <w:spacing w:after="160"/>
      </w:pPr>
      <w:r>
        <w:rPr>
          <w:rFonts w:ascii="IBM Plex Sans" w:cs="IBM Plex Sans" w:eastAsia="IBM Plex Sans" w:hAnsi="IBM Plex Sans"/>
          <w:color w:val="334155"/>
          <w:sz w:val="22"/>
          <w:szCs w:val="22"/>
        </w:rPr>
        <w:t xml:space="preserve">Pelaksanaan teknis pelayanan kontrasepsi di fasilitas kesehatan diatur dalam Peraturan Menteri Kesehatan Nomor 2 Tahun 2025 tentang Penyelenggaraan Upaya Kesehatan Reproduksi, yang diterbitkan sebagai peraturan pelaksana Peraturan Pemerintah Nomor 28 Tahun 2024 tentang Peraturan Pelaksanaan Undang-Undang Nomor 17 Tahun 2023 tentang Kesehatan. Peraturan ini menggantikan Peraturan Menteri Kesehatan Nomor 21 Tahun 2021 (yang sebelumnya menggantikan Peraturan Menteri Kesehatan Nomor 97 Tahun 2014) dan menjadi acuan teknis yang berlaku bagi pelayanan pengaturan kehamilan, termasuk penyediaan dan pemberian kontrasepsi, pada saat dokumen ini disusun. Sementara itu, kompetensi klinis penyedia layanan spesialistik tunduk pada Kepkonsil sebagaimana dikutip di atas.</w:t>
      </w:r>
    </w:p>
    <w:p>
      <w:pPr>
        <w:spacing w:after="160"/>
      </w:pPr>
      <w:r>
        <w:rPr>
          <w:rFonts w:ascii="IBM Plex Sans" w:cs="IBM Plex Sans" w:eastAsia="IBM Plex Sans" w:hAnsi="IBM Plex Sans"/>
          <w:color w:val="334155"/>
          <w:sz w:val="22"/>
          <w:szCs w:val="22"/>
        </w:rPr>
        <w:t xml:space="preserve">Kegiatan safari KB/pelayanan KB bergerak merupakan salah satu strategi operasional Program Bangga Kencana untuk memperluas akses pelayanan kontrasepsi ke wilayah dengan keterbatasan fasilitas kesehatan tetap, umumnya diselenggarakan bekerja sama dengan Dinas Kesehatan, organisasi profesi (termasuk Perkumpulan Obstetri dan Ginekologi Indonesia/POGI), dan jejaring kader di tingkat desa/kelurahan.</w:t>
      </w:r>
    </w:p>
    <w:p>
      <w:pPr>
        <w:pStyle w:val="Heading1"/>
      </w:pPr>
      <w:r>
        <w:rPr>
          <w:rFonts w:ascii="Source Serif 4" w:cs="Source Serif 4" w:eastAsia="Source Serif 4" w:hAnsi="Source Serif 4"/>
          <w:color w:val="4F46E5"/>
        </w:rPr>
        <w:t xml:space="preserve">9. Perbandingan dan Pengayaan Standar Internasional</w:t>
      </w:r>
    </w:p>
    <w:p>
      <w:pPr>
        <w:spacing w:after="160"/>
      </w:pPr>
      <w:r>
        <w:rPr>
          <w:rFonts w:ascii="IBM Plex Sans" w:cs="IBM Plex Sans" w:eastAsia="IBM Plex Sans" w:hAnsi="IBM Plex Sans"/>
          <w:color w:val="334155"/>
          <w:sz w:val="22"/>
          <w:szCs w:val="22"/>
        </w:rPr>
        <w:t xml:space="preserve">Sesuai Aturan 2 Perintah Umum, bagian ini memuat pembandingan non-superior terhadap standar internasional. Standar nasional (Kepkonsil, Permenkes No. 2 Tahun 2025, dan Program Bangga Kencana) tetap menjadi acuan utama pelaksanaan; standar internasional berikut berfungsi memperkaya, bukan menggantikan.</w:t>
      </w:r>
    </w:p>
    <w:p>
      <w:pPr>
        <w:pStyle w:val="Heading2"/>
      </w:pPr>
      <w:r>
        <w:rPr>
          <w:rFonts w:ascii="Source Serif 4" w:cs="Source Serif 4" w:eastAsia="Source Serif 4" w:hAnsi="Source Serif 4"/>
          <w:color w:val="4F46E5"/>
          <w:sz w:val="26"/>
          <w:szCs w:val="26"/>
        </w:rPr>
        <w:t xml:space="preserve">9.1 WHO Medical Eligibility Criteria for Contraceptive Use</w:t>
      </w:r>
    </w:p>
    <w:p>
      <w:pPr>
        <w:spacing w:after="160"/>
      </w:pPr>
      <w:r>
        <w:rPr>
          <w:rFonts w:ascii="IBM Plex Sans" w:cs="IBM Plex Sans" w:eastAsia="IBM Plex Sans" w:hAnsi="IBM Plex Sans"/>
          <w:color w:val="334155"/>
          <w:sz w:val="22"/>
          <w:szCs w:val="22"/>
        </w:rPr>
        <w:t xml:space="preserve">Standar nasional menetapkan penapisan kelayakan medis dasar (tekanan darah, riwayat penyakit, indeks massa tubuh) sebagai bagian dari tahap penapisan pada sesi kelompok (Bagian 3, Tahap 4). Standar internasional Medical Eligibility Criteria for Contraceptive Use edisi keenam (World Health Organization, 2025) merekomendasikan klasifikasi kelayakan empat kategori untuk setiap kombinasi metode kontrasepsi dan kondisi medis spesifik: kategori 1 (tidak ada pembatasan penggunaan), kategori 2 (keuntungan penggunaan pada umumnya melebihi risiko teoretis atau risiko yang telah terbukti), kategori 3 (risiko teoretis atau risiko yang telah terbukti pada umumnya melebihi keuntungan penggunaan, memerlukan penilaian klinis mendalam), dan kategori 4 (risiko kesehatan yang tidak dapat diterima bila metode digunakan). Kerangka ini lebih granular dibandingkan penapisan dasar berbasis kelompok. Praktik di Indonesia mengikuti standar nasional untuk penapisan tingkat komunitas, dengan kasus yang termasuk kategori 3 atau 4 dirujuk ke tata laksana individual (PPK-070) sesuai Bagian 7.</w:t>
      </w:r>
    </w:p>
    <w:p>
      <w:pPr>
        <w:pStyle w:val="Heading2"/>
      </w:pPr>
      <w:r>
        <w:rPr>
          <w:rFonts w:ascii="Source Serif 4" w:cs="Source Serif 4" w:eastAsia="Source Serif 4" w:hAnsi="Source Serif 4"/>
          <w:color w:val="4F46E5"/>
          <w:sz w:val="26"/>
          <w:szCs w:val="26"/>
        </w:rPr>
        <w:t xml:space="preserve">9.2 Pernyataan Bersama FIGO-ICM mengenai Kontrasepsi</w:t>
      </w:r>
    </w:p>
    <w:p>
      <w:pPr>
        <w:spacing w:after="160"/>
      </w:pPr>
      <w:r>
        <w:rPr>
          <w:rFonts w:ascii="IBM Plex Sans" w:cs="IBM Plex Sans" w:eastAsia="IBM Plex Sans" w:hAnsi="IBM Plex Sans"/>
          <w:color w:val="334155"/>
          <w:sz w:val="22"/>
          <w:szCs w:val="22"/>
        </w:rPr>
        <w:t xml:space="preserve">International Federation of Gynecology and Obstetrics (FIGO) bersama International Confederation of Midwives (ICM) menerbitkan pernyataan bersama mengenai kontrasepsi (FIGO-ICM Joint Statement on Contraception) yang menekankan pentingnya akses kontrasepsi berbasis hak (rights-based access), konseling yang menghormati otonomi pengambilan keputusan, penguatan jalur rujukan antara bidan dan dokter spesialis obstetri-ginekologi, serta kolaborasi lintas profesi dalam penyediaan layanan KB. Prinsip ini selaras dengan pendekatan informed choice yang menjadi inti konseling individual dalam sesi kelompok pada dokumen ini (Bagian 5.2), sekaligus dengan pembagian peran bertingkat antara SpOG, PPDS, bidan/perawat, dan kader pada Bagian 4. Standar nasional dan pernyataan FIGO-ICM ini tidak menunjukkan perbedaan substantif pada prinsip; perbedaan yang mungkin timbul lebih bersifat operasional pada ketersediaan metode dan tenaga kesehatan di wilayah dengan sumber daya terbatas, di mana praktik di Indonesia mengikuti prioritas dan ketersediaan Program Bangga Kencana.</w:t>
      </w:r>
    </w:p>
    <w:p>
      <w:r>
        <w:br w:type="page"/>
      </w:r>
    </w:p>
    <w:p>
      <w:pPr>
        <w:pStyle w:val="Heading1"/>
      </w:pPr>
      <w:r>
        <w:rPr>
          <w:rFonts w:ascii="Source Serif 4" w:cs="Source Serif 4" w:eastAsia="Source Serif 4" w:hAnsi="Source Serif 4"/>
          <w:color w:val="4F46E5"/>
        </w:rPr>
        <w:t xml:space="preserve">Glosarium Dwibahasa</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300"/>
        <w:gridCol w:w="2300"/>
        <w:gridCol w:w="4750"/>
      </w:tblGrid>
      <w:tr>
        <w:trPr>
          <w:tblHeader/>
        </w:trPr>
        <w:tc>
          <w:tcPr>
            <w:tcW w:type="dxa" w:w="2300"/>
            <w:shd w:fill="4F46E5" w:val="clear"/>
          </w:tcPr>
          <w:p>
            <w:r>
              <w:rPr>
                <w:rFonts w:ascii="IBM Plex Sans" w:cs="IBM Plex Sans" w:eastAsia="IBM Plex Sans" w:hAnsi="IBM Plex Sans"/>
                <w:b/>
                <w:bCs/>
                <w:color w:val="FFFFFF"/>
                <w:sz w:val="20"/>
                <w:szCs w:val="20"/>
              </w:rPr>
              <w:t xml:space="preserve">Istilah (Indonesia)</w:t>
            </w:r>
          </w:p>
        </w:tc>
        <w:tc>
          <w:tcPr>
            <w:tcW w:type="dxa" w:w="2300"/>
            <w:shd w:fill="4F46E5" w:val="clear"/>
          </w:tcPr>
          <w:p>
            <w:r>
              <w:rPr>
                <w:rFonts w:ascii="IBM Plex Sans" w:cs="IBM Plex Sans" w:eastAsia="IBM Plex Sans" w:hAnsi="IBM Plex Sans"/>
                <w:b/>
                <w:bCs/>
                <w:color w:val="FFFFFF"/>
                <w:sz w:val="20"/>
                <w:szCs w:val="20"/>
              </w:rPr>
              <w:t xml:space="preserve">Term (English)</w:t>
            </w:r>
          </w:p>
        </w:tc>
        <w:tc>
          <w:tcPr>
            <w:tcW w:type="dxa" w:w="4750"/>
            <w:shd w:fill="4F46E5" w:val="clear"/>
          </w:tcPr>
          <w:p>
            <w:r>
              <w:rPr>
                <w:rFonts w:ascii="IBM Plex Sans" w:cs="IBM Plex Sans" w:eastAsia="IBM Plex Sans" w:hAnsi="IBM Plex Sans"/>
                <w:b/>
                <w:bCs/>
                <w:color w:val="FFFFFF"/>
                <w:sz w:val="20"/>
                <w:szCs w:val="20"/>
              </w:rPr>
              <w:t xml:space="preserve">Definisi</w:t>
            </w:r>
          </w:p>
        </w:tc>
      </w:tr>
      <w:tr>
        <w:tc>
          <w:tcPr>
            <w:tcW w:type="dxa" w:w="2300"/>
          </w:tcPr>
          <w:p>
            <w:r>
              <w:rPr>
                <w:rFonts w:ascii="IBM Plex Sans" w:cs="IBM Plex Sans" w:eastAsia="IBM Plex Sans" w:hAnsi="IBM Plex Sans"/>
                <w:b/>
                <w:bCs/>
                <w:color w:val="334155"/>
                <w:sz w:val="20"/>
                <w:szCs w:val="20"/>
              </w:rPr>
              <w:t xml:space="preserve">Pasangan Usia Subur (PUS)</w:t>
            </w:r>
          </w:p>
        </w:tc>
        <w:tc>
          <w:tcPr>
            <w:tcW w:type="dxa" w:w="2300"/>
          </w:tcPr>
          <w:p>
            <w:r>
              <w:rPr>
                <w:rFonts w:ascii="IBM Plex Mono" w:cs="IBM Plex Mono" w:eastAsia="IBM Plex Mono" w:hAnsi="IBM Plex Mono"/>
                <w:i/>
                <w:iCs/>
                <w:color w:val="B45309"/>
                <w:sz w:val="18"/>
                <w:szCs w:val="18"/>
              </w:rPr>
              <w:t xml:space="preserve">Couple of Reproductive Age (CRA)</w:t>
            </w:r>
          </w:p>
        </w:tc>
        <w:tc>
          <w:tcPr>
            <w:tcW w:type="dxa" w:w="4750"/>
          </w:tcPr>
          <w:p>
            <w:r>
              <w:rPr>
                <w:rFonts w:ascii="IBM Plex Sans" w:cs="IBM Plex Sans" w:eastAsia="IBM Plex Sans" w:hAnsi="IBM Plex Sans"/>
                <w:color w:val="334155"/>
                <w:sz w:val="20"/>
                <w:szCs w:val="20"/>
              </w:rPr>
              <w:t xml:space="preserve">Pasangan suami-istri yang istrinya berusia 15–49 tahun dan berpotensi untuk hamil.</w:t>
            </w:r>
          </w:p>
        </w:tc>
      </w:tr>
      <w:tr>
        <w:tc>
          <w:tcPr>
            <w:tcW w:type="dxa" w:w="2300"/>
            <w:shd w:fill="F1F5F9" w:val="clear"/>
          </w:tcPr>
          <w:p>
            <w:r>
              <w:rPr>
                <w:rFonts w:ascii="IBM Plex Sans" w:cs="IBM Plex Sans" w:eastAsia="IBM Plex Sans" w:hAnsi="IBM Plex Sans"/>
                <w:b/>
                <w:bCs/>
                <w:color w:val="334155"/>
                <w:sz w:val="20"/>
                <w:szCs w:val="20"/>
              </w:rPr>
              <w:t xml:space="preserve">Metode Kontrasepsi Jangka Panjang (MKJP)</w:t>
            </w:r>
          </w:p>
        </w:tc>
        <w:tc>
          <w:tcPr>
            <w:tcW w:type="dxa" w:w="2300"/>
            <w:shd w:fill="F1F5F9" w:val="clear"/>
          </w:tcPr>
          <w:p>
            <w:r>
              <w:rPr>
                <w:rFonts w:ascii="IBM Plex Mono" w:cs="IBM Plex Mono" w:eastAsia="IBM Plex Mono" w:hAnsi="IBM Plex Mono"/>
                <w:i/>
                <w:iCs/>
                <w:color w:val="B45309"/>
                <w:sz w:val="18"/>
                <w:szCs w:val="18"/>
              </w:rPr>
              <w:t xml:space="preserve">Long-Acting Reversible Contraception (LARC)</w:t>
            </w:r>
          </w:p>
        </w:tc>
        <w:tc>
          <w:tcPr>
            <w:tcW w:type="dxa" w:w="4750"/>
            <w:shd w:fill="F1F5F9" w:val="clear"/>
          </w:tcPr>
          <w:p>
            <w:r>
              <w:rPr>
                <w:rFonts w:ascii="IBM Plex Sans" w:cs="IBM Plex Sans" w:eastAsia="IBM Plex Sans" w:hAnsi="IBM Plex Sans"/>
                <w:color w:val="334155"/>
                <w:sz w:val="20"/>
                <w:szCs w:val="20"/>
              </w:rPr>
              <w:t xml:space="preserve">Metode kontrasepsi dengan durasi efektivitas panjang tanpa memerlukan tindakan berulang oleh pengguna, meliputi AKDR/IUD, implan, dan metode permanen (tubektomi, vasektomi).</w:t>
            </w:r>
          </w:p>
        </w:tc>
      </w:tr>
      <w:tr>
        <w:tc>
          <w:tcPr>
            <w:tcW w:type="dxa" w:w="2300"/>
          </w:tcPr>
          <w:p>
            <w:r>
              <w:rPr>
                <w:rFonts w:ascii="IBM Plex Sans" w:cs="IBM Plex Sans" w:eastAsia="IBM Plex Sans" w:hAnsi="IBM Plex Sans"/>
                <w:b/>
                <w:bCs/>
                <w:color w:val="334155"/>
                <w:sz w:val="20"/>
                <w:szCs w:val="20"/>
              </w:rPr>
              <w:t xml:space="preserve">Cakupan Kesertaan ber-KB</w:t>
            </w:r>
          </w:p>
        </w:tc>
        <w:tc>
          <w:tcPr>
            <w:tcW w:type="dxa" w:w="2300"/>
          </w:tcPr>
          <w:p>
            <w:r>
              <w:rPr>
                <w:rFonts w:ascii="IBM Plex Mono" w:cs="IBM Plex Mono" w:eastAsia="IBM Plex Mono" w:hAnsi="IBM Plex Mono"/>
                <w:i/>
                <w:iCs/>
                <w:color w:val="B45309"/>
                <w:sz w:val="18"/>
                <w:szCs w:val="18"/>
              </w:rPr>
              <w:t xml:space="preserve">Contraceptive Prevalence Rate (CPR)</w:t>
            </w:r>
          </w:p>
        </w:tc>
        <w:tc>
          <w:tcPr>
            <w:tcW w:type="dxa" w:w="4750"/>
          </w:tcPr>
          <w:p>
            <w:r>
              <w:rPr>
                <w:rFonts w:ascii="IBM Plex Sans" w:cs="IBM Plex Sans" w:eastAsia="IBM Plex Sans" w:hAnsi="IBM Plex Sans"/>
                <w:color w:val="334155"/>
                <w:sz w:val="20"/>
                <w:szCs w:val="20"/>
              </w:rPr>
              <w:t xml:space="preserve">Proporsi pasangan usia subur yang sedang menggunakan salah satu metode kontrasepsi pada suatu waktu.</w:t>
            </w:r>
          </w:p>
        </w:tc>
      </w:tr>
      <w:tr>
        <w:tc>
          <w:tcPr>
            <w:tcW w:type="dxa" w:w="2300"/>
            <w:shd w:fill="F1F5F9" w:val="clear"/>
          </w:tcPr>
          <w:p>
            <w:r>
              <w:rPr>
                <w:rFonts w:ascii="IBM Plex Sans" w:cs="IBM Plex Sans" w:eastAsia="IBM Plex Sans" w:hAnsi="IBM Plex Sans"/>
                <w:b/>
                <w:bCs/>
                <w:color w:val="334155"/>
                <w:sz w:val="20"/>
                <w:szCs w:val="20"/>
              </w:rPr>
              <w:t xml:space="preserve">Kebutuhan KB yang Tidak Terpenuhi</w:t>
            </w:r>
          </w:p>
        </w:tc>
        <w:tc>
          <w:tcPr>
            <w:tcW w:type="dxa" w:w="2300"/>
            <w:shd w:fill="F1F5F9" w:val="clear"/>
          </w:tcPr>
          <w:p>
            <w:r>
              <w:rPr>
                <w:rFonts w:ascii="IBM Plex Mono" w:cs="IBM Plex Mono" w:eastAsia="IBM Plex Mono" w:hAnsi="IBM Plex Mono"/>
                <w:i/>
                <w:iCs/>
                <w:color w:val="B45309"/>
                <w:sz w:val="18"/>
                <w:szCs w:val="18"/>
              </w:rPr>
              <w:t xml:space="preserve">Unmet Need for Family Planning</w:t>
            </w:r>
          </w:p>
        </w:tc>
        <w:tc>
          <w:tcPr>
            <w:tcW w:type="dxa" w:w="4750"/>
            <w:shd w:fill="F1F5F9" w:val="clear"/>
          </w:tcPr>
          <w:p>
            <w:r>
              <w:rPr>
                <w:rFonts w:ascii="IBM Plex Sans" w:cs="IBM Plex Sans" w:eastAsia="IBM Plex Sans" w:hAnsi="IBM Plex Sans"/>
                <w:color w:val="334155"/>
                <w:sz w:val="20"/>
                <w:szCs w:val="20"/>
              </w:rPr>
              <w:t xml:space="preserve">Kondisi pada wanita usia subur yang ingin menunda atau menghentikan kehamilan namun tidak menggunakan metode kontrasepsi apa pun.</w:t>
            </w:r>
          </w:p>
        </w:tc>
      </w:tr>
      <w:tr>
        <w:tc>
          <w:tcPr>
            <w:tcW w:type="dxa" w:w="2300"/>
          </w:tcPr>
          <w:p>
            <w:r>
              <w:rPr>
                <w:rFonts w:ascii="IBM Plex Sans" w:cs="IBM Plex Sans" w:eastAsia="IBM Plex Sans" w:hAnsi="IBM Plex Sans"/>
                <w:b/>
                <w:bCs/>
                <w:color w:val="334155"/>
                <w:sz w:val="20"/>
                <w:szCs w:val="20"/>
              </w:rPr>
              <w:t xml:space="preserve">Tingkat Putus Pakai Kontrasepsi</w:t>
            </w:r>
          </w:p>
        </w:tc>
        <w:tc>
          <w:tcPr>
            <w:tcW w:type="dxa" w:w="2300"/>
          </w:tcPr>
          <w:p>
            <w:r>
              <w:rPr>
                <w:rFonts w:ascii="IBM Plex Mono" w:cs="IBM Plex Mono" w:eastAsia="IBM Plex Mono" w:hAnsi="IBM Plex Mono"/>
                <w:i/>
                <w:iCs/>
                <w:color w:val="B45309"/>
                <w:sz w:val="18"/>
                <w:szCs w:val="18"/>
              </w:rPr>
              <w:t xml:space="preserve">Contraceptive Discontinuation/Drop-Out Rate</w:t>
            </w:r>
          </w:p>
        </w:tc>
        <w:tc>
          <w:tcPr>
            <w:tcW w:type="dxa" w:w="4750"/>
          </w:tcPr>
          <w:p>
            <w:r>
              <w:rPr>
                <w:rFonts w:ascii="IBM Plex Sans" w:cs="IBM Plex Sans" w:eastAsia="IBM Plex Sans" w:hAnsi="IBM Plex Sans"/>
                <w:color w:val="334155"/>
                <w:sz w:val="20"/>
                <w:szCs w:val="20"/>
              </w:rPr>
              <w:t xml:space="preserve">Proporsi peserta KB yang berhenti menggunakan suatu metode kontrasepsi dalam periode waktu tertentu, baik untuk berganti metode lain maupun berhenti ber-KB sama sekali.</w:t>
            </w:r>
          </w:p>
        </w:tc>
      </w:tr>
      <w:tr>
        <w:tc>
          <w:tcPr>
            <w:tcW w:type="dxa" w:w="2300"/>
            <w:shd w:fill="F1F5F9" w:val="clear"/>
          </w:tcPr>
          <w:p>
            <w:r>
              <w:rPr>
                <w:rFonts w:ascii="IBM Plex Sans" w:cs="IBM Plex Sans" w:eastAsia="IBM Plex Sans" w:hAnsi="IBM Plex Sans"/>
                <w:b/>
                <w:bCs/>
                <w:color w:val="334155"/>
                <w:sz w:val="20"/>
                <w:szCs w:val="20"/>
              </w:rPr>
              <w:t xml:space="preserve">Persetujuan Tindakan Medis</w:t>
            </w:r>
          </w:p>
        </w:tc>
        <w:tc>
          <w:tcPr>
            <w:tcW w:type="dxa" w:w="2300"/>
            <w:shd w:fill="F1F5F9" w:val="clear"/>
          </w:tcPr>
          <w:p>
            <w:r>
              <w:rPr>
                <w:rFonts w:ascii="IBM Plex Mono" w:cs="IBM Plex Mono" w:eastAsia="IBM Plex Mono" w:hAnsi="IBM Plex Mono"/>
                <w:i/>
                <w:iCs/>
                <w:color w:val="B45309"/>
                <w:sz w:val="18"/>
                <w:szCs w:val="18"/>
              </w:rPr>
              <w:t xml:space="preserve">Informed Consent</w:t>
            </w:r>
          </w:p>
        </w:tc>
        <w:tc>
          <w:tcPr>
            <w:tcW w:type="dxa" w:w="4750"/>
            <w:shd w:fill="F1F5F9" w:val="clear"/>
          </w:tcPr>
          <w:p>
            <w:r>
              <w:rPr>
                <w:rFonts w:ascii="IBM Plex Sans" w:cs="IBM Plex Sans" w:eastAsia="IBM Plex Sans" w:hAnsi="IBM Plex Sans"/>
                <w:color w:val="334155"/>
                <w:sz w:val="20"/>
                <w:szCs w:val="20"/>
              </w:rPr>
              <w:t xml:space="preserve">Persetujuan yang diberikan pasien/peserta setelah memperoleh informasi memadai tentang tindakan medis yang akan dilakukan, termasuk manfaat, risiko, dan alternatif.</w:t>
            </w:r>
          </w:p>
        </w:tc>
      </w:tr>
      <w:tr>
        <w:tc>
          <w:tcPr>
            <w:tcW w:type="dxa" w:w="2300"/>
          </w:tcPr>
          <w:p>
            <w:r>
              <w:rPr>
                <w:rFonts w:ascii="IBM Plex Sans" w:cs="IBM Plex Sans" w:eastAsia="IBM Plex Sans" w:hAnsi="IBM Plex Sans"/>
                <w:b/>
                <w:bCs/>
                <w:color w:val="334155"/>
                <w:sz w:val="20"/>
                <w:szCs w:val="20"/>
              </w:rPr>
              <w:t xml:space="preserve">Pengambilan Keputusan Berdasarkan Informasi</w:t>
            </w:r>
          </w:p>
        </w:tc>
        <w:tc>
          <w:tcPr>
            <w:tcW w:type="dxa" w:w="2300"/>
          </w:tcPr>
          <w:p>
            <w:r>
              <w:rPr>
                <w:rFonts w:ascii="IBM Plex Mono" w:cs="IBM Plex Mono" w:eastAsia="IBM Plex Mono" w:hAnsi="IBM Plex Mono"/>
                <w:i/>
                <w:iCs/>
                <w:color w:val="B45309"/>
                <w:sz w:val="18"/>
                <w:szCs w:val="18"/>
              </w:rPr>
              <w:t xml:space="preserve">Informed Choice</w:t>
            </w:r>
          </w:p>
        </w:tc>
        <w:tc>
          <w:tcPr>
            <w:tcW w:type="dxa" w:w="4750"/>
          </w:tcPr>
          <w:p>
            <w:r>
              <w:rPr>
                <w:rFonts w:ascii="IBM Plex Sans" w:cs="IBM Plex Sans" w:eastAsia="IBM Plex Sans" w:hAnsi="IBM Plex Sans"/>
                <w:color w:val="334155"/>
                <w:sz w:val="20"/>
                <w:szCs w:val="20"/>
              </w:rPr>
              <w:t xml:space="preserve">Prinsip konseling yang memastikan individu memilih metode kontrasepsi atas dasar pemahaman penuh terhadap pilihan yang tersedia, tanpa paksaan atau arahan sepihak.</w:t>
            </w:r>
          </w:p>
        </w:tc>
      </w:tr>
      <w:tr>
        <w:tc>
          <w:tcPr>
            <w:tcW w:type="dxa" w:w="2300"/>
            <w:shd w:fill="F1F5F9" w:val="clear"/>
          </w:tcPr>
          <w:p>
            <w:r>
              <w:rPr>
                <w:rFonts w:ascii="IBM Plex Sans" w:cs="IBM Plex Sans" w:eastAsia="IBM Plex Sans" w:hAnsi="IBM Plex Sans"/>
                <w:b/>
                <w:bCs/>
                <w:color w:val="334155"/>
                <w:sz w:val="20"/>
                <w:szCs w:val="20"/>
              </w:rPr>
              <w:t xml:space="preserve">Kategori Kelayakan Medis</w:t>
            </w:r>
          </w:p>
        </w:tc>
        <w:tc>
          <w:tcPr>
            <w:tcW w:type="dxa" w:w="2300"/>
            <w:shd w:fill="F1F5F9" w:val="clear"/>
          </w:tcPr>
          <w:p>
            <w:r>
              <w:rPr>
                <w:rFonts w:ascii="IBM Plex Mono" w:cs="IBM Plex Mono" w:eastAsia="IBM Plex Mono" w:hAnsi="IBM Plex Mono"/>
                <w:i/>
                <w:iCs/>
                <w:color w:val="B45309"/>
                <w:sz w:val="18"/>
                <w:szCs w:val="18"/>
              </w:rPr>
              <w:t xml:space="preserve">Medical Eligibility Criteria (MEC) Category</w:t>
            </w:r>
          </w:p>
        </w:tc>
        <w:tc>
          <w:tcPr>
            <w:tcW w:type="dxa" w:w="4750"/>
            <w:shd w:fill="F1F5F9" w:val="clear"/>
          </w:tcPr>
          <w:p>
            <w:r>
              <w:rPr>
                <w:rFonts w:ascii="IBM Plex Sans" w:cs="IBM Plex Sans" w:eastAsia="IBM Plex Sans" w:hAnsi="IBM Plex Sans"/>
                <w:color w:val="334155"/>
                <w:sz w:val="20"/>
                <w:szCs w:val="20"/>
              </w:rPr>
              <w:t xml:space="preserve">Klasifikasi empat tingkat (1–4) yang menilai kelayakan penggunaan suatu metode kontrasepsi pada individu dengan kondisi medis tertentu, sebagaimana ditetapkan WHO.</w:t>
            </w:r>
          </w:p>
        </w:tc>
      </w:tr>
      <w:tr>
        <w:tc>
          <w:tcPr>
            <w:tcW w:type="dxa" w:w="2300"/>
          </w:tcPr>
          <w:p>
            <w:r>
              <w:rPr>
                <w:rFonts w:ascii="IBM Plex Sans" w:cs="IBM Plex Sans" w:eastAsia="IBM Plex Sans" w:hAnsi="IBM Plex Sans"/>
                <w:b/>
                <w:bCs/>
                <w:color w:val="334155"/>
                <w:sz w:val="20"/>
                <w:szCs w:val="20"/>
              </w:rPr>
              <w:t xml:space="preserve">Program Bangga Kencana</w:t>
            </w:r>
          </w:p>
        </w:tc>
        <w:tc>
          <w:tcPr>
            <w:tcW w:type="dxa" w:w="2300"/>
          </w:tcPr>
          <w:p>
            <w:r>
              <w:rPr>
                <w:rFonts w:ascii="IBM Plex Mono" w:cs="IBM Plex Mono" w:eastAsia="IBM Plex Mono" w:hAnsi="IBM Plex Mono"/>
                <w:i/>
                <w:iCs/>
                <w:color w:val="B45309"/>
                <w:sz w:val="18"/>
                <w:szCs w:val="18"/>
              </w:rPr>
              <w:t xml:space="preserve">Family Development, Population, and Family Planning Program</w:t>
            </w:r>
          </w:p>
        </w:tc>
        <w:tc>
          <w:tcPr>
            <w:tcW w:type="dxa" w:w="4750"/>
          </w:tcPr>
          <w:p>
            <w:r>
              <w:rPr>
                <w:rFonts w:ascii="IBM Plex Sans" w:cs="IBM Plex Sans" w:eastAsia="IBM Plex Sans" w:hAnsi="IBM Plex Sans"/>
                <w:color w:val="334155"/>
                <w:sz w:val="20"/>
                <w:szCs w:val="20"/>
              </w:rPr>
              <w:t xml:space="preserve">Program Pembangunan Keluarga, Kependudukan, dan Keluarga Berencana yang diselenggarakan Kemendukbangga/BKKBN untuk mewujudkan penduduk tumbuh seimbang dan keluarga berkualitas.</w:t>
            </w:r>
          </w:p>
        </w:tc>
      </w:tr>
    </w:tbl>
    <w:p>
      <w:r>
        <w:br w:type="page"/>
      </w:r>
    </w:p>
    <w:p>
      <w:pPr>
        <w:pStyle w:val="Heading1"/>
      </w:pPr>
      <w:r>
        <w:rPr>
          <w:rFonts w:ascii="Source Serif 4" w:cs="Source Serif 4" w:eastAsia="Source Serif 4" w:hAnsi="Source Serif 4"/>
          <w:color w:val="4F46E5"/>
        </w:rPr>
        <w:t xml:space="preserve">10. Kepustakaan</w:t>
      </w:r>
    </w:p>
    <w:p>
      <w:pPr>
        <w:spacing w:after="120"/>
        <w:ind w:left="431" w:hanging="431"/>
      </w:pPr>
      <w:r>
        <w:rPr>
          <w:rFonts w:ascii="IBM Plex Sans" w:cs="IBM Plex Sans" w:eastAsia="IBM Plex Sans" w:hAnsi="IBM Plex Sans"/>
          <w:color w:val="334155"/>
          <w:sz w:val="20"/>
          <w:szCs w:val="20"/>
        </w:rPr>
        <w:t xml:space="preserve">1. Keputusan Ketua Konsil Kesehatan Indonesia Nomor HK.01.02/KKI/1318/2026 tentang Standar Kompetensi Dokter Spesialis dan Subspesialis Bidang Obstetri dan Ginekologi.</w:t>
      </w:r>
    </w:p>
    <w:p>
      <w:pPr>
        <w:spacing w:after="120"/>
        <w:ind w:left="431" w:hanging="431"/>
      </w:pPr>
      <w:r>
        <w:rPr>
          <w:rFonts w:ascii="IBM Plex Sans" w:cs="IBM Plex Sans" w:eastAsia="IBM Plex Sans" w:hAnsi="IBM Plex Sans"/>
          <w:color w:val="334155"/>
          <w:sz w:val="20"/>
          <w:szCs w:val="20"/>
        </w:rPr>
        <w:t xml:space="preserve">2. Undang-Undang Republik Indonesia Nomor 52 Tahun 2009 tentang Perkembangan Kependudukan dan Pembangunan Keluarga. Tersedia pada: https://peraturan.bpk.go.id/Details/38852/uu-no-52-tahun-2009</w:t>
      </w:r>
    </w:p>
    <w:p>
      <w:pPr>
        <w:spacing w:after="120"/>
        <w:ind w:left="431" w:hanging="431"/>
      </w:pPr>
      <w:r>
        <w:rPr>
          <w:rFonts w:ascii="IBM Plex Sans" w:cs="IBM Plex Sans" w:eastAsia="IBM Plex Sans" w:hAnsi="IBM Plex Sans"/>
          <w:color w:val="334155"/>
          <w:sz w:val="20"/>
          <w:szCs w:val="20"/>
        </w:rPr>
        <w:t xml:space="preserve">3. Undang-Undang Republik Indonesia Nomor 17 Tahun 2023 tentang Kesehatan.</w:t>
      </w:r>
    </w:p>
    <w:p>
      <w:pPr>
        <w:spacing w:after="120"/>
        <w:ind w:left="431" w:hanging="431"/>
      </w:pPr>
      <w:r>
        <w:rPr>
          <w:rFonts w:ascii="IBM Plex Sans" w:cs="IBM Plex Sans" w:eastAsia="IBM Plex Sans" w:hAnsi="IBM Plex Sans"/>
          <w:color w:val="334155"/>
          <w:sz w:val="20"/>
          <w:szCs w:val="20"/>
        </w:rPr>
        <w:t xml:space="preserve">4. Peraturan Pemerintah Republik Indonesia Nomor 28 Tahun 2024 tentang Peraturan Pelaksanaan Undang-Undang Nomor 17 Tahun 2023 tentang Kesehatan.</w:t>
      </w:r>
    </w:p>
    <w:p>
      <w:pPr>
        <w:spacing w:after="120"/>
        <w:ind w:left="431" w:hanging="431"/>
      </w:pPr>
      <w:r>
        <w:rPr>
          <w:rFonts w:ascii="IBM Plex Sans" w:cs="IBM Plex Sans" w:eastAsia="IBM Plex Sans" w:hAnsi="IBM Plex Sans"/>
          <w:color w:val="334155"/>
          <w:sz w:val="20"/>
          <w:szCs w:val="20"/>
        </w:rPr>
        <w:t xml:space="preserve">5. Peraturan Menteri Kesehatan Republik Indonesia Nomor 2 Tahun 2025 tentang Penyelenggaraan Upaya Kesehatan Reproduksi. Tersedia pada: https://peraturan.bpk.go.id/Details/314518/permenkes-no-2-tahun-2025</w:t>
      </w:r>
    </w:p>
    <w:p>
      <w:pPr>
        <w:spacing w:after="120"/>
        <w:ind w:left="431" w:hanging="431"/>
      </w:pPr>
      <w:r>
        <w:rPr>
          <w:rFonts w:ascii="IBM Plex Sans" w:cs="IBM Plex Sans" w:eastAsia="IBM Plex Sans" w:hAnsi="IBM Plex Sans"/>
          <w:color w:val="334155"/>
          <w:sz w:val="20"/>
          <w:szCs w:val="20"/>
        </w:rPr>
        <w:t xml:space="preserve">6. Keputusan Presiden Republik Indonesia Nomor 180 Tahun 2024 tentang Kementerian Kependudukan dan Pembangunan Keluarga; Keputusan Presiden Republik Indonesia Nomor 181 Tahun 2024 tentang Badan Kependudukan dan Keluarga Berencana Nasional.</w:t>
      </w:r>
    </w:p>
    <w:p>
      <w:pPr>
        <w:spacing w:after="120"/>
        <w:ind w:left="431" w:hanging="431"/>
      </w:pPr>
      <w:r>
        <w:rPr>
          <w:rFonts w:ascii="IBM Plex Sans" w:cs="IBM Plex Sans" w:eastAsia="IBM Plex Sans" w:hAnsi="IBM Plex Sans"/>
          <w:color w:val="334155"/>
          <w:sz w:val="20"/>
          <w:szCs w:val="20"/>
        </w:rPr>
        <w:t xml:space="preserve">7. World Health Organization. Medical Eligibility Criteria for Contraceptive Use, Sixth Edition. Geneva: World Health Organization; 2025. Tersedia pada: https://www.who.int/publications/i/item/9789240115583</w:t>
      </w:r>
    </w:p>
    <w:p>
      <w:pPr>
        <w:spacing w:after="120"/>
        <w:ind w:left="431" w:hanging="431"/>
      </w:pPr>
      <w:r>
        <w:rPr>
          <w:rFonts w:ascii="IBM Plex Sans" w:cs="IBM Plex Sans" w:eastAsia="IBM Plex Sans" w:hAnsi="IBM Plex Sans"/>
          <w:color w:val="334155"/>
          <w:sz w:val="20"/>
          <w:szCs w:val="20"/>
        </w:rPr>
        <w:t xml:space="preserve">8. International Federation of Gynecology and Obstetrics (FIGO), International Confederation of Midwives (ICM). FIGO-ICM Joint Statement on Contraception. Tersedia pada: https://www.figo.org/resources/figo-statements/figo-icm-joint-statement-contraception</w:t>
      </w:r>
    </w:p>
    <w:p>
      <w:pPr>
        <w:spacing w:after="120"/>
        <w:ind w:left="431" w:hanging="431"/>
      </w:pPr>
      <w:r>
        <w:rPr>
          <w:rFonts w:ascii="IBM Plex Sans" w:cs="IBM Plex Sans" w:eastAsia="IBM Plex Sans" w:hAnsi="IBM Plex Sans"/>
          <w:color w:val="334155"/>
          <w:sz w:val="20"/>
          <w:szCs w:val="20"/>
        </w:rPr>
        <w:t xml:space="preserve">9. Kementerian Kependudukan dan Pembangunan Keluarga/Badan Kependudukan dan Keluarga Berencana Nasional (Kemendukbangga/BKKBN). Laporan dan Registri Program Bangga Kencana. [DATA: rujuk laporan/registri resmi terbaru pada saat pembacaan dokumen, tersedia pada situs resmi Kemendukbangga/BKKBN].</w:t>
      </w:r>
    </w:p>
    <w:p>
      <w:pPr>
        <w:spacing w:after="120"/>
        <w:ind w:left="431" w:hanging="431"/>
      </w:pPr>
      <w:r>
        <w:rPr>
          <w:rFonts w:ascii="IBM Plex Sans" w:cs="IBM Plex Sans" w:eastAsia="IBM Plex Sans" w:hAnsi="IBM Plex Sans"/>
          <w:color w:val="334155"/>
          <w:sz w:val="20"/>
          <w:szCs w:val="20"/>
        </w:rPr>
        <w:t xml:space="preserve">10. Badan Pusat Statistik, Kemendukbangga/BKKBN, Kementerian Kesehatan. Survei Demografi dan Kesehatan Indonesia (SDKI), edisi terkini. [DATA: rujuk edisi SDKI terbaru yang telah dipublikasikan resmi pada saat pembacaan dokumen].</w:t>
      </w:r>
    </w:p>
    <w:p>
      <w:pPr>
        <w:spacing w:after="120"/>
        <w:ind w:left="431" w:hanging="431"/>
      </w:pPr>
      <w:r>
        <w:rPr>
          <w:rFonts w:ascii="IBM Plex Sans" w:cs="IBM Plex Sans" w:eastAsia="IBM Plex Sans" w:hAnsi="IBM Plex Sans"/>
          <w:color w:val="334155"/>
          <w:sz w:val="20"/>
          <w:szCs w:val="20"/>
        </w:rPr>
        <w:t xml:space="preserve">11. PPK-070 — Kontrasepsi (Contraception), dokumen internal seri Panduan Praktik Klinis Perpustakaan Digital ABBA.</w:t>
      </w:r>
    </w:p>
    <w:p>
      <w:pPr>
        <w:spacing w:after="120"/>
        <w:ind w:left="431" w:hanging="431"/>
      </w:pPr>
      <w:r>
        <w:rPr>
          <w:rFonts w:ascii="IBM Plex Sans" w:cs="IBM Plex Sans" w:eastAsia="IBM Plex Sans" w:hAnsi="IBM Plex Sans"/>
          <w:color w:val="334155"/>
          <w:sz w:val="20"/>
          <w:szCs w:val="20"/>
        </w:rPr>
        <w:t xml:space="preserve">12. Buku Tematik B11 — Kedokteran Sosial, Mediko-Legal, Kontrasepsi, dan Kesehatan Reproduksi Remaja, dokumen internal seri Perpustakaan Digital ABBA.</w:t>
      </w:r>
    </w:p>
    <w:p>
      <w:pPr>
        <w:spacing w:before="400"/>
      </w:pPr>
    </w:p>
    <w:p>
      <w:pPr>
        <w:pBdr>
          <w:top w:val="single" w:color="4F46E5" w:sz="6"/>
        </w:pBdr>
        <w:spacing w:before="200"/>
      </w:pPr>
      <w:r>
        <w:rPr>
          <w:rFonts w:ascii="IBM Plex Mono" w:cs="IBM Plex Mono" w:eastAsia="IBM Plex Mono" w:hAnsi="IBM Plex Mono"/>
          <w:color w:val="B45309"/>
          <w:sz w:val="16"/>
          <w:szCs w:val="16"/>
        </w:rPr>
        <w:t xml:space="preserve">Navigasi Seri PPKK — Sebelumnya: PPKK-K4 ([Judul menyusul — belum disusun pada saat dokumen ini diselesaikan])  |  Berikutnya: PPKK-K6 ([Judul menyusul — belum disusun pada saat dokumen ini diselesaikan])</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6"/>
        <w:szCs w:val="16"/>
      </w:rPr>
      <w:t xml:space="preserve">Dokumen 5 dari 8 (PPKK) — Halaman </w:t>
    </w:r>
    <w:r>
      <w:rPr>
        <w:rFonts w:ascii="IBM Plex Mono" w:cs="IBM Plex Mono" w:eastAsia="IBM Plex Mono" w:hAnsi="IBM Plex Mono"/>
        <w:color w:val="334155"/>
        <w:sz w:val="16"/>
        <w:szCs w:val="16"/>
      </w:rPr>
      <w:fldChar w:fldCharType="begin"/>
      <w:instrText xml:space="preserve">PAGE</w:instrText>
      <w:fldChar w:fldCharType="separate"/>
      <w:fldChar w:fldCharType="end"/>
    </w:r>
    <w:r>
      <w:rPr>
        <w:rFonts w:ascii="IBM Plex Mono" w:cs="IBM Plex Mono" w:eastAsia="IBM Plex Mono" w:hAnsi="IBM Plex Mono"/>
        <w:color w:val="334155"/>
        <w:sz w:val="16"/>
        <w:szCs w:val="16"/>
      </w:rPr>
      <w:t xml:space="preserve"> / </w:t>
    </w:r>
    <w:r>
      <w:rPr>
        <w:rFonts w:ascii="IBM Plex Mono" w:cs="IBM Plex Mono" w:eastAsia="IBM Plex Mono" w:hAnsi="IBM Plex Mono"/>
        <w:color w:val="334155"/>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rPr>
        <w:rFonts w:ascii="IBM Plex Mono" w:cs="IBM Plex Mono" w:eastAsia="IBM Plex Mono" w:hAnsi="IBM Plex Mono"/>
        <w:color w:val="334155"/>
        <w:sz w:val="16"/>
        <w:szCs w:val="16"/>
      </w:rPr>
      <w:t xml:space="preserve">Perpustakaan Digital ABBA — PPKK-K5   </w:t>
    </w:r>
    <w:ptab w:alignment="right" w:relativeTo="margin" w:leader="none"/>
    <w:r>
      <w:rPr>
        <w:rFonts w:ascii="IBM Plex Mono" w:cs="IBM Plex Mono" w:eastAsia="IBM Plex Mono" w:hAnsi="IBM Plex Mono"/>
        <w:color w:val="4F46E5"/>
        <w:sz w:val="16"/>
        <w:szCs w:val="16"/>
      </w:rPr>
      <w:t xml:space="preserve">Pelayanan dan Konseling KB Berbasis Kelompok/Komunitas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200" w:before="360"/>
      <w:outlineLvl w:val="0"/>
    </w:pPr>
    <w:rPr>
      <w:rFonts w:ascii="Source Serif 4" w:cs="Source Serif 4" w:eastAsia="Source Serif 4" w:hAnsi="Source Serif 4"/>
      <w:b/>
      <w:bCs/>
      <w:color w:val="4F46E5"/>
      <w:sz w:val="32"/>
      <w:szCs w:val="32"/>
    </w:rPr>
  </w:style>
  <w:style w:type="paragraph" w:styleId="Heading2">
    <w:name w:val="Heading 2"/>
    <w:basedOn w:val="Normal"/>
    <w:next w:val="Normal"/>
    <w:qFormat/>
    <w:pPr>
      <w:spacing w:after="160" w:before="280"/>
      <w:outlineLvl w:val="1"/>
    </w:pPr>
    <w:rPr>
      <w:rFonts w:ascii="Source Serif 4" w:cs="Source Serif 4" w:eastAsia="Source Serif 4" w:hAnsi="Source Serif 4"/>
      <w:b/>
      <w:bCs/>
      <w:color w:val="4F46E5"/>
      <w:sz w:val="26"/>
      <w:szCs w:val="26"/>
    </w:rPr>
  </w:style>
  <w:style w:type="paragraph" w:styleId="Heading3">
    <w:name w:val="Heading 3"/>
    <w:basedOn w:val="Normal"/>
    <w:next w:val="Normal"/>
    <w:qFormat/>
    <w:pPr>
      <w:spacing w:after="120" w:before="200"/>
      <w:outlineLvl w:val="2"/>
    </w:pPr>
    <w:rPr>
      <w:rFonts w:ascii="Source Serif 4" w:cs="Source Serif 4" w:eastAsia="Source Serif 4" w:hAnsi="Source Serif 4"/>
      <w:b/>
      <w:bCs/>
      <w:color w:val="B45309"/>
      <w:sz w:val="23"/>
      <w:szCs w:val="23"/>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2026-08-18T09:21:09.827Z</dcterms:created>
  <dcterms:modified xsi:type="dcterms:W3CDTF">2026-08-18T09:21:09.839Z</dcterms:modified>
</cp:coreProperties>
</file>

<file path=docProps/custom.xml><?xml version="1.0" encoding="utf-8"?>
<Properties xmlns="http://schemas.openxmlformats.org/officeDocument/2006/custom-properties" xmlns:vt="http://schemas.openxmlformats.org/officeDocument/2006/docPropsVTypes"/>
</file>