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80"/>
        <w:jc w:val="center"/>
      </w:pPr>
      <w:r>
        <w:rPr>
          <w:rFonts w:ascii="IBM Plex Sans" w:cs="IBM Plex Sans" w:eastAsia="IBM Plex Sans" w:hAnsi="IBM Plex Sans"/>
          <w:b/>
          <w:bCs/>
          <w:color w:val="B45309"/>
          <w:sz w:val="20"/>
          <w:szCs w:val="20"/>
        </w:rPr>
        <w:t xml:space="preserve">EKOSISTEM LITERATUR STANDAR SpOG</w:t>
      </w:r>
    </w:p>
    <w:p>
      <w:pPr>
        <w:spacing w:after="40"/>
        <w:jc w:val="center"/>
      </w:pPr>
      <w:r>
        <w:rPr>
          <w:rFonts w:ascii="IBM Plex Mono" w:cs="IBM Plex Mono" w:eastAsia="IBM Plex Mono" w:hAnsi="IBM Plex Mono"/>
          <w:b/>
          <w:bCs/>
          <w:color w:val="64748B"/>
          <w:sz w:val="18"/>
          <w:szCs w:val="18"/>
        </w:rPr>
        <w:t xml:space="preserve">PANDUAN PRAKTIK KLINIS KELOMPOK/KOMUNITAS · PPKK-K6</w:t>
      </w:r>
    </w:p>
    <w:p>
      <w:pPr>
        <w:spacing w:after="200" w:before="400"/>
        <w:jc w:val="center"/>
      </w:pPr>
      <w:r>
        <w:rPr>
          <w:rFonts w:ascii="Source Serif 4" w:cs="Source Serif 4" w:eastAsia="Source Serif 4" w:hAnsi="Source Serif 4"/>
          <w:b/>
          <w:bCs/>
          <w:color w:val="4F46E5"/>
          <w:sz w:val="44"/>
          <w:szCs w:val="44"/>
        </w:rPr>
        <w:t xml:space="preserve">Posyandu Remaja / PKPR — Kesehatan Reproduksi Remaja Kelompok</w:t>
      </w:r>
    </w:p>
    <w:p>
      <w:pPr>
        <w:spacing w:after="600"/>
        <w:jc w:val="center"/>
      </w:pPr>
      <w:r>
        <w:rPr>
          <w:rFonts w:ascii="IBM Plex Sans" w:cs="IBM Plex Sans" w:eastAsia="IBM Plex Sans" w:hAnsi="IBM Plex Sans"/>
          <w:i/>
          <w:iCs/>
          <w:color w:val="334155"/>
          <w:sz w:val="24"/>
          <w:szCs w:val="24"/>
        </w:rPr>
        <w:t xml:space="preserve">Remaja dalam sesi edukasi sekolah / posyandu remaja</w:t>
      </w:r>
    </w:p>
    <w:tbl>
      <w:tblPr>
        <w:tblW w:type="dxa" w:w="9026"/>
        <w:tblBorders>
          <w:top w:val="single" w:color="C7D2FE" w:sz="4"/>
          <w:left w:val="single" w:color="C7D2FE" w:sz="4"/>
          <w:bottom w:val="single" w:color="C7D2FE" w:sz="4"/>
          <w:right w:val="single" w:color="C7D2FE" w:sz="4"/>
          <w:insideH w:val="single" w:color="C7D2FE" w:sz="4"/>
          <w:insideV w:val="single" w:color="C7D2FE" w:sz="4"/>
        </w:tblBorders>
      </w:tblPr>
      <w:tblGrid>
        <w:gridCol w:w="2600"/>
        <w:gridCol w:w="6426"/>
      </w:tblGrid>
      <w:tr>
        <w:tc>
          <w:tcPr>
            <w:tcW w:type="dxa" w:w="2600"/>
            <w:shd w:fill="FFFF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Kode Unit</w:t>
            </w:r>
          </w:p>
        </w:tc>
        <w:tc>
          <w:tcPr>
            <w:tcW w:type="dxa" w:w="6426"/>
            <w:shd w:fill="FFFFFF" w:val="clear"/>
            <w:tcMar>
              <w:top w:type="dxa" w:w="90"/>
              <w:left w:type="dxa" w:w="100"/>
              <w:bottom w:type="dxa" w:w="90"/>
              <w:right w:type="dxa" w:w="140"/>
            </w:tcMar>
          </w:tcPr>
          <w:p>
            <w:r>
              <w:rPr>
                <w:rFonts w:ascii="IBM Plex Sans" w:cs="IBM Plex Sans" w:eastAsia="IBM Plex Sans" w:hAnsi="IBM Plex Sans"/>
                <w:color w:val="334155"/>
                <w:sz w:val="19"/>
                <w:szCs w:val="19"/>
              </w:rPr>
              <w:t xml:space="preserve">PPKK-K6 (Dokumen 6 dari 8 PPKK)</w:t>
            </w:r>
          </w:p>
        </w:tc>
      </w:tr>
      <w:tr>
        <w:tc>
          <w:tcPr>
            <w:tcW w:type="dxa" w:w="2600"/>
            <w:shd w:fill="F8FAFC"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Sasaran Kelompok</w:t>
            </w:r>
          </w:p>
        </w:tc>
        <w:tc>
          <w:tcPr>
            <w:tcW w:type="dxa" w:w="6426"/>
            <w:shd w:fill="F8FAFC" w:val="clear"/>
            <w:tcMar>
              <w:top w:type="dxa" w:w="90"/>
              <w:left w:type="dxa" w:w="100"/>
              <w:bottom w:type="dxa" w:w="90"/>
              <w:right w:type="dxa" w:w="140"/>
            </w:tcMar>
          </w:tcPr>
          <w:p>
            <w:r>
              <w:rPr>
                <w:rFonts w:ascii="IBM Plex Sans" w:cs="IBM Plex Sans" w:eastAsia="IBM Plex Sans" w:hAnsi="IBM Plex Sans"/>
                <w:color w:val="334155"/>
                <w:sz w:val="19"/>
                <w:szCs w:val="19"/>
              </w:rPr>
              <w:t xml:space="preserve">Remaja usia 10–19 tahun, sesi edukasi sekolah / posyandu remaja</w:t>
            </w:r>
          </w:p>
        </w:tc>
      </w:tr>
      <w:tr>
        <w:tc>
          <w:tcPr>
            <w:tcW w:type="dxa" w:w="2600"/>
            <w:shd w:fill="FFFF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Divisi Pengampu</w:t>
            </w:r>
          </w:p>
        </w:tc>
        <w:tc>
          <w:tcPr>
            <w:tcW w:type="dxa" w:w="6426"/>
            <w:shd w:fill="FFFFFF" w:val="clear"/>
            <w:tcMar>
              <w:top w:type="dxa" w:w="90"/>
              <w:left w:type="dxa" w:w="100"/>
              <w:bottom w:type="dxa" w:w="90"/>
              <w:right w:type="dxa" w:w="140"/>
            </w:tcMar>
          </w:tcPr>
          <w:p>
            <w:r>
              <w:rPr>
                <w:rFonts w:ascii="IBM Plex Sans" w:cs="IBM Plex Sans" w:eastAsia="IBM Plex Sans" w:hAnsi="IBM Plex Sans"/>
                <w:color w:val="334155"/>
                <w:sz w:val="19"/>
                <w:szCs w:val="19"/>
              </w:rPr>
              <w:t xml:space="preserve">Obstetri Ginekologi Sosial</w:t>
            </w:r>
          </w:p>
        </w:tc>
      </w:tr>
      <w:tr>
        <w:tc>
          <w:tcPr>
            <w:tcW w:type="dxa" w:w="2600"/>
            <w:shd w:fill="F8FAFC"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Rujukan Individual</w:t>
            </w:r>
          </w:p>
        </w:tc>
        <w:tc>
          <w:tcPr>
            <w:tcW w:type="dxa" w:w="6426"/>
            <w:shd w:fill="F8FAFC" w:val="clear"/>
            <w:tcMar>
              <w:top w:type="dxa" w:w="90"/>
              <w:left w:type="dxa" w:w="100"/>
              <w:bottom w:type="dxa" w:w="90"/>
              <w:right w:type="dxa" w:w="140"/>
            </w:tcMar>
          </w:tcPr>
          <w:p>
            <w:r>
              <w:rPr>
                <w:rFonts w:ascii="IBM Plex Sans" w:cs="IBM Plex Sans" w:eastAsia="IBM Plex Sans" w:hAnsi="IBM Plex Sans"/>
                <w:color w:val="334155"/>
                <w:sz w:val="19"/>
                <w:szCs w:val="19"/>
              </w:rPr>
              <w:t xml:space="preserve">PPK-069 — Kehamilan Remaja / Kesehatan Reproduksi Remaja</w:t>
            </w:r>
          </w:p>
        </w:tc>
      </w:tr>
      <w:tr>
        <w:tc>
          <w:tcPr>
            <w:tcW w:type="dxa" w:w="2600"/>
            <w:shd w:fill="FFFF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Buku Tematik Induk</w:t>
            </w:r>
          </w:p>
        </w:tc>
        <w:tc>
          <w:tcPr>
            <w:tcW w:type="dxa" w:w="6426"/>
            <w:shd w:fill="FFFFFF" w:val="clear"/>
            <w:tcMar>
              <w:top w:type="dxa" w:w="90"/>
              <w:left w:type="dxa" w:w="100"/>
              <w:bottom w:type="dxa" w:w="90"/>
              <w:right w:type="dxa" w:w="140"/>
            </w:tcMar>
          </w:tcPr>
          <w:p>
            <w:r>
              <w:rPr>
                <w:rFonts w:ascii="IBM Plex Sans" w:cs="IBM Plex Sans" w:eastAsia="IBM Plex Sans" w:hAnsi="IBM Plex Sans"/>
                <w:color w:val="334155"/>
                <w:sz w:val="19"/>
                <w:szCs w:val="19"/>
              </w:rPr>
              <w:t xml:space="preserve">B11 — Kedokteran Sosial, Mediko-Legal, Kontrasepsi, dan Kesehatan Reproduksi Remaja</w:t>
            </w:r>
          </w:p>
        </w:tc>
      </w:tr>
    </w:tbl>
    <w:p>
      <w:pPr>
        <w:spacing w:after="20" w:before="500"/>
        <w:jc w:val="center"/>
      </w:pPr>
      <w:r>
        <w:rPr>
          <w:rFonts w:ascii="IBM Plex Sans" w:cs="IBM Plex Sans" w:eastAsia="IBM Plex Sans" w:hAnsi="IBM Plex Sans"/>
          <w:b/>
          <w:bCs/>
          <w:color w:val="334155"/>
          <w:sz w:val="20"/>
          <w:szCs w:val="20"/>
        </w:rPr>
        <w:t xml:space="preserve">Dr.dr. Budi Siswanto, Sp.OG., Subsp.Obginsos., SH., S.Kom.</w:t>
      </w:r>
    </w:p>
    <w:p>
      <w:pPr>
        <w:spacing w:after="4"/>
        <w:jc w:val="center"/>
      </w:pPr>
      <w:r>
        <w:rPr>
          <w:rFonts w:ascii="IBM Plex Sans" w:cs="IBM Plex Sans" w:eastAsia="IBM Plex Sans" w:hAnsi="IBM Plex Sans"/>
          <w:color w:val="64748B"/>
          <w:sz w:val="19"/>
          <w:szCs w:val="19"/>
        </w:rPr>
        <w:t xml:space="preserve">Perpustakaan Digital ABBA</w:t>
      </w:r>
    </w:p>
    <w:p>
      <w:pPr>
        <w:spacing w:after="0"/>
        <w:jc w:val="center"/>
      </w:pPr>
      <w:r>
        <w:rPr>
          <w:rFonts w:ascii="IBM Plex Sans" w:cs="IBM Plex Sans" w:eastAsia="IBM Plex Sans" w:hAnsi="IBM Plex Sans"/>
          <w:color w:val="64748B"/>
          <w:sz w:val="19"/>
          <w:szCs w:val="19"/>
        </w:rPr>
        <w:t xml:space="preserve">Jl. Kerinci Raya No. 9, Malang 65138</w:t>
      </w:r>
    </w:p>
    <w:p>
      <w:pPr>
        <w:spacing w:before="600"/>
      </w:pPr>
      <w:r>
        <w:br w:type="page"/>
      </w:r>
    </w:p>
    <w:p>
      <w:pPr>
        <w:pStyle w:val="Heading1"/>
        <w:spacing w:after="160" w:before="360"/>
      </w:pPr>
      <w:r>
        <w:rPr>
          <w:rFonts w:ascii="Source Serif 4" w:cs="Source Serif 4" w:eastAsia="Source Serif 4" w:hAnsi="Source Serif 4"/>
          <w:b/>
          <w:bCs/>
          <w:color w:val="4F46E5"/>
        </w:rPr>
        <w:t xml:space="preserve">1. Pengertian dan Tujuan Program</w:t>
      </w:r>
    </w:p>
    <w:p>
      <w:pPr>
        <w:spacing w:after="160" w:line="300"/>
      </w:pPr>
      <w:r>
        <w:rPr>
          <w:rFonts w:ascii="IBM Plex Sans" w:cs="IBM Plex Sans" w:eastAsia="IBM Plex Sans" w:hAnsi="IBM Plex Sans"/>
          <w:color w:val="334155"/>
          <w:sz w:val="22"/>
          <w:szCs w:val="22"/>
        </w:rPr>
        <w:t xml:space="preserve">Panduan Praktik Klinis Kelompok/Komunitas (PPKK) ini merupakan pendalaman layanan berbasis kelompok dari Buku Tematik </w:t>
      </w:r>
      <w:r>
        <w:rPr>
          <w:rFonts w:ascii="IBM Plex Sans" w:cs="IBM Plex Sans" w:eastAsia="IBM Plex Sans" w:hAnsi="IBM Plex Sans"/>
          <w:b/>
          <w:bCs/>
          <w:color w:val="334155"/>
          <w:sz w:val="22"/>
          <w:szCs w:val="22"/>
        </w:rPr>
        <w:t xml:space="preserve">B11 — Kedokteran Sosial, Mediko-Legal, Kontrasepsi, dan Kesehatan Reproduksi Remaja</w:t>
      </w:r>
      <w:r>
        <w:rPr>
          <w:rFonts w:ascii="IBM Plex Sans" w:cs="IBM Plex Sans" w:eastAsia="IBM Plex Sans" w:hAnsi="IBM Plex Sans"/>
          <w:color w:val="334155"/>
          <w:sz w:val="22"/>
          <w:szCs w:val="22"/>
        </w:rPr>
        <w:t xml:space="preserve">, dan disusun sebagai kerangka acuan pelaksanaan sesi edukasi serta skrining kesehatan reproduksi remaja (Adolescent Reproductive Health) yang diselenggarakan melalui layanan remaja pada Posyandu Integrasi Layanan Primer (Posyandu ILP) dan Pelayanan Kesehatan Peduli Remaja (PKPR) di Puskesmas.</w:t>
      </w:r>
    </w:p>
    <w:p>
      <w:pPr>
        <w:spacing w:after="160" w:line="300"/>
      </w:pPr>
      <w:r>
        <w:rPr>
          <w:rFonts w:ascii="IBM Plex Sans" w:cs="IBM Plex Sans" w:eastAsia="IBM Plex Sans" w:hAnsi="IBM Plex Sans"/>
          <w:color w:val="334155"/>
          <w:sz w:val="22"/>
          <w:szCs w:val="22"/>
        </w:rPr>
        <w:t xml:space="preserve">Remaja (Adolescent) didefinisikan sebagai individu berusia 10–19 tahun, mencakup periode transisi biologis, psikologis, dan sosial dari masa kanak-kanak menuju dewasa. Pada rentang usia ini, masalah kesehatan reproduksi yang dominan meliputi perilaku seksual pranikah, kehamilan dini/kehamilan remaja (Teenage Pregnancy), infeksi menular seksual (IMS), anemia, serta gizi buruk, sebagaimana ditetapkan dalam peta kompetensi pengetahuan Subspesialis Obstetri Ginekologi Sosial.</w:t>
      </w: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pPr>
              <w:spacing w:after="0" w:line="280"/>
            </w:pPr>
            <w:r>
              <w:rPr>
                <w:rFonts w:ascii="IBM Plex Mono" w:cs="IBM Plex Mono" w:eastAsia="IBM Plex Mono" w:hAnsi="IBM Plex Mono"/>
                <w:color w:val="334155"/>
                <w:sz w:val="19"/>
                <w:szCs w:val="19"/>
              </w:rPr>
              <w:t xml:space="preserve">Kepkonsil, Lampiran Penguasaan Pengetahuan Prosedur Klinis Subspesialis Obstetri Ginekologi Sosial, entri No. 14 (Kesehatan Reproduksi Remaja): “Definisi remaja (10–19 th). Masalah utama: seks pranikah, kehamilan dini, IMS, anemia, gizi buruk”, dengan pedoman rujukan eksplisit pada Pelayanan Kesehatan Peduli Remaja (PKPR) Kemenkes.</w:t>
            </w:r>
          </w:p>
        </w:tc>
      </w:tr>
    </w:tbl>
    <w:p>
      <w:pPr>
        <w:spacing w:after="200"/>
      </w:pPr>
    </w:p>
    <w:p>
      <w:pPr>
        <w:spacing w:after="160" w:line="300"/>
      </w:pPr>
      <w:r>
        <w:rPr>
          <w:rFonts w:ascii="IBM Plex Sans" w:cs="IBM Plex Sans" w:eastAsia="IBM Plex Sans" w:hAnsi="IBM Plex Sans"/>
          <w:color w:val="334155"/>
          <w:sz w:val="22"/>
          <w:szCs w:val="22"/>
        </w:rPr>
        <w:t xml:space="preserve">Sejak terbitnya Keputusan Menteri Kesehatan Republik Indonesia Nomor HK.01.07/MENKES/2015/2023 tentang Petunjuk Teknis Integrasi Pelayanan Kesehatan Primer (ILP), layanan yang sebelumnya dikenal sebagai Posyandu Remaja berdiri sendiri kini terintegrasi ke dalam Posyandu ILP sebagai salah satu jalur layanan berbasis siklus hidup, bersanding dengan jalur ibu hamil-bayi-balita dan jalur usia produktif-lanjut usia. Integrasi ini bertujuan mendekatkan layanan promotif-preventif ke tingkat desa/kelurahan sekaligus memperkuat rujukan berjenjang ke Puskesmas penyelenggara PKPR untuk layanan klinis lanjutan. Istilah “Posyandu Remaja” pada dokumen ini merujuk pada jalur layanan remaja di dalam kerangka Posyandu ILP tersebut.</w:t>
      </w:r>
    </w:p>
    <w:p>
      <w:pPr>
        <w:pStyle w:val="Heading2"/>
        <w:spacing w:after="160" w:before="240"/>
      </w:pPr>
      <w:r>
        <w:rPr>
          <w:rFonts w:ascii="Source Serif 4" w:cs="Source Serif 4" w:eastAsia="Source Serif 4" w:hAnsi="Source Serif 4"/>
          <w:b/>
          <w:bCs/>
          <w:color w:val="334155"/>
        </w:rPr>
        <w:t xml:space="preserve">Tujuan Program</w:t>
      </w:r>
    </w:p>
    <w:p>
      <w:pPr>
        <w:pStyle w:val="ListParagraph"/>
        <w:numPr>
          <w:ilvl w:val="0"/>
          <w:numId w:val="2"/>
        </w:numPr>
        <w:spacing w:after="100" w:line="300"/>
      </w:pPr>
      <w:r>
        <w:rPr>
          <w:rFonts w:ascii="IBM Plex Sans" w:cs="IBM Plex Sans" w:eastAsia="IBM Plex Sans" w:hAnsi="IBM Plex Sans"/>
          <w:color w:val="334155"/>
          <w:sz w:val="22"/>
          <w:szCs w:val="22"/>
        </w:rPr>
        <w:t xml:space="preserve">Meningkatkan pengetahuan dan sikap remaja terhadap kesehatan reproduksi, meliputi pubertas, menstruasi, pencegahan kehamilan remaja, IMS, gizi, dan kesehatan jiwa.</w:t>
      </w:r>
    </w:p>
    <w:p>
      <w:pPr>
        <w:pStyle w:val="ListParagraph"/>
        <w:numPr>
          <w:ilvl w:val="0"/>
          <w:numId w:val="2"/>
        </w:numPr>
        <w:spacing w:after="100" w:line="300"/>
      </w:pPr>
      <w:r>
        <w:rPr>
          <w:rFonts w:ascii="IBM Plex Sans" w:cs="IBM Plex Sans" w:eastAsia="IBM Plex Sans" w:hAnsi="IBM Plex Sans"/>
          <w:color w:val="334155"/>
          <w:sz w:val="22"/>
          <w:szCs w:val="22"/>
        </w:rPr>
        <w:t xml:space="preserve">Melakukan deteksi dini masalah kesehatan reproduksi dan psikososial pada populasi remaja melalui skrining terstruktur pada setiap sesi.</w:t>
      </w:r>
    </w:p>
    <w:p>
      <w:pPr>
        <w:pStyle w:val="ListParagraph"/>
        <w:numPr>
          <w:ilvl w:val="0"/>
          <w:numId w:val="2"/>
        </w:numPr>
        <w:spacing w:after="100" w:line="300"/>
      </w:pPr>
      <w:r>
        <w:rPr>
          <w:rFonts w:ascii="IBM Plex Sans" w:cs="IBM Plex Sans" w:eastAsia="IBM Plex Sans" w:hAnsi="IBM Plex Sans"/>
          <w:color w:val="334155"/>
          <w:sz w:val="22"/>
          <w:szCs w:val="22"/>
        </w:rPr>
        <w:t xml:space="preserve">Membangun jejaring rujukan yang jelas dan cepat dari layanan berbasis kelompok (Posyandu ILP jalur remaja/PKPR) menuju layanan klinis individual (PPK-069) bila ditemukan kasus berisiko.</w:t>
      </w:r>
    </w:p>
    <w:p>
      <w:pPr>
        <w:pStyle w:val="ListParagraph"/>
        <w:numPr>
          <w:ilvl w:val="0"/>
          <w:numId w:val="2"/>
        </w:numPr>
        <w:spacing w:after="100" w:line="300"/>
      </w:pPr>
      <w:r>
        <w:rPr>
          <w:rFonts w:ascii="IBM Plex Sans" w:cs="IBM Plex Sans" w:eastAsia="IBM Plex Sans" w:hAnsi="IBM Plex Sans"/>
          <w:color w:val="334155"/>
          <w:sz w:val="22"/>
          <w:szCs w:val="22"/>
        </w:rPr>
        <w:t xml:space="preserve">Menurunkan determinan sosial yang berkontribusi terhadap kehamilan remaja dan perkawinan anak melalui edukasi berkelanjutan dan pelibatan lintas sektor, selaras dengan Strategi Nasional Pencegahan Perkawinan Anak (STRANAS PPA).</w:t>
      </w:r>
    </w:p>
    <w:p>
      <w:pPr>
        <w:spacing w:after="100"/>
      </w:pPr>
    </w:p>
    <w:p>
      <w:pPr>
        <w:pStyle w:val="Heading1"/>
        <w:spacing w:after="160" w:before="360"/>
      </w:pPr>
      <w:r>
        <w:rPr>
          <w:rFonts w:ascii="Source Serif 4" w:cs="Source Serif 4" w:eastAsia="Source Serif 4" w:hAnsi="Source Serif 4"/>
          <w:b/>
          <w:bCs/>
          <w:color w:val="4F46E5"/>
        </w:rPr>
        <w:t xml:space="preserve">2. Sasaran dan Kriteria Inklusi Kelompok</w:t>
      </w:r>
    </w:p>
    <w:p>
      <w:pPr>
        <w:spacing w:after="160" w:line="300"/>
      </w:pPr>
      <w:r>
        <w:rPr>
          <w:rFonts w:ascii="IBM Plex Sans" w:cs="IBM Plex Sans" w:eastAsia="IBM Plex Sans" w:hAnsi="IBM Plex Sans"/>
          <w:color w:val="334155"/>
          <w:sz w:val="22"/>
          <w:szCs w:val="22"/>
        </w:rPr>
        <w:t xml:space="preserve">Sasaran utama program adalah remaja usia 10–19 tahun yang berdomisili atau bersekolah di wilayah kerja Puskesmas penyelenggara, baik yang terdaftar aktif pada jalur remaja Posyandu ILP maupun peserta program PKPR berbasis sekolah (UKS/M) dan luar sekolah (karang taruna, komunitas remaja, panti/lembaga kesejahteraan sosial anak).</w:t>
      </w:r>
    </w:p>
    <w:p>
      <w:pPr>
        <w:pStyle w:val="Heading2"/>
        <w:spacing w:after="160" w:before="240"/>
      </w:pPr>
      <w:r>
        <w:rPr>
          <w:rFonts w:ascii="Source Serif 4" w:cs="Source Serif 4" w:eastAsia="Source Serif 4" w:hAnsi="Source Serif 4"/>
          <w:b/>
          <w:bCs/>
          <w:color w:val="334155"/>
        </w:rPr>
        <w:t xml:space="preserve">Kriteria Inklusi</w:t>
      </w:r>
    </w:p>
    <w:p>
      <w:pPr>
        <w:pStyle w:val="ListParagraph"/>
        <w:numPr>
          <w:ilvl w:val="0"/>
          <w:numId w:val="1"/>
        </w:numPr>
        <w:spacing w:after="100" w:line="300"/>
      </w:pPr>
      <w:r>
        <w:rPr>
          <w:rFonts w:ascii="IBM Plex Sans" w:cs="IBM Plex Sans" w:eastAsia="IBM Plex Sans" w:hAnsi="IBM Plex Sans"/>
          <w:color w:val="334155"/>
          <w:sz w:val="22"/>
          <w:szCs w:val="22"/>
        </w:rPr>
        <w:t xml:space="preserve">Usia 10–19 tahun pada saat pendaftaran sesi.</w:t>
      </w:r>
    </w:p>
    <w:p>
      <w:pPr>
        <w:pStyle w:val="ListParagraph"/>
        <w:numPr>
          <w:ilvl w:val="0"/>
          <w:numId w:val="1"/>
        </w:numPr>
        <w:spacing w:after="100" w:line="300"/>
      </w:pPr>
      <w:r>
        <w:rPr>
          <w:rFonts w:ascii="IBM Plex Sans" w:cs="IBM Plex Sans" w:eastAsia="IBM Plex Sans" w:hAnsi="IBM Plex Sans"/>
          <w:color w:val="334155"/>
          <w:sz w:val="22"/>
          <w:szCs w:val="22"/>
        </w:rPr>
        <w:t xml:space="preserve">Bersedia mengikuti sesi edukasi kelompok dan skrining kesehatan dasar (dengan persetujuan orang tua/wali untuk peserta di bawah umur sesuai ketentuan berlaku).</w:t>
      </w:r>
    </w:p>
    <w:p>
      <w:pPr>
        <w:pStyle w:val="ListParagraph"/>
        <w:numPr>
          <w:ilvl w:val="0"/>
          <w:numId w:val="1"/>
        </w:numPr>
        <w:spacing w:after="100" w:line="300"/>
      </w:pPr>
      <w:r>
        <w:rPr>
          <w:rFonts w:ascii="IBM Plex Sans" w:cs="IBM Plex Sans" w:eastAsia="IBM Plex Sans" w:hAnsi="IBM Plex Sans"/>
          <w:color w:val="334155"/>
          <w:sz w:val="22"/>
          <w:szCs w:val="22"/>
        </w:rPr>
        <w:t xml:space="preserve">Tidak sedang dalam kondisi kegawatdaruratan medis yang membutuhkan penanganan segera di fasilitas kesehatan tingkat lanjut.</w:t>
      </w:r>
    </w:p>
    <w:p>
      <w:pPr>
        <w:spacing w:after="100"/>
      </w:pPr>
    </w:p>
    <w:p>
      <w:pPr>
        <w:pStyle w:val="Heading2"/>
        <w:spacing w:after="160" w:before="240"/>
      </w:pPr>
      <w:r>
        <w:rPr>
          <w:rFonts w:ascii="Source Serif 4" w:cs="Source Serif 4" w:eastAsia="Source Serif 4" w:hAnsi="Source Serif 4"/>
          <w:b/>
          <w:bCs/>
          <w:color w:val="334155"/>
        </w:rPr>
        <w:t xml:space="preserve">Kriteria Eksklusi Sesi Kelompok (Dirujuk Langsung ke Jalur Individual)</w:t>
      </w:r>
    </w:p>
    <w:p>
      <w:pPr>
        <w:pStyle w:val="ListParagraph"/>
        <w:numPr>
          <w:ilvl w:val="0"/>
          <w:numId w:val="1"/>
        </w:numPr>
        <w:spacing w:after="100" w:line="300"/>
      </w:pPr>
      <w:r>
        <w:rPr>
          <w:rFonts w:ascii="IBM Plex Sans" w:cs="IBM Plex Sans" w:eastAsia="IBM Plex Sans" w:hAnsi="IBM Plex Sans"/>
          <w:color w:val="334155"/>
          <w:sz w:val="22"/>
          <w:szCs w:val="22"/>
        </w:rPr>
        <w:t xml:space="preserve">Remaja dengan tanda kegawatdaruratan obstetri/ginekologi (perdarahan pervaginam aktif, nyeri abdomen akut, tanda syok).</w:t>
      </w:r>
    </w:p>
    <w:p>
      <w:pPr>
        <w:pStyle w:val="ListParagraph"/>
        <w:numPr>
          <w:ilvl w:val="0"/>
          <w:numId w:val="1"/>
        </w:numPr>
        <w:spacing w:after="100" w:line="300"/>
      </w:pPr>
      <w:r>
        <w:rPr>
          <w:rFonts w:ascii="IBM Plex Sans" w:cs="IBM Plex Sans" w:eastAsia="IBM Plex Sans" w:hAnsi="IBM Plex Sans"/>
          <w:color w:val="334155"/>
          <w:sz w:val="22"/>
          <w:szCs w:val="22"/>
        </w:rPr>
        <w:t xml:space="preserve">Remaja dengan kecurigaan kekerasan seksual atau kekerasan dalam rumah tangga yang membutuhkan penanganan medikolegal segera.</w:t>
      </w:r>
    </w:p>
    <w:p>
      <w:pPr>
        <w:pStyle w:val="ListParagraph"/>
        <w:numPr>
          <w:ilvl w:val="0"/>
          <w:numId w:val="1"/>
        </w:numPr>
        <w:spacing w:after="100" w:line="300"/>
      </w:pPr>
      <w:r>
        <w:rPr>
          <w:rFonts w:ascii="IBM Plex Sans" w:cs="IBM Plex Sans" w:eastAsia="IBM Plex Sans" w:hAnsi="IBM Plex Sans"/>
          <w:color w:val="334155"/>
          <w:sz w:val="22"/>
          <w:szCs w:val="22"/>
        </w:rPr>
        <w:t xml:space="preserve">Remaja dengan gangguan jiwa berat atau risiko bunuh diri aktif — dirujuk segera ke layanan kesehatan jiwa/PPK terkait di luar alur kelompok.</w:t>
      </w:r>
    </w:p>
    <w:p>
      <w:pPr>
        <w:spacing w:after="100"/>
      </w:pPr>
    </w:p>
    <w:p>
      <w:pPr>
        <w:spacing w:after="160" w:line="300"/>
      </w:pPr>
      <w:r>
        <w:rPr>
          <w:rFonts w:ascii="IBM Plex Sans" w:cs="IBM Plex Sans" w:eastAsia="IBM Plex Sans" w:hAnsi="IBM Plex Sans"/>
          <w:color w:val="334155"/>
          <w:sz w:val="22"/>
          <w:szCs w:val="22"/>
        </w:rPr>
        <w:t xml:space="preserve">Ukuran kelompok ideal per sesi edukasi adalah 15–25 peserta agar interaksi dan konseling kelompok tetap efektif; kelompok dapat dipilah berdasarkan jenjang usia (remaja awal 10–13 tahun, remaja pertengahan 14–16 tahun, remaja akhir 17–19 tahun) mengingat perbedaan kematangan kognitif dan relevansi materi.</w:t>
      </w:r>
    </w:p>
    <w:p>
      <w:pPr>
        <w:pStyle w:val="Heading1"/>
        <w:spacing w:after="160" w:before="360"/>
      </w:pPr>
      <w:r>
        <w:rPr>
          <w:rFonts w:ascii="Source Serif 4" w:cs="Source Serif 4" w:eastAsia="Source Serif 4" w:hAnsi="Source Serif 4"/>
          <w:b/>
          <w:bCs/>
          <w:color w:val="4F46E5"/>
        </w:rPr>
        <w:t xml:space="preserve">3. Struktur Sesi/Alur Layanan</w:t>
      </w:r>
    </w:p>
    <w:p>
      <w:pPr>
        <w:spacing w:after="160" w:line="300"/>
      </w:pPr>
      <w:r>
        <w:rPr>
          <w:rFonts w:ascii="IBM Plex Sans" w:cs="IBM Plex Sans" w:eastAsia="IBM Plex Sans" w:hAnsi="IBM Plex Sans"/>
          <w:color w:val="334155"/>
          <w:sz w:val="22"/>
          <w:szCs w:val="22"/>
        </w:rPr>
        <w:t xml:space="preserve">Struktur sesi mengikuti alur baku Posyandu ILP sebagaimana diatur dalam Petunjuk Teknis Integrasi Pelayanan Kesehatan Primer (KMK No. HK.01.07/MENKES/2015/2023), yang menetapkan lima langkah pelayanan berlaku bagi seluruh jalur siklus hidup termasuk jalur usia sekolah dan remaja, dilaksanakan dalam satu kali kunjungan dengan estimasi total durasi 90–120 menit per sesi kelompok.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12"/>
        <w:gridCol w:w="2075"/>
        <w:gridCol w:w="1263"/>
        <w:gridCol w:w="4874"/>
      </w:tblGrid>
      <w:tr>
        <w:trPr>
          <w:tblHeader/>
        </w:trPr>
        <w:tc>
          <w:tcPr>
            <w:tcW w:type="dxa" w:w="812"/>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No.</w:t>
            </w:r>
          </w:p>
        </w:tc>
        <w:tc>
          <w:tcPr>
            <w:tcW w:type="dxa" w:w="207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Nama Langkah</w:t>
            </w:r>
          </w:p>
        </w:tc>
        <w:tc>
          <w:tcPr>
            <w:tcW w:type="dxa" w:w="126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Durasi</w:t>
            </w:r>
          </w:p>
        </w:tc>
        <w:tc>
          <w:tcPr>
            <w:tcW w:type="dxa" w:w="4874"/>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Isi Kegiatan</w:t>
            </w:r>
          </w:p>
        </w:tc>
      </w:tr>
      <w:tr>
        <w:tc>
          <w:tcPr>
            <w:tcW w:type="dxa" w:w="812"/>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w:t>
            </w:r>
          </w:p>
        </w:tc>
        <w:tc>
          <w:tcPr>
            <w:tcW w:type="dxa" w:w="2075"/>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Pendaftaran</w:t>
            </w:r>
          </w:p>
        </w:tc>
        <w:tc>
          <w:tcPr>
            <w:tcW w:type="dxa" w:w="1263"/>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10 menit</w:t>
            </w:r>
          </w:p>
        </w:tc>
        <w:tc>
          <w:tcPr>
            <w:tcW w:type="dxa" w:w="4874"/>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Registrasi peserta oleh kader, verifikasi identitas dan usia, pengisian kuesioner pre-test pengetahuan kesehatan reproduksi.</w:t>
            </w:r>
          </w:p>
        </w:tc>
      </w:tr>
      <w:tr>
        <w:tc>
          <w:tcPr>
            <w:tcW w:type="dxa" w:w="812"/>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2</w:t>
            </w:r>
          </w:p>
        </w:tc>
        <w:tc>
          <w:tcPr>
            <w:tcW w:type="dxa" w:w="2075"/>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Penimbangan dan Pengukuran</w:t>
            </w:r>
          </w:p>
        </w:tc>
        <w:tc>
          <w:tcPr>
            <w:tcW w:type="dxa" w:w="1263"/>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15 menit</w:t>
            </w:r>
          </w:p>
        </w:tc>
        <w:tc>
          <w:tcPr>
            <w:tcW w:type="dxa" w:w="4874"/>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Pengukuran berat badan, tinggi badan, lingkar lengan atas, dan tekanan darah oleh kader/bidan-perawat; skrining status gizi (indeks massa tubuh menurut usia).</w:t>
            </w:r>
          </w:p>
        </w:tc>
      </w:tr>
      <w:tr>
        <w:tc>
          <w:tcPr>
            <w:tcW w:type="dxa" w:w="812"/>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3</w:t>
            </w:r>
          </w:p>
        </w:tc>
        <w:tc>
          <w:tcPr>
            <w:tcW w:type="dxa" w:w="2075"/>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Pencatatan dan Pemeriksaan</w:t>
            </w:r>
          </w:p>
        </w:tc>
        <w:tc>
          <w:tcPr>
            <w:tcW w:type="dxa" w:w="1263"/>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15 menit</w:t>
            </w:r>
          </w:p>
        </w:tc>
        <w:tc>
          <w:tcPr>
            <w:tcW w:type="dxa" w:w="4874"/>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Pencatatan hasil pengukuran pada rekam Posyandu ILP/PKPR; pemeriksaan tanda risiko anemia (bila fasilitas tersedia) dan skrining psikososial singkat (misalnya HEADSSS) oleh tenaga kesehatan.</w:t>
            </w:r>
          </w:p>
        </w:tc>
      </w:tr>
      <w:tr>
        <w:tc>
          <w:tcPr>
            <w:tcW w:type="dxa" w:w="812"/>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4</w:t>
            </w:r>
          </w:p>
        </w:tc>
        <w:tc>
          <w:tcPr>
            <w:tcW w:type="dxa" w:w="2075"/>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Pelayanan Kesehatan dan Penyuluhan</w:t>
            </w:r>
          </w:p>
        </w:tc>
        <w:tc>
          <w:tcPr>
            <w:tcW w:type="dxa" w:w="1263"/>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30–40 menit</w:t>
            </w:r>
          </w:p>
        </w:tc>
        <w:tc>
          <w:tcPr>
            <w:tcW w:type="dxa" w:w="4874"/>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Penyuluhan kelompok sesuai materi terjadwal (lihat Bagian 5) serta pelayanan kesehatan dasar, termasuk pemberian tablet tambah darah (TTD) bila terindikasi dan konseling privat bagi remaja dengan temuan berisiko; rujukan ke PPK-069 bila diperlukan (lihat Bagian 7).</w:t>
            </w:r>
          </w:p>
        </w:tc>
      </w:tr>
      <w:tr>
        <w:tc>
          <w:tcPr>
            <w:tcW w:type="dxa" w:w="812"/>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5</w:t>
            </w:r>
          </w:p>
        </w:tc>
        <w:tc>
          <w:tcPr>
            <w:tcW w:type="dxa" w:w="2075"/>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Validasi dan Sinkronisasi Data</w:t>
            </w:r>
          </w:p>
        </w:tc>
        <w:tc>
          <w:tcPr>
            <w:tcW w:type="dxa" w:w="1263"/>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10–15 menit</w:t>
            </w:r>
          </w:p>
        </w:tc>
        <w:tc>
          <w:tcPr>
            <w:tcW w:type="dxa" w:w="4874"/>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Verifikasi kelengkapan data pelayanan, sinkronisasi ke sistem informasi kesehatan Puskesmas, pengisian kuesioner post-test, serta penyampaian rencana tindak lanjut dan jadwal sesi berikutnya.</w:t>
            </w:r>
          </w:p>
        </w:tc>
      </w:tr>
    </w:tbl>
    <w:p>
      <w:pPr>
        <w:spacing w:after="200"/>
      </w:pPr>
    </w:p>
    <w:p>
      <w:pPr>
        <w:spacing w:after="160" w:line="300"/>
      </w:pPr>
      <w:r>
        <w:rPr>
          <w:rFonts w:ascii="IBM Plex Sans" w:cs="IBM Plex Sans" w:eastAsia="IBM Plex Sans" w:hAnsi="IBM Plex Sans"/>
          <w:color w:val="334155"/>
          <w:sz w:val="22"/>
          <w:szCs w:val="22"/>
        </w:rPr>
        <w:t xml:space="preserve">Temuan berisiko pada langkah manapun dapat langsung dieskalasi ke konseling individual pada Langkah 4 tanpa menunggu seluruh sesi kelompok selesai, mengikuti prinsip “screen and refer”. Layanan klinis lanjutan yang memerlukan kompetensi di luar kewenangan kader/bidan-perawat komunitas dirujuk ke PKPR di Puskesmas.</w:t>
      </w:r>
    </w:p>
    <w:p>
      <w:pPr>
        <w:pStyle w:val="Heading1"/>
        <w:spacing w:after="160" w:before="360"/>
      </w:pPr>
      <w:r>
        <w:rPr>
          <w:rFonts w:ascii="Source Serif 4" w:cs="Source Serif 4" w:eastAsia="Source Serif 4" w:hAnsi="Source Serif 4"/>
          <w:b/>
          <w:bCs/>
          <w:color w:val="4F46E5"/>
        </w:rPr>
        <w:t xml:space="preserve">4. Peran Tenaga Kesehatan per Sesi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88"/>
        <w:gridCol w:w="6137"/>
      </w:tblGrid>
      <w:tr>
        <w:trPr>
          <w:tblHeader/>
        </w:trPr>
        <w:tc>
          <w:tcPr>
            <w:tcW w:type="dxa" w:w="288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Peran</w:t>
            </w:r>
          </w:p>
        </w:tc>
        <w:tc>
          <w:tcPr>
            <w:tcW w:type="dxa" w:w="61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Tanggung Jawab Utama</w:t>
            </w:r>
          </w:p>
        </w:tc>
      </w:tr>
      <w:tr>
        <w:tc>
          <w:tcPr>
            <w:tcW w:type="dxa" w:w="2888"/>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Dokter Spesialis Obstetri dan Ginekologi (Konsultan Obstetri Ginekologi Sosial)</w:t>
            </w:r>
          </w:p>
        </w:tc>
        <w:tc>
          <w:tcPr>
            <w:tcW w:type="dxa" w:w="6137"/>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Supervisi klinis keseluruhan program; penanggung jawab kasus rujukan kompleks dari sesi kelompok; pengawasan mutu materi edukasi; evaluasi berkala terhadap indikator program (Bagian 6).</w:t>
            </w:r>
          </w:p>
        </w:tc>
      </w:tr>
      <w:tr>
        <w:tc>
          <w:tcPr>
            <w:tcW w:type="dxa" w:w="2888"/>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Peserta Program Pendidikan Dokter Spesialis (PPDS) Obstetri dan Ginekologi</w:t>
            </w:r>
          </w:p>
        </w:tc>
        <w:tc>
          <w:tcPr>
            <w:tcW w:type="dxa" w:w="6137"/>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Pelaksana konseling individual terstruktur (Langkah 4) di bawah supervisi; melakukan skrining psikososial dan risiko obstetri; kompetensi konseling remaja dinilai melalui Mini-CEX dengan standar minimal ≥3/5.</w:t>
            </w:r>
          </w:p>
        </w:tc>
      </w:tr>
      <w:tr>
        <w:tc>
          <w:tcPr>
            <w:tcW w:type="dxa" w:w="2888"/>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Bidan/Perawat Puskesmas (Tim PKPR)</w:t>
            </w:r>
          </w:p>
        </w:tc>
        <w:tc>
          <w:tcPr>
            <w:tcW w:type="dxa" w:w="6137"/>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Pelaksana pengukuran antropometri dan tanda vital (Langkah 2); skrining anemia dan pemberian TTD; pencatatan rekam Posyandu ILP/PKPR (Langkah 3); pendamping teknis penyuluhan kelompok (Langkah 4).</w:t>
            </w:r>
          </w:p>
        </w:tc>
      </w:tr>
      <w:tr>
        <w:tc>
          <w:tcPr>
            <w:tcW w:type="dxa" w:w="2888"/>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Kader Posyandu ILP (Jalur Usia Sekolah dan Remaja)</w:t>
            </w:r>
          </w:p>
        </w:tc>
        <w:tc>
          <w:tcPr>
            <w:tcW w:type="dxa" w:w="6137"/>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Mobilisasi dan pendataan peserta (Langkah 1); fasilitasi logistik sesi; penyampaian materi promosi kesehatan dasar dengan pendekatan peer education; identifikasi awal remaja berisiko di lingkungan komunitas untuk didorong hadir ke sesi. Kader dibekali kompetensi dasar sesuai jalur usia sekolah dan remaja, salah satu dari lima kelompok kompetensi dasar kader Posyandu ILP yang ditetapkan Kementerian Kesehatan.</w:t>
            </w:r>
          </w:p>
        </w:tc>
      </w:tr>
      <w:tr>
        <w:tc>
          <w:tcPr>
            <w:tcW w:type="dxa" w:w="2888"/>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Guru Bimbingan Konseling/UKS (bila sesi berbasis sekolah)</w:t>
            </w:r>
          </w:p>
        </w:tc>
        <w:tc>
          <w:tcPr>
            <w:tcW w:type="dxa" w:w="6137"/>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Koordinasi jadwal dan tempat pelaksanaan di lingkungan sekolah; pendampingan psikososial lanjutan pasca-sesi; jembatan komunikasi dengan orang tua/wali.</w:t>
            </w:r>
          </w:p>
        </w:tc>
      </w:tr>
    </w:tbl>
    <w:p>
      <w:pPr>
        <w:spacing w:after="200"/>
      </w:pPr>
    </w:p>
    <w:p>
      <w:pPr>
        <w:pStyle w:val="Heading1"/>
        <w:spacing w:after="160" w:before="360"/>
      </w:pPr>
      <w:r>
        <w:rPr>
          <w:rFonts w:ascii="Source Serif 4" w:cs="Source Serif 4" w:eastAsia="Source Serif 4" w:hAnsi="Source Serif 4"/>
          <w:b/>
          <w:bCs/>
          <w:color w:val="4F46E5"/>
        </w:rPr>
        <w:t xml:space="preserve">5. Materi/Konten yang Disampaikan pada Setiap Sesi</w:t>
      </w:r>
    </w:p>
    <w:p>
      <w:pPr>
        <w:spacing w:after="160" w:line="300"/>
      </w:pPr>
      <w:r>
        <w:rPr>
          <w:rFonts w:ascii="IBM Plex Sans" w:cs="IBM Plex Sans" w:eastAsia="IBM Plex Sans" w:hAnsi="IBM Plex Sans"/>
          <w:color w:val="334155"/>
          <w:sz w:val="22"/>
          <w:szCs w:val="22"/>
        </w:rPr>
        <w:t xml:space="preserve">Materi penyuluhan kelompok (Langkah 4) mengikuti delapan kegiatan utama Posyandu Remaja yang ditetapkan Kementerian Kesehatan RI dalam Petunjuk Teknis Penyelenggaraan Posyandu Remaja, dan dirotasi antar sesi mengikuti siklus kunjungan bulanan.</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Pendidikan Keterampilan Hidup Sehat (PKHS)</w:t>
      </w:r>
      <w:r>
        <w:rPr>
          <w:rFonts w:ascii="IBM Plex Sans" w:cs="IBM Plex Sans" w:eastAsia="IBM Plex Sans" w:hAnsi="IBM Plex Sans"/>
          <w:color w:val="334155"/>
          <w:sz w:val="22"/>
          <w:szCs w:val="22"/>
        </w:rPr>
        <w:t xml:space="preserve"> — kecakapan berpikir kritis, pengambilan keputusan, dan komunikasi asertif untuk menghadapi tekanan sebaya.</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Kesehatan Reproduksi Remaja</w:t>
      </w:r>
      <w:r>
        <w:rPr>
          <w:rFonts w:ascii="IBM Plex Sans" w:cs="IBM Plex Sans" w:eastAsia="IBM Plex Sans" w:hAnsi="IBM Plex Sans"/>
          <w:color w:val="334155"/>
          <w:sz w:val="22"/>
          <w:szCs w:val="22"/>
        </w:rPr>
        <w:t xml:space="preserve"> — pubertas dan siklus menstruasi normal, risiko obstetri kehamilan remaja (anemia, preeklamsia, berat badan lahir rendah, komplikasi persalinan), pencegahan seks pranikah, serta pengenalan infeksi menular seksual (IMS).</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Gizi</w:t>
      </w:r>
      <w:r>
        <w:rPr>
          <w:rFonts w:ascii="IBM Plex Sans" w:cs="IBM Plex Sans" w:eastAsia="IBM Plex Sans" w:hAnsi="IBM Plex Sans"/>
          <w:color w:val="334155"/>
          <w:sz w:val="22"/>
          <w:szCs w:val="22"/>
        </w:rPr>
        <w:t xml:space="preserve"> — kebutuhan gizi seimbang masa remaja dan pencegahan anemia defisiensi besi, mengacu pada pedoman pencegahan dan penanggulangan anemia pada remaja putri dan wanita usia subur.</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Aktivitas Fisik</w:t>
      </w:r>
      <w:r>
        <w:rPr>
          <w:rFonts w:ascii="IBM Plex Sans" w:cs="IBM Plex Sans" w:eastAsia="IBM Plex Sans" w:hAnsi="IBM Plex Sans"/>
          <w:color w:val="334155"/>
          <w:sz w:val="22"/>
          <w:szCs w:val="22"/>
        </w:rPr>
        <w:t xml:space="preserve"> — pentingnya aktivitas fisik teratur bagi pertumbuhan dan kesehatan mental remaja.</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Pencegahan Penyakit Tidak Menular (PTM)</w:t>
      </w:r>
      <w:r>
        <w:rPr>
          <w:rFonts w:ascii="IBM Plex Sans" w:cs="IBM Plex Sans" w:eastAsia="IBM Plex Sans" w:hAnsi="IBM Plex Sans"/>
          <w:color w:val="334155"/>
          <w:sz w:val="22"/>
          <w:szCs w:val="22"/>
        </w:rPr>
        <w:t xml:space="preserve"> — deteksi dini faktor risiko PTM sejak usia remaja (tekanan darah, indeks massa tubuh, kebiasaan merokok/rokok elektronik).</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Kesehatan Jiwa dan Pencegahan NAPZA</w:t>
      </w:r>
      <w:r>
        <w:rPr>
          <w:rFonts w:ascii="IBM Plex Sans" w:cs="IBM Plex Sans" w:eastAsia="IBM Plex Sans" w:hAnsi="IBM Plex Sans"/>
          <w:color w:val="334155"/>
          <w:sz w:val="22"/>
          <w:szCs w:val="22"/>
        </w:rPr>
        <w:t xml:space="preserve"> — pengelolaan stres, pengenalan tanda depresi/ansietas pada remaja, bahaya penyalahgunaan NAPZA dan rokok elektronik.</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Pencegahan Kekerasan pada Remaja</w:t>
      </w:r>
      <w:r>
        <w:rPr>
          <w:rFonts w:ascii="IBM Plex Sans" w:cs="IBM Plex Sans" w:eastAsia="IBM Plex Sans" w:hAnsi="IBM Plex Sans"/>
          <w:color w:val="334155"/>
          <w:sz w:val="22"/>
          <w:szCs w:val="22"/>
        </w:rPr>
        <w:t xml:space="preserve"> — pengenalan bentuk kekerasan seksual dan kekerasan dalam berpacaran (dating violence), perkawinan anak, serta jalur pelaporan dan perlindungan yang tersedia.</w:t>
      </w:r>
    </w:p>
    <w:p>
      <w:pPr>
        <w:pStyle w:val="ListParagraph"/>
        <w:numPr>
          <w:ilvl w:val="0"/>
          <w:numId w:val="2"/>
        </w:numPr>
        <w:spacing w:after="100" w:line="300"/>
      </w:pPr>
      <w:r>
        <w:rPr>
          <w:rFonts w:ascii="IBM Plex Sans" w:cs="IBM Plex Sans" w:eastAsia="IBM Plex Sans" w:hAnsi="IBM Plex Sans"/>
          <w:b/>
          <w:bCs/>
          <w:color w:val="334155"/>
          <w:sz w:val="22"/>
          <w:szCs w:val="22"/>
        </w:rPr>
        <w:t xml:space="preserve">Penyuluhan Isu Kesehatan Terkini</w:t>
      </w:r>
      <w:r>
        <w:rPr>
          <w:rFonts w:ascii="IBM Plex Sans" w:cs="IBM Plex Sans" w:eastAsia="IBM Plex Sans" w:hAnsi="IBM Plex Sans"/>
          <w:color w:val="334155"/>
          <w:sz w:val="22"/>
          <w:szCs w:val="22"/>
        </w:rPr>
        <w:t xml:space="preserve"> — topik kontekstual yang relevan dengan kondisi kesehatan masyarakat setempat pada periode berjalan.</w:t>
      </w:r>
    </w:p>
    <w:p>
      <w:pPr>
        <w:spacing w:after="100"/>
      </w:pPr>
    </w:p>
    <w:p>
      <w:pPr>
        <w:spacing w:after="160" w:line="300"/>
      </w:pPr>
      <w:r>
        <w:rPr>
          <w:rFonts w:ascii="IBM Plex Sans" w:cs="IBM Plex Sans" w:eastAsia="IBM Plex Sans" w:hAnsi="IBM Plex Sans"/>
          <w:color w:val="334155"/>
          <w:sz w:val="22"/>
          <w:szCs w:val="22"/>
        </w:rPr>
        <w:t xml:space="preserve">Metode penyampaian menggunakan pendekatan partisipatif (diskusi kelompok kecil, permainan peran, media audiovisual) dan peer education oleh kader terlatih, merujuk pada kerangka teori perilaku remaja (Health Belief Theory, Theory of Planned Behavior, Transtheoretical Model) sebagaimana tercantum dalam standar kompetensi pengetahuan terkait.</w:t>
      </w:r>
    </w:p>
    <w:p>
      <w:pPr>
        <w:pStyle w:val="Heading1"/>
        <w:spacing w:after="160" w:before="360"/>
      </w:pPr>
      <w:r>
        <w:rPr>
          <w:rFonts w:ascii="Source Serif 4" w:cs="Source Serif 4" w:eastAsia="Source Serif 4" w:hAnsi="Source Serif 4"/>
          <w:b/>
          <w:bCs/>
          <w:color w:val="4F46E5"/>
        </w:rPr>
        <w:t xml:space="preserve">6. Indikator Keberhasilan Program</w:t>
      </w:r>
    </w:p>
    <w:p>
      <w:pPr>
        <w:pStyle w:val="Heading2"/>
        <w:spacing w:after="160" w:before="240"/>
      </w:pPr>
      <w:r>
        <w:rPr>
          <w:rFonts w:ascii="Source Serif 4" w:cs="Source Serif 4" w:eastAsia="Source Serif 4" w:hAnsi="Source Serif 4"/>
          <w:b/>
          <w:bCs/>
          <w:color w:val="334155"/>
        </w:rPr>
        <w:t xml:space="preserve">6.1 Indikator Tingkat Individu Peserta</w:t>
      </w:r>
    </w:p>
    <w:p>
      <w:pPr>
        <w:pStyle w:val="ListParagraph"/>
        <w:numPr>
          <w:ilvl w:val="0"/>
          <w:numId w:val="1"/>
        </w:numPr>
        <w:spacing w:after="100" w:line="300"/>
      </w:pPr>
      <w:r>
        <w:rPr>
          <w:rFonts w:ascii="IBM Plex Sans" w:cs="IBM Plex Sans" w:eastAsia="IBM Plex Sans" w:hAnsi="IBM Plex Sans"/>
          <w:color w:val="334155"/>
          <w:sz w:val="22"/>
          <w:szCs w:val="22"/>
        </w:rPr>
        <w:t xml:space="preserve">Setiap peserta memperoleh skrining biopsikososial dasar (antropometri, tanda vital, skrining psikososial) pada setiap kunjungan — target 100%.</w:t>
      </w:r>
    </w:p>
    <w:p>
      <w:pPr>
        <w:pStyle w:val="ListParagraph"/>
        <w:numPr>
          <w:ilvl w:val="0"/>
          <w:numId w:val="1"/>
        </w:numPr>
        <w:spacing w:after="100" w:line="300"/>
      </w:pPr>
      <w:r>
        <w:rPr>
          <w:rFonts w:ascii="IBM Plex Sans" w:cs="IBM Plex Sans" w:eastAsia="IBM Plex Sans" w:hAnsi="IBM Plex Sans"/>
          <w:color w:val="334155"/>
          <w:sz w:val="22"/>
          <w:szCs w:val="22"/>
        </w:rPr>
        <w:t xml:space="preserve">Peningkatan skor pengetahuan kesehatan reproduksi pada evaluasi pre-test dibandingkan post-test.</w:t>
      </w:r>
    </w:p>
    <w:p>
      <w:pPr>
        <w:pStyle w:val="ListParagraph"/>
        <w:numPr>
          <w:ilvl w:val="0"/>
          <w:numId w:val="1"/>
        </w:numPr>
        <w:spacing w:after="100" w:line="300"/>
      </w:pPr>
      <w:r>
        <w:rPr>
          <w:rFonts w:ascii="IBM Plex Sans" w:cs="IBM Plex Sans" w:eastAsia="IBM Plex Sans" w:hAnsi="IBM Plex Sans"/>
          <w:color w:val="334155"/>
          <w:sz w:val="22"/>
          <w:szCs w:val="22"/>
        </w:rPr>
        <w:t xml:space="preserve">Peserta dengan temuan berisiko menerima konseling individual dan rencana tindak lanjut terdokumentasi.</w:t>
      </w:r>
    </w:p>
    <w:p>
      <w:pPr>
        <w:spacing w:after="10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 — TARGET INDIKATOR</w:t>
            </w:r>
          </w:p>
          <w:p>
            <w:pPr>
              <w:spacing w:after="0" w:line="280"/>
            </w:pPr>
            <w:r>
              <w:rPr>
                <w:rFonts w:ascii="IBM Plex Mono" w:cs="IBM Plex Mono" w:eastAsia="IBM Plex Mono" w:hAnsi="IBM Plex Mono"/>
                <w:color w:val="334155"/>
                <w:sz w:val="19"/>
                <w:szCs w:val="19"/>
              </w:rPr>
              <w:t xml:space="preserve">Kepkonsil, entri capaian kompetensi No. 14 (Kesehatan Reproduksi Remaja): “100% sesi edukasi mencakup gizi, seksual, mental” dan “≥80% peserta remaja menunjukkan peningkatan pengetahuan (pre-post test)”. Nilai kompetensi konseling remaja pelaksana (PPDS) dinilai melalui Mini-CEX dengan ambang ≥3/5.</w:t>
            </w:r>
          </w:p>
        </w:tc>
      </w:tr>
    </w:tbl>
    <w:p>
      <w:pPr>
        <w:spacing w:after="200"/>
      </w:pPr>
    </w:p>
    <w:p>
      <w:pPr>
        <w:pStyle w:val="Heading2"/>
        <w:spacing w:after="160" w:before="240"/>
      </w:pPr>
      <w:r>
        <w:rPr>
          <w:rFonts w:ascii="Source Serif 4" w:cs="Source Serif 4" w:eastAsia="Source Serif 4" w:hAnsi="Source Serif 4"/>
          <w:b/>
          <w:bCs/>
          <w:color w:val="334155"/>
        </w:rPr>
        <w:t xml:space="preserve">6.2 Indikator Tingkat Agregat/Populasi</w:t>
      </w:r>
    </w:p>
    <w:p>
      <w:pPr>
        <w:pStyle w:val="ListParagraph"/>
        <w:numPr>
          <w:ilvl w:val="0"/>
          <w:numId w:val="1"/>
        </w:numPr>
        <w:spacing w:after="100" w:line="300"/>
      </w:pPr>
      <w:r>
        <w:rPr>
          <w:rFonts w:ascii="IBM Plex Sans" w:cs="IBM Plex Sans" w:eastAsia="IBM Plex Sans" w:hAnsi="IBM Plex Sans"/>
          <w:color w:val="334155"/>
          <w:sz w:val="22"/>
          <w:szCs w:val="22"/>
        </w:rPr>
        <w:t xml:space="preserve">Frekuensi minimal kegiatan penyuluhan/pelayanan remaja dilaksanakan sesuai jadwal program — target Kepkonsil menetapkan minimal ≥2 kegiatan PKPR per periode evaluasi kompetensi peserta didik terlibat.</w:t>
      </w:r>
    </w:p>
    <w:p>
      <w:pPr>
        <w:pStyle w:val="ListParagraph"/>
        <w:numPr>
          <w:ilvl w:val="0"/>
          <w:numId w:val="1"/>
        </w:numPr>
        <w:spacing w:after="100" w:line="300"/>
      </w:pPr>
      <w:r>
        <w:rPr>
          <w:rFonts w:ascii="IBM Plex Sans" w:cs="IBM Plex Sans" w:eastAsia="IBM Plex Sans" w:hAnsi="IBM Plex Sans"/>
          <w:color w:val="334155"/>
          <w:sz w:val="22"/>
          <w:szCs w:val="22"/>
        </w:rPr>
        <w:t xml:space="preserve">Cakupan remaja terdaftar dan dilayani di wilayah kerja per periode pelaporan [DATA: rujuk laporan/registri resmi terbaru — mis. Kemenkes, BKKBN, POGI, WHO].</w:t>
      </w:r>
    </w:p>
    <w:p>
      <w:pPr>
        <w:pStyle w:val="ListParagraph"/>
        <w:numPr>
          <w:ilvl w:val="0"/>
          <w:numId w:val="1"/>
        </w:numPr>
        <w:spacing w:after="100" w:line="300"/>
      </w:pPr>
      <w:r>
        <w:rPr>
          <w:rFonts w:ascii="IBM Plex Sans" w:cs="IBM Plex Sans" w:eastAsia="IBM Plex Sans" w:hAnsi="IBM Plex Sans"/>
          <w:color w:val="334155"/>
          <w:sz w:val="22"/>
          <w:szCs w:val="22"/>
        </w:rPr>
        <w:t xml:space="preserve">Proporsi kasus berisiko yang berhasil dirujuk dan ditindaklanjuti ke PPK-069 dibandingkan total temuan berisiko [DATA: rujuk laporan/registri resmi terbaru].</w:t>
      </w:r>
    </w:p>
    <w:p>
      <w:pPr>
        <w:pStyle w:val="ListParagraph"/>
        <w:numPr>
          <w:ilvl w:val="0"/>
          <w:numId w:val="1"/>
        </w:numPr>
        <w:spacing w:after="100" w:line="300"/>
      </w:pPr>
      <w:r>
        <w:rPr>
          <w:rFonts w:ascii="IBM Plex Sans" w:cs="IBM Plex Sans" w:eastAsia="IBM Plex Sans" w:hAnsi="IBM Plex Sans"/>
          <w:color w:val="334155"/>
          <w:sz w:val="22"/>
          <w:szCs w:val="22"/>
        </w:rPr>
        <w:t xml:space="preserve">Angka kehamilan remaja dan angka perkawinan anak pada populasi sasaran dari waktu ke waktu, sebagai indikator dampak jangka menengah program yang selaras dengan target STRANAS PPA [DATA: rujuk laporan/registri resmi terbaru — mis. BKKBN, Kemenkes, Kemen PPPA].</w:t>
      </w:r>
    </w:p>
    <w:p>
      <w:pPr>
        <w:spacing w:after="100"/>
      </w:pPr>
    </w:p>
    <w:p>
      <w:pPr>
        <w:pStyle w:val="Heading1"/>
        <w:spacing w:after="160" w:before="360"/>
      </w:pPr>
      <w:r>
        <w:rPr>
          <w:rFonts w:ascii="Source Serif 4" w:cs="Source Serif 4" w:eastAsia="Source Serif 4" w:hAnsi="Source Serif 4"/>
          <w:b/>
          <w:bCs/>
          <w:color w:val="4F46E5"/>
        </w:rPr>
        <w:t xml:space="preserve">7. Kriteria dan Alur Rujukan Bila Ditemukan Kasus Individual Berisiko</w:t>
      </w:r>
    </w:p>
    <w:p>
      <w:pPr>
        <w:spacing w:after="160" w:line="300"/>
      </w:pPr>
      <w:r>
        <w:rPr>
          <w:rFonts w:ascii="IBM Plex Sans" w:cs="IBM Plex Sans" w:eastAsia="IBM Plex Sans" w:hAnsi="IBM Plex Sans"/>
          <w:color w:val="334155"/>
          <w:sz w:val="22"/>
          <w:szCs w:val="22"/>
        </w:rPr>
        <w:t xml:space="preserve">Sesi kelompok bersifat promotif-preventif dan tidak dirancang untuk menegakkan diagnosis maupun memberikan tata laksana individual definitif. Setiap temuan yang memenuhi kriteria berisiko di bawah ini WAJIB dirujuk ke jalur pelayanan individual pada </w:t>
      </w:r>
      <w:r>
        <w:rPr>
          <w:rFonts w:ascii="IBM Plex Sans" w:cs="IBM Plex Sans" w:eastAsia="IBM Plex Sans" w:hAnsi="IBM Plex Sans"/>
          <w:b/>
          <w:bCs/>
          <w:color w:val="334155"/>
          <w:sz w:val="22"/>
          <w:szCs w:val="22"/>
        </w:rPr>
        <w:t xml:space="preserve">PPK-069 — Kehamilan Remaja / Kesehatan Reproduksi Remaja</w:t>
      </w:r>
      <w:r>
        <w:rPr>
          <w:rFonts w:ascii="IBM Plex Sans" w:cs="IBM Plex Sans" w:eastAsia="IBM Plex Sans" w:hAnsi="IBM Plex Sans"/>
          <w:color w:val="334155"/>
          <w:sz w:val="22"/>
          <w:szCs w:val="22"/>
        </w:rPr>
        <w:t xml:space="preserve">.</w:t>
      </w:r>
    </w:p>
    <w:p>
      <w:pPr>
        <w:pStyle w:val="Heading2"/>
        <w:spacing w:after="160" w:before="240"/>
      </w:pPr>
      <w:r>
        <w:rPr>
          <w:rFonts w:ascii="Source Serif 4" w:cs="Source Serif 4" w:eastAsia="Source Serif 4" w:hAnsi="Source Serif 4"/>
          <w:b/>
          <w:bCs/>
          <w:color w:val="334155"/>
        </w:rPr>
        <w:t xml:space="preserve">Kriteria Rujukan</w:t>
      </w:r>
    </w:p>
    <w:p>
      <w:pPr>
        <w:pStyle w:val="ListParagraph"/>
        <w:numPr>
          <w:ilvl w:val="0"/>
          <w:numId w:val="1"/>
        </w:numPr>
        <w:spacing w:after="100" w:line="300"/>
      </w:pPr>
      <w:r>
        <w:rPr>
          <w:rFonts w:ascii="IBM Plex Sans" w:cs="IBM Plex Sans" w:eastAsia="IBM Plex Sans" w:hAnsi="IBM Plex Sans"/>
          <w:color w:val="334155"/>
          <w:sz w:val="22"/>
          <w:szCs w:val="22"/>
        </w:rPr>
        <w:t xml:space="preserve">Kecurigaan atau konfirmasi kehamilan pada peserta remaja.</w:t>
      </w:r>
    </w:p>
    <w:p>
      <w:pPr>
        <w:pStyle w:val="ListParagraph"/>
        <w:numPr>
          <w:ilvl w:val="0"/>
          <w:numId w:val="1"/>
        </w:numPr>
        <w:spacing w:after="100" w:line="300"/>
      </w:pPr>
      <w:r>
        <w:rPr>
          <w:rFonts w:ascii="IBM Plex Sans" w:cs="IBM Plex Sans" w:eastAsia="IBM Plex Sans" w:hAnsi="IBM Plex Sans"/>
          <w:color w:val="334155"/>
          <w:sz w:val="22"/>
          <w:szCs w:val="22"/>
        </w:rPr>
        <w:t xml:space="preserve">Tanda anemia sedang–berat, malnutrisi, atau gejala preeklamsia pada remaja hamil.</w:t>
      </w:r>
    </w:p>
    <w:p>
      <w:pPr>
        <w:pStyle w:val="ListParagraph"/>
        <w:numPr>
          <w:ilvl w:val="0"/>
          <w:numId w:val="1"/>
        </w:numPr>
        <w:spacing w:after="100" w:line="300"/>
      </w:pPr>
      <w:r>
        <w:rPr>
          <w:rFonts w:ascii="IBM Plex Sans" w:cs="IBM Plex Sans" w:eastAsia="IBM Plex Sans" w:hAnsi="IBM Plex Sans"/>
          <w:color w:val="334155"/>
          <w:sz w:val="22"/>
          <w:szCs w:val="22"/>
        </w:rPr>
        <w:t xml:space="preserve">Kecurigaan infeksi menular seksual bergejala.</w:t>
      </w:r>
    </w:p>
    <w:p>
      <w:pPr>
        <w:pStyle w:val="ListParagraph"/>
        <w:numPr>
          <w:ilvl w:val="0"/>
          <w:numId w:val="1"/>
        </w:numPr>
        <w:spacing w:after="100" w:line="300"/>
      </w:pPr>
      <w:r>
        <w:rPr>
          <w:rFonts w:ascii="IBM Plex Sans" w:cs="IBM Plex Sans" w:eastAsia="IBM Plex Sans" w:hAnsi="IBM Plex Sans"/>
          <w:color w:val="334155"/>
          <w:sz w:val="22"/>
          <w:szCs w:val="22"/>
        </w:rPr>
        <w:t xml:space="preserve">Kecurigaan kekerasan seksual, kekerasan dalam berpacaran, atau eksploitasi.</w:t>
      </w:r>
    </w:p>
    <w:p>
      <w:pPr>
        <w:pStyle w:val="ListParagraph"/>
        <w:numPr>
          <w:ilvl w:val="0"/>
          <w:numId w:val="1"/>
        </w:numPr>
        <w:spacing w:after="100" w:line="300"/>
      </w:pPr>
      <w:r>
        <w:rPr>
          <w:rFonts w:ascii="IBM Plex Sans" w:cs="IBM Plex Sans" w:eastAsia="IBM Plex Sans" w:hAnsi="IBM Plex Sans"/>
          <w:color w:val="334155"/>
          <w:sz w:val="22"/>
          <w:szCs w:val="22"/>
        </w:rPr>
        <w:t xml:space="preserve">Tanda gangguan kesehatan jiwa yang memerlukan asesmen lebih lanjut (ide bunuh diri, gejala depresi/ansietas berat).</w:t>
      </w:r>
    </w:p>
    <w:p>
      <w:pPr>
        <w:pStyle w:val="ListParagraph"/>
        <w:numPr>
          <w:ilvl w:val="0"/>
          <w:numId w:val="1"/>
        </w:numPr>
        <w:spacing w:after="100" w:line="300"/>
      </w:pPr>
      <w:r>
        <w:rPr>
          <w:rFonts w:ascii="IBM Plex Sans" w:cs="IBM Plex Sans" w:eastAsia="IBM Plex Sans" w:hAnsi="IBM Plex Sans"/>
          <w:color w:val="334155"/>
          <w:sz w:val="22"/>
          <w:szCs w:val="22"/>
        </w:rPr>
        <w:t xml:space="preserve">Kehamilan yang tidak diinginkan yang membutuhkan konseling nondirektif komprehensif.</w:t>
      </w:r>
    </w:p>
    <w:p>
      <w:pPr>
        <w:spacing w:after="100"/>
      </w:pPr>
    </w:p>
    <w:p>
      <w:pPr>
        <w:pStyle w:val="Heading2"/>
        <w:spacing w:after="160" w:before="240"/>
      </w:pPr>
      <w:r>
        <w:rPr>
          <w:rFonts w:ascii="Source Serif 4" w:cs="Source Serif 4" w:eastAsia="Source Serif 4" w:hAnsi="Source Serif 4"/>
          <w:b/>
          <w:bCs/>
          <w:color w:val="334155"/>
        </w:rPr>
        <w:t xml:space="preserve">Alur Rujukan</w:t>
      </w:r>
    </w:p>
    <w:p>
      <w:pPr>
        <w:pStyle w:val="ListParagraph"/>
        <w:numPr>
          <w:ilvl w:val="0"/>
          <w:numId w:val="2"/>
        </w:numPr>
        <w:spacing w:after="100" w:line="300"/>
      </w:pPr>
      <w:r>
        <w:rPr>
          <w:rFonts w:ascii="IBM Plex Sans" w:cs="IBM Plex Sans" w:eastAsia="IBM Plex Sans" w:hAnsi="IBM Plex Sans"/>
          <w:color w:val="334155"/>
          <w:sz w:val="22"/>
          <w:szCs w:val="22"/>
        </w:rPr>
        <w:t xml:space="preserve">Identifikasi temuan berisiko pada tahap skrining (Langkah 2–4) oleh bidan/perawat atau kader.</w:t>
      </w:r>
    </w:p>
    <w:p>
      <w:pPr>
        <w:pStyle w:val="ListParagraph"/>
        <w:numPr>
          <w:ilvl w:val="0"/>
          <w:numId w:val="2"/>
        </w:numPr>
        <w:spacing w:after="100" w:line="300"/>
      </w:pPr>
      <w:r>
        <w:rPr>
          <w:rFonts w:ascii="IBM Plex Sans" w:cs="IBM Plex Sans" w:eastAsia="IBM Plex Sans" w:hAnsi="IBM Plex Sans"/>
          <w:color w:val="334155"/>
          <w:sz w:val="22"/>
          <w:szCs w:val="22"/>
        </w:rPr>
        <w:t xml:space="preserve">Eskalasi segera ke konseling individual (Langkah 4) bersama PPDS/dokter penanggung jawab sesi untuk konfirmasi awal dan stabilisasi psikososial.</w:t>
      </w:r>
    </w:p>
    <w:p>
      <w:pPr>
        <w:pStyle w:val="ListParagraph"/>
        <w:numPr>
          <w:ilvl w:val="0"/>
          <w:numId w:val="2"/>
        </w:numPr>
        <w:spacing w:after="100" w:line="300"/>
      </w:pPr>
      <w:r>
        <w:rPr>
          <w:rFonts w:ascii="IBM Plex Sans" w:cs="IBM Plex Sans" w:eastAsia="IBM Plex Sans" w:hAnsi="IBM Plex Sans"/>
          <w:color w:val="334155"/>
          <w:sz w:val="22"/>
          <w:szCs w:val="22"/>
        </w:rPr>
        <w:t xml:space="preserve">Bila kriteria rujukan terpenuhi, peserta dan wali/orang tua diberikan informasi dan persetujuan rujukan, disertai surat pengantar ke Puskesmas penyelenggara PKPR/PPK-069 untuk asesmen medis, psikososial, hukum, dan etik yang komprehensif sesuai format PNPK.</w:t>
      </w:r>
    </w:p>
    <w:p>
      <w:pPr>
        <w:pStyle w:val="ListParagraph"/>
        <w:numPr>
          <w:ilvl w:val="0"/>
          <w:numId w:val="2"/>
        </w:numPr>
        <w:spacing w:after="100" w:line="300"/>
      </w:pPr>
      <w:r>
        <w:rPr>
          <w:rFonts w:ascii="IBM Plex Sans" w:cs="IBM Plex Sans" w:eastAsia="IBM Plex Sans" w:hAnsi="IBM Plex Sans"/>
          <w:color w:val="334155"/>
          <w:sz w:val="22"/>
          <w:szCs w:val="22"/>
        </w:rPr>
        <w:t xml:space="preserve">Dokumentasi rujukan dicatat pada rekam Posyandu ILP/PKPR dan ditembuskan ke koordinator program untuk pemantauan tindak lanjut serta pelaporan pada indikator agregat (Bagian 6.2).</w:t>
      </w:r>
    </w:p>
    <w:p>
      <w:pPr>
        <w:pStyle w:val="ListParagraph"/>
        <w:numPr>
          <w:ilvl w:val="0"/>
          <w:numId w:val="2"/>
        </w:numPr>
        <w:spacing w:after="100" w:line="300"/>
      </w:pPr>
      <w:r>
        <w:rPr>
          <w:rFonts w:ascii="IBM Plex Sans" w:cs="IBM Plex Sans" w:eastAsia="IBM Plex Sans" w:hAnsi="IBM Plex Sans"/>
          <w:color w:val="334155"/>
          <w:sz w:val="22"/>
          <w:szCs w:val="22"/>
        </w:rPr>
        <w:t xml:space="preserve">Umpan balik hasil tata laksana individual dari PPK-069 diintegrasikan kembali ke tim Posyandu ILP/PKPR sebagai bahan evaluasi dan pembelajaran kasus (case conference) berkala.</w:t>
      </w:r>
    </w:p>
    <w:p>
      <w:pPr>
        <w:spacing w:after="100"/>
      </w:pPr>
    </w:p>
    <w:p>
      <w:pPr>
        <w:pStyle w:val="Heading1"/>
        <w:spacing w:after="160" w:before="360"/>
      </w:pPr>
      <w:r>
        <w:rPr>
          <w:rFonts w:ascii="Source Serif 4" w:cs="Source Serif 4" w:eastAsia="Source Serif 4" w:hAnsi="Source Serif 4"/>
          <w:b/>
          <w:bCs/>
          <w:color w:val="4F46E5"/>
        </w:rPr>
        <w:t xml:space="preserve">8. Dasar Regulasi dan Rujukan Program Nasional</w:t>
      </w: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 UTAMA</w:t>
            </w:r>
          </w:p>
          <w:p>
            <w:pPr>
              <w:spacing w:after="0" w:line="280"/>
            </w:pPr>
            <w:r>
              <w:rPr>
                <w:rFonts w:ascii="IBM Plex Mono" w:cs="IBM Plex Mono" w:eastAsia="IBM Plex Mono" w:hAnsi="IBM Plex Mono"/>
                <w:color w:val="334155"/>
                <w:sz w:val="19"/>
                <w:szCs w:val="19"/>
              </w:rPr>
              <w:t xml:space="preserve">Kepkonsil, Tabel 7 (Spektrum Penyakit dan Kondisi Klinis yang Ditangani Spesialis Obstetri dan Ginekologi) No. 69: “Kehamilan remaja / Teenage pregnancy”, ICD-10: Z35.6; ICD-11: QA43.5; Keterangan/Populasi Prioritas: “Kehamilan pada remaja”.</w:t>
            </w:r>
          </w:p>
        </w:tc>
      </w:tr>
    </w:tbl>
    <w:p>
      <w:pPr>
        <w:spacing w:after="200"/>
      </w:pPr>
    </w:p>
    <w:p>
      <w:pPr>
        <w:spacing w:after="160" w:line="300"/>
      </w:pPr>
      <w:r>
        <w:rPr>
          <w:rFonts w:ascii="IBM Plex Sans" w:cs="IBM Plex Sans" w:eastAsia="IBM Plex Sans" w:hAnsi="IBM Plex Sans"/>
          <w:color w:val="334155"/>
          <w:sz w:val="22"/>
          <w:szCs w:val="22"/>
        </w:rPr>
        <w:t xml:space="preserve">Landasan kompetensi prosedural program ini merujuk pada entri No. 7 (Penatalaksanaan Kehamilan Remaja) dalam peta Kompetensi Medis Subspesialis Obstetri Ginekologi Sosial, yang mencakup identifikasi usia dan status reproduksi, konseling komprehensif medis-psikososial-hukum-etik, skrining risiko anemia/malnutrisi/preeklamsia/komplikasi persalinan, serta kolaborasi multidisiplin (obstetri-ginekologi, psikologi, pekerja sosial).</w:t>
      </w:r>
    </w:p>
    <w:p>
      <w:pPr>
        <w:spacing w:after="160" w:line="300"/>
      </w:pPr>
      <w:r>
        <w:rPr>
          <w:rFonts w:ascii="IBM Plex Sans" w:cs="IBM Plex Sans" w:eastAsia="IBM Plex Sans" w:hAnsi="IBM Plex Sans"/>
          <w:color w:val="334155"/>
          <w:sz w:val="22"/>
          <w:szCs w:val="22"/>
        </w:rPr>
        <w:t xml:space="preserve">Landasan kompetensi pengetahuan merujuk pada entri No. 14 (Kesehatan Reproduksi Remaja) yang secara eksplisit menetapkan pedoman Kemenkes PKPR (Pelayanan Kesehatan Peduli Remaja) sebagai acuan strategi promosi kesehatan dan edukasi berbasis rekan sebaya (peer education).</w:t>
      </w:r>
    </w:p>
    <w:p>
      <w:pPr>
        <w:pStyle w:val="Heading2"/>
        <w:spacing w:after="160" w:before="240"/>
      </w:pPr>
      <w:r>
        <w:rPr>
          <w:rFonts w:ascii="Source Serif 4" w:cs="Source Serif 4" w:eastAsia="Source Serif 4" w:hAnsi="Source Serif 4"/>
          <w:b/>
          <w:bCs/>
          <w:color w:val="334155"/>
        </w:rPr>
        <w:t xml:space="preserve">Program dan Regulasi Nasional Terkait</w:t>
      </w:r>
    </w:p>
    <w:p>
      <w:pPr>
        <w:pStyle w:val="ListParagraph"/>
        <w:numPr>
          <w:ilvl w:val="0"/>
          <w:numId w:val="1"/>
        </w:numPr>
        <w:spacing w:after="100" w:line="300"/>
      </w:pPr>
      <w:r>
        <w:rPr>
          <w:rFonts w:ascii="IBM Plex Sans" w:cs="IBM Plex Sans" w:eastAsia="IBM Plex Sans" w:hAnsi="IBM Plex Sans"/>
          <w:color w:val="334155"/>
          <w:sz w:val="22"/>
          <w:szCs w:val="22"/>
        </w:rPr>
        <w:t xml:space="preserve">Undang-Undang Nomor 17 Tahun 2023 tentang Kesehatan beserta peraturan pelaksanaannya, Peraturan Pemerintah Nomor 28 Tahun 2024.</w:t>
      </w:r>
    </w:p>
    <w:p>
      <w:pPr>
        <w:pStyle w:val="ListParagraph"/>
        <w:numPr>
          <w:ilvl w:val="0"/>
          <w:numId w:val="1"/>
        </w:numPr>
        <w:spacing w:after="100" w:line="300"/>
      </w:pPr>
      <w:r>
        <w:rPr>
          <w:rFonts w:ascii="IBM Plex Sans" w:cs="IBM Plex Sans" w:eastAsia="IBM Plex Sans" w:hAnsi="IBM Plex Sans"/>
          <w:color w:val="334155"/>
          <w:sz w:val="22"/>
          <w:szCs w:val="22"/>
        </w:rPr>
        <w:t xml:space="preserve">Keputusan Menteri Kesehatan Republik Indonesia Nomor HK.01.07/MENKES/2015/2023 tentang Petunjuk Teknis Integrasi Pelayanan Kesehatan Primer (ILP), dasar penyelenggaraan Posyandu ILP jalur usia sekolah dan remaja.</w:t>
      </w:r>
    </w:p>
    <w:p>
      <w:pPr>
        <w:pStyle w:val="ListParagraph"/>
        <w:numPr>
          <w:ilvl w:val="0"/>
          <w:numId w:val="1"/>
        </w:numPr>
        <w:spacing w:after="100" w:line="300"/>
      </w:pPr>
      <w:r>
        <w:rPr>
          <w:rFonts w:ascii="IBM Plex Sans" w:cs="IBM Plex Sans" w:eastAsia="IBM Plex Sans" w:hAnsi="IBM Plex Sans"/>
          <w:color w:val="334155"/>
          <w:sz w:val="22"/>
          <w:szCs w:val="22"/>
        </w:rPr>
        <w:t xml:space="preserve">Pedoman Standar Nasional Pelayanan Kesehatan Peduli Remaja (PKPR), Kementerian Kesehatan RI, sebagai acuan mutu layanan klinis remaja di Puskesmas.</w:t>
      </w:r>
    </w:p>
    <w:p>
      <w:pPr>
        <w:pStyle w:val="ListParagraph"/>
        <w:numPr>
          <w:ilvl w:val="0"/>
          <w:numId w:val="1"/>
        </w:numPr>
        <w:spacing w:after="100" w:line="300"/>
      </w:pPr>
      <w:r>
        <w:rPr>
          <w:rFonts w:ascii="IBM Plex Sans" w:cs="IBM Plex Sans" w:eastAsia="IBM Plex Sans" w:hAnsi="IBM Plex Sans"/>
          <w:color w:val="334155"/>
          <w:sz w:val="22"/>
          <w:szCs w:val="22"/>
        </w:rPr>
        <w:t xml:space="preserve">Petunjuk Teknis Penyelenggaraan Posyandu Remaja, Direktorat Kesehatan Keluarga, Kementerian Kesehatan RI (2018), sebagai rujukan struktur delapan kegiatan utama pada Bagian 5.</w:t>
      </w:r>
    </w:p>
    <w:p>
      <w:pPr>
        <w:pStyle w:val="ListParagraph"/>
        <w:numPr>
          <w:ilvl w:val="0"/>
          <w:numId w:val="1"/>
        </w:numPr>
        <w:spacing w:after="100" w:line="300"/>
      </w:pPr>
      <w:r>
        <w:rPr>
          <w:rFonts w:ascii="IBM Plex Sans" w:cs="IBM Plex Sans" w:eastAsia="IBM Plex Sans" w:hAnsi="IBM Plex Sans"/>
          <w:color w:val="334155"/>
          <w:sz w:val="22"/>
          <w:szCs w:val="22"/>
        </w:rPr>
        <w:t xml:space="preserve">Petunjuk Teknis Skrining Kesehatan Anak Usia Sekolah dan Remaja, Kementerian Kesehatan RI (2023), dan Pedoman Pencegahan dan Penanggulangan Anemia pada Remaja Putri dan Wanita Usia Subur, Kementerian Kesehatan RI (2018).</w:t>
      </w:r>
    </w:p>
    <w:p>
      <w:pPr>
        <w:pStyle w:val="ListParagraph"/>
        <w:numPr>
          <w:ilvl w:val="0"/>
          <w:numId w:val="1"/>
        </w:numPr>
        <w:spacing w:after="100" w:line="300"/>
      </w:pPr>
      <w:r>
        <w:rPr>
          <w:rFonts w:ascii="IBM Plex Sans" w:cs="IBM Plex Sans" w:eastAsia="IBM Plex Sans" w:hAnsi="IBM Plex Sans"/>
          <w:color w:val="334155"/>
          <w:sz w:val="22"/>
          <w:szCs w:val="22"/>
        </w:rPr>
        <w:t xml:space="preserve">Peraturan Presiden Nomor 25 Tahun 2021 tentang Kebijakan Kabupaten/Kota Layak Anak, yang mendukung pelaksanaan Strategi Nasional Pencegahan Perkawinan Anak (STRANAS PPA).</w:t>
      </w:r>
    </w:p>
    <w:p>
      <w:pPr>
        <w:pStyle w:val="ListParagraph"/>
        <w:numPr>
          <w:ilvl w:val="0"/>
          <w:numId w:val="1"/>
        </w:numPr>
        <w:spacing w:after="100" w:line="300"/>
      </w:pPr>
      <w:r>
        <w:rPr>
          <w:rFonts w:ascii="IBM Plex Sans" w:cs="IBM Plex Sans" w:eastAsia="IBM Plex Sans" w:hAnsi="IBM Plex Sans"/>
          <w:color w:val="334155"/>
          <w:sz w:val="22"/>
          <w:szCs w:val="22"/>
        </w:rPr>
        <w:t xml:space="preserve">Undang-Undang Nomor 16 Tahun 2019 tentang Perubahan atas Undang-Undang Nomor 1 Tahun 1974 tentang Perkawinan, yang menetapkan batas usia minimal perkawinan 19 tahun bagi pria dan wanita, relevan sebagai dasar advokasi pencegahan kehamilan remaja akibat perkawinan anak.</w:t>
      </w:r>
    </w:p>
    <w:p>
      <w:pPr>
        <w:spacing w:after="100"/>
      </w:pPr>
    </w:p>
    <w:p>
      <w:pPr>
        <w:pStyle w:val="Heading1"/>
        <w:spacing w:after="160" w:before="360"/>
      </w:pPr>
      <w:r>
        <w:rPr>
          <w:rFonts w:ascii="Source Serif 4" w:cs="Source Serif 4" w:eastAsia="Source Serif 4" w:hAnsi="Source Serif 4"/>
          <w:b/>
          <w:bCs/>
          <w:color w:val="4F46E5"/>
        </w:rPr>
        <w:t xml:space="preserve">9.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beserta pedoman PKPR dan Posyandu ILP Kemenkes) menetapkan kerangka pelaksanaan sesi kelompok sebagaimana diuraikan pada bagian-bagian sebelumnya. Bagian ini menyandingkan kerangka tersebut dengan standar internasional yang relevan, tanpa menggantikan posisi standar nasional sebagai acuan pelaksanaan utama di Indonesia.</w:t>
      </w:r>
    </w:p>
    <w:p>
      <w:pPr>
        <w:pStyle w:val="Heading2"/>
        <w:spacing w:after="160" w:before="240"/>
      </w:pPr>
      <w:r>
        <w:rPr>
          <w:rFonts w:ascii="Source Serif 4" w:cs="Source Serif 4" w:eastAsia="Source Serif 4" w:hAnsi="Source Serif 4"/>
          <w:b/>
          <w:bCs/>
          <w:color w:val="334155"/>
        </w:rPr>
        <w:t xml:space="preserve">WHO Global Standards for Quality Health Care Services for Adolescents</w:t>
      </w:r>
    </w:p>
    <w:p>
      <w:pPr>
        <w:spacing w:after="160" w:line="300"/>
      </w:pPr>
      <w:r>
        <w:rPr>
          <w:rFonts w:ascii="IBM Plex Sans" w:cs="IBM Plex Sans" w:eastAsia="IBM Plex Sans" w:hAnsi="IBM Plex Sans"/>
          <w:color w:val="334155"/>
          <w:sz w:val="22"/>
          <w:szCs w:val="22"/>
        </w:rPr>
        <w:t xml:space="preserve">Standar nasional (Kepkonsil/PKPR/Posyandu ILP) menetapkan struktur sesi lima-langkah dengan target cakupan edukasi dan peningkatan pengetahuan sebagai indikator utama; standar internasional WHO Global Standards for Quality Health Care Services for Adolescents (edisi pembaruan 2025) merekomendasikan sembilan standar kualitas layanan remaja yang menekankan literasi kesehatan remaja, dukungan komunitas dan keluarga, paket layanan yang sesuai, kompetensi tenaga kesehatan, karakteristik fasilitas ramah remaja, kesetaraan dan non-diskriminasi, sistem data dan peningkatan mutu, serta partisipasi bermakna remaja dalam perencanaan layanan; praktik di Indonesia mengikuti standar nasional dengan standar WHO tersebut digunakan sebagai kerangka pengayaan mutu, khususnya pada aspek keterlibatan remaja dalam perencanaan program dan mekanisme umpan balik peserta.</w:t>
      </w:r>
    </w:p>
    <w:p>
      <w:pPr>
        <w:pStyle w:val="Heading2"/>
        <w:spacing w:after="160" w:before="240"/>
      </w:pPr>
      <w:r>
        <w:rPr>
          <w:rFonts w:ascii="Source Serif 4" w:cs="Source Serif 4" w:eastAsia="Source Serif 4" w:hAnsi="Source Serif 4"/>
          <w:b/>
          <w:bCs/>
          <w:color w:val="334155"/>
        </w:rPr>
        <w:t xml:space="preserve">ICM Essential Competencies for Midwifery Practice</w:t>
      </w:r>
    </w:p>
    <w:p>
      <w:pPr>
        <w:spacing w:after="160" w:line="300"/>
      </w:pPr>
      <w:r>
        <w:rPr>
          <w:rFonts w:ascii="IBM Plex Sans" w:cs="IBM Plex Sans" w:eastAsia="IBM Plex Sans" w:hAnsi="IBM Plex Sans"/>
          <w:color w:val="334155"/>
          <w:sz w:val="22"/>
          <w:szCs w:val="22"/>
        </w:rPr>
        <w:t xml:space="preserve">Standar nasional menempatkan bidan sebagai pelaksana skrining antropometri, tanda vital, dan pemberian tablet tambah darah dalam struktur lima-langkah Posyandu ILP; standar internasional ICM Essential Competencies for Midwifery Practice edisi 2024 memperkenalkan Kategori 2 baru yang secara khusus mengatur kompetensi kesehatan dan hak seksual-reproduksi (Sexual and Reproductive Health and Rights), termasuk edukasi kontrasepsi bagi remaja dan penyediaan layanan rahasia dengan persetujuan wali sesuai hukum setempat; praktik di Indonesia mengikuti standar nasional, dengan peran edukasi dan konseling bidan pada layanan remaja dapat diperluas secara bertahap sesuai kapasitas dan pelatihan yang tersedia di masing-masing fasilitas.</w:t>
      </w:r>
    </w:p>
    <w:p>
      <w:pPr>
        <w:pStyle w:val="Heading2"/>
        <w:spacing w:after="160" w:before="240"/>
      </w:pPr>
      <w:r>
        <w:rPr>
          <w:rFonts w:ascii="Source Serif 4" w:cs="Source Serif 4" w:eastAsia="Source Serif 4" w:hAnsi="Source Serif 4"/>
          <w:b/>
          <w:bCs/>
          <w:color w:val="334155"/>
        </w:rPr>
        <w:t xml:space="preserve">Bukti Pendukung dari Tinjauan Sistematis Cochrane</w:t>
      </w:r>
    </w:p>
    <w:p>
      <w:pPr>
        <w:spacing w:after="160" w:line="300"/>
      </w:pPr>
      <w:r>
        <w:rPr>
          <w:rFonts w:ascii="IBM Plex Sans" w:cs="IBM Plex Sans" w:eastAsia="IBM Plex Sans" w:hAnsi="IBM Plex Sans"/>
          <w:color w:val="334155"/>
          <w:sz w:val="22"/>
          <w:szCs w:val="22"/>
        </w:rPr>
        <w:t xml:space="preserve">Tinjauan sistematis Cochrane oleh Mason-Jones dkk. (2016) terhadap delapan uji acak terkendali berbasis sekolah menemukan bahwa program edukasi seksualitas berbasis kurikulum semata tidak menunjukkan efek bermakna terhadap prevalensi HIV, infeksi menular seksual lain, maupun angka kehamilan remaja bila dibandingkan kelompok kontrol; sebaliknya, program yang menggabungkan edukasi dengan insentif untuk tetap bersekolah (misalnya seragam sekolah gratis) menunjukkan penurunan bermakna pada angka kehamilan remaja meski dengan tingkat kepastian bukti yang masih terbatas. Standar nasional tetap menjadi acuan pelaksanaan utama; temuan ini memperkuat argumen bahwa edukasi kelompok pada Bagian 3 dan 5 sebaiknya dipadukan dengan intervensi struktural pendukung (retensi sekolah, akses kontrasepsi, dan layanan kesehatan) agar dampaknya terhadap luaran biologis lebih optimal, bukan hanya mengandalkan penyuluhan semata.</w:t>
      </w:r>
    </w:p>
    <w:p>
      <w:pPr>
        <w:pStyle w:val="Heading1"/>
        <w:spacing w:after="160" w:before="360"/>
      </w:pPr>
      <w:r>
        <w:rPr>
          <w:rFonts w:ascii="Source Serif 4" w:cs="Source Serif 4" w:eastAsia="Source Serif 4" w:hAnsi="Source Serif 4"/>
          <w:b/>
          <w:bCs/>
          <w:color w:val="4F46E5"/>
        </w:rPr>
        <w:t xml:space="preserve">10. Kepustakaan</w:t>
      </w:r>
    </w:p>
    <w:p>
      <w:pPr>
        <w:pStyle w:val="ListParagraph"/>
        <w:numPr>
          <w:ilvl w:val="0"/>
          <w:numId w:val="1"/>
        </w:numPr>
        <w:spacing w:after="100" w:line="300"/>
      </w:pPr>
      <w:r>
        <w:rPr>
          <w:rFonts w:ascii="IBM Plex Sans" w:cs="IBM Plex Sans" w:eastAsia="IBM Plex Sans" w:hAnsi="IBM Plex Sans"/>
          <w:color w:val="334155"/>
          <w:sz w:val="22"/>
          <w:szCs w:val="22"/>
        </w:rPr>
        <w:t xml:space="preserve">Keputusan Ketua Konsil Kesehatan Indonesia Nomor HK.01.02/KKI/1318/2026 tentang Standar Kompetensi Dokter Spesialis dan Subspesialis Bidang Obstetri dan Ginekologi.</w:t>
      </w:r>
    </w:p>
    <w:p>
      <w:pPr>
        <w:pStyle w:val="ListParagraph"/>
        <w:numPr>
          <w:ilvl w:val="0"/>
          <w:numId w:val="1"/>
        </w:numPr>
        <w:spacing w:after="100" w:line="300"/>
      </w:pPr>
      <w:r>
        <w:rPr>
          <w:rFonts w:ascii="IBM Plex Sans" w:cs="IBM Plex Sans" w:eastAsia="IBM Plex Sans" w:hAnsi="IBM Plex Sans"/>
          <w:color w:val="334155"/>
          <w:sz w:val="22"/>
          <w:szCs w:val="22"/>
        </w:rPr>
        <w:t xml:space="preserve">Undang-Undang Republik Indonesia Nomor 17 Tahun 2023 tentang Kesehatan.</w:t>
      </w:r>
    </w:p>
    <w:p>
      <w:pPr>
        <w:pStyle w:val="ListParagraph"/>
        <w:numPr>
          <w:ilvl w:val="0"/>
          <w:numId w:val="1"/>
        </w:numPr>
        <w:spacing w:after="100" w:line="300"/>
      </w:pPr>
      <w:r>
        <w:rPr>
          <w:rFonts w:ascii="IBM Plex Sans" w:cs="IBM Plex Sans" w:eastAsia="IBM Plex Sans" w:hAnsi="IBM Plex Sans"/>
          <w:color w:val="334155"/>
          <w:sz w:val="22"/>
          <w:szCs w:val="22"/>
        </w:rPr>
        <w:t xml:space="preserve">Peraturan Pemerintah Republik Indonesia Nomor 28 Tahun 2024 tentang Peraturan Pelaksanaan Undang-Undang Nomor 17 Tahun 2023 tentang Kesehatan.</w:t>
      </w:r>
    </w:p>
    <w:p>
      <w:pPr>
        <w:pStyle w:val="ListParagraph"/>
        <w:numPr>
          <w:ilvl w:val="0"/>
          <w:numId w:val="1"/>
        </w:numPr>
        <w:spacing w:after="100" w:line="300"/>
      </w:pPr>
      <w:r>
        <w:rPr>
          <w:rFonts w:ascii="IBM Plex Sans" w:cs="IBM Plex Sans" w:eastAsia="IBM Plex Sans" w:hAnsi="IBM Plex Sans"/>
          <w:color w:val="334155"/>
          <w:sz w:val="22"/>
          <w:szCs w:val="22"/>
        </w:rPr>
        <w:t xml:space="preserve">Kementerian Kesehatan Republik Indonesia. Keputusan Menteri Kesehatan Nomor HK.01.07/MENKES/2015/2023 tentang Petunjuk Teknis Integrasi Pelayanan Kesehatan Primer. Jakarta, 2023.</w:t>
      </w:r>
    </w:p>
    <w:p>
      <w:pPr>
        <w:pStyle w:val="ListParagraph"/>
        <w:numPr>
          <w:ilvl w:val="0"/>
          <w:numId w:val="1"/>
        </w:numPr>
        <w:spacing w:after="100" w:line="300"/>
      </w:pPr>
      <w:r>
        <w:rPr>
          <w:rFonts w:ascii="IBM Plex Sans" w:cs="IBM Plex Sans" w:eastAsia="IBM Plex Sans" w:hAnsi="IBM Plex Sans"/>
          <w:color w:val="334155"/>
          <w:sz w:val="22"/>
          <w:szCs w:val="22"/>
        </w:rPr>
        <w:t xml:space="preserve">Kementerian Kesehatan Republik Indonesia. Pedoman Standar Nasional Pelayanan Kesehatan Peduli Remaja (PKPR). Jakarta.</w:t>
      </w:r>
    </w:p>
    <w:p>
      <w:pPr>
        <w:pStyle w:val="ListParagraph"/>
        <w:numPr>
          <w:ilvl w:val="0"/>
          <w:numId w:val="1"/>
        </w:numPr>
        <w:spacing w:after="100" w:line="300"/>
      </w:pPr>
      <w:r>
        <w:rPr>
          <w:rFonts w:ascii="IBM Plex Sans" w:cs="IBM Plex Sans" w:eastAsia="IBM Plex Sans" w:hAnsi="IBM Plex Sans"/>
          <w:color w:val="334155"/>
          <w:sz w:val="22"/>
          <w:szCs w:val="22"/>
        </w:rPr>
        <w:t xml:space="preserve">Kementerian Kesehatan Republik Indonesia, Direktorat Jenderal Kesehatan Masyarakat, Direktorat Kesehatan Keluarga. Petunjuk Teknis Penyelenggaraan Posyandu Remaja. Jakarta, 2018. ISBN 978-602-416-395-2.</w:t>
      </w:r>
    </w:p>
    <w:p>
      <w:pPr>
        <w:pStyle w:val="ListParagraph"/>
        <w:numPr>
          <w:ilvl w:val="0"/>
          <w:numId w:val="1"/>
        </w:numPr>
        <w:spacing w:after="100" w:line="300"/>
      </w:pPr>
      <w:r>
        <w:rPr>
          <w:rFonts w:ascii="IBM Plex Sans" w:cs="IBM Plex Sans" w:eastAsia="IBM Plex Sans" w:hAnsi="IBM Plex Sans"/>
          <w:color w:val="334155"/>
          <w:sz w:val="22"/>
          <w:szCs w:val="22"/>
        </w:rPr>
        <w:t xml:space="preserve">Kementerian Kesehatan Republik Indonesia. Petunjuk Teknis Skrining Kesehatan Anak Usia Sekolah dan Remaja. Jakarta, 2023.</w:t>
      </w:r>
    </w:p>
    <w:p>
      <w:pPr>
        <w:pStyle w:val="ListParagraph"/>
        <w:numPr>
          <w:ilvl w:val="0"/>
          <w:numId w:val="1"/>
        </w:numPr>
        <w:spacing w:after="100" w:line="300"/>
      </w:pPr>
      <w:r>
        <w:rPr>
          <w:rFonts w:ascii="IBM Plex Sans" w:cs="IBM Plex Sans" w:eastAsia="IBM Plex Sans" w:hAnsi="IBM Plex Sans"/>
          <w:color w:val="334155"/>
          <w:sz w:val="22"/>
          <w:szCs w:val="22"/>
        </w:rPr>
        <w:t xml:space="preserve">Kementerian Kesehatan Republik Indonesia. Pedoman Pencegahan dan Penanggulangan Anemia pada Remaja Putri dan Wanita Usia Subur. Jakarta, 2018.</w:t>
      </w:r>
    </w:p>
    <w:p>
      <w:pPr>
        <w:pStyle w:val="ListParagraph"/>
        <w:numPr>
          <w:ilvl w:val="0"/>
          <w:numId w:val="1"/>
        </w:numPr>
        <w:spacing w:after="100" w:line="300"/>
      </w:pPr>
      <w:r>
        <w:rPr>
          <w:rFonts w:ascii="IBM Plex Sans" w:cs="IBM Plex Sans" w:eastAsia="IBM Plex Sans" w:hAnsi="IBM Plex Sans"/>
          <w:color w:val="334155"/>
          <w:sz w:val="22"/>
          <w:szCs w:val="22"/>
        </w:rPr>
        <w:t xml:space="preserve">Peraturan Presiden Republik Indonesia Nomor 25 Tahun 2021 tentang Kebijakan Kabupaten/Kota Layak Anak.</w:t>
      </w:r>
    </w:p>
    <w:p>
      <w:pPr>
        <w:pStyle w:val="ListParagraph"/>
        <w:numPr>
          <w:ilvl w:val="0"/>
          <w:numId w:val="1"/>
        </w:numPr>
        <w:spacing w:after="100" w:line="300"/>
      </w:pPr>
      <w:r>
        <w:rPr>
          <w:rFonts w:ascii="IBM Plex Sans" w:cs="IBM Plex Sans" w:eastAsia="IBM Plex Sans" w:hAnsi="IBM Plex Sans"/>
          <w:color w:val="334155"/>
          <w:sz w:val="22"/>
          <w:szCs w:val="22"/>
        </w:rPr>
        <w:t xml:space="preserve">Undang-Undang Republik Indonesia Nomor 16 Tahun 2019 tentang Perubahan atas Undang-Undang Nomor 1 Tahun 1974 tentang Perkawinan.</w:t>
      </w:r>
    </w:p>
    <w:p>
      <w:pPr>
        <w:pStyle w:val="ListParagraph"/>
        <w:numPr>
          <w:ilvl w:val="0"/>
          <w:numId w:val="1"/>
        </w:numPr>
        <w:spacing w:after="100" w:line="300"/>
      </w:pPr>
      <w:r>
        <w:rPr>
          <w:rFonts w:ascii="IBM Plex Sans" w:cs="IBM Plex Sans" w:eastAsia="IBM Plex Sans" w:hAnsi="IBM Plex Sans"/>
          <w:color w:val="334155"/>
          <w:sz w:val="22"/>
          <w:szCs w:val="22"/>
        </w:rPr>
        <w:t xml:space="preserve">World Health Organization. Global Standards for Quality Health Care Services for Adolescents. Geneva: WHO, 2025. ISBN 978-92-4-011401-2. Tersedia pada: https://www.who.int/publications/i/item/9789240114012</w:t>
      </w:r>
    </w:p>
    <w:p>
      <w:pPr>
        <w:pStyle w:val="ListParagraph"/>
        <w:numPr>
          <w:ilvl w:val="0"/>
          <w:numId w:val="1"/>
        </w:numPr>
        <w:spacing w:after="100" w:line="300"/>
      </w:pPr>
      <w:r>
        <w:rPr>
          <w:rFonts w:ascii="IBM Plex Sans" w:cs="IBM Plex Sans" w:eastAsia="IBM Plex Sans" w:hAnsi="IBM Plex Sans"/>
          <w:color w:val="334155"/>
          <w:sz w:val="22"/>
          <w:szCs w:val="22"/>
        </w:rPr>
        <w:t xml:space="preserve">International Confederation of Midwives. ICM Essential Competencies for Midwifery Practice. The Hague: ICM, 2024. Tersedia pada: https://internationalmidwives.org/wp-content/uploads/EN_ICM-Essential-Competencies-for-Midwifery-Practice-1.pdf</w:t>
      </w:r>
    </w:p>
    <w:p>
      <w:pPr>
        <w:pStyle w:val="ListParagraph"/>
        <w:numPr>
          <w:ilvl w:val="0"/>
          <w:numId w:val="1"/>
        </w:numPr>
        <w:spacing w:after="100" w:line="300"/>
      </w:pPr>
      <w:r>
        <w:rPr>
          <w:rFonts w:ascii="IBM Plex Sans" w:cs="IBM Plex Sans" w:eastAsia="IBM Plex Sans" w:hAnsi="IBM Plex Sans"/>
          <w:color w:val="334155"/>
          <w:sz w:val="22"/>
          <w:szCs w:val="22"/>
        </w:rPr>
        <w:t xml:space="preserve">Mason-Jones AJ, Sinclair D, Mathews C, Kagee A, Hillman A, Lombard C. School-based interventions for preventing HIV, sexually transmitted infections, and pregnancy in adolescents. Cochrane Database of Systematic Reviews 2016, Issue 11, Art. No. CD006417. DOI: 10.1002/14651858.CD006417.pub3. Tersedia pada: https://pubmed.ncbi.nlm.nih.gov/27824221/</w:t>
      </w:r>
    </w:p>
    <w:p>
      <w:pPr>
        <w:spacing w:after="100"/>
      </w:pPr>
    </w:p>
    <w:p>
      <w:pPr>
        <w:pStyle w:val="Heading1"/>
        <w:spacing w:after="160" w:before="360"/>
      </w:pPr>
      <w:r>
        <w:rPr>
          <w:rFonts w:ascii="Source Serif 4" w:cs="Source Serif 4" w:eastAsia="Source Serif 4" w:hAnsi="Source Serif 4"/>
          <w:b/>
          <w:bCs/>
          <w:color w:val="4F46E5"/>
        </w:rPr>
        <w:t xml:space="preserve">Glosarium</w:t>
      </w:r>
    </w:p>
    <w:tbl>
      <w:tblPr>
        <w:tblW w:type="dxa" w:w="9026"/>
        <w:tblBorders>
          <w:top w:val="single" w:color="E2E8F0" w:sz="4"/>
          <w:left w:val="single" w:color="E2E8F0" w:sz="4"/>
          <w:bottom w:val="single" w:color="E2E8F0" w:sz="4"/>
          <w:right w:val="single" w:color="E2E8F0" w:sz="4"/>
          <w:insideH w:val="single" w:color="E2E8F0" w:sz="4"/>
          <w:insideV w:val="single" w:color="E2E8F0" w:sz="4"/>
        </w:tblBorders>
      </w:tblPr>
      <w:tblGrid>
        <w:gridCol w:w="2200"/>
        <w:gridCol w:w="6826"/>
      </w:tblGrid>
      <w:tr>
        <w:tc>
          <w:tcPr>
            <w:tcW w:type="dxa" w:w="2200"/>
            <w:shd w:fill="FFFFFF"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PPKK</w:t>
            </w:r>
          </w:p>
        </w:tc>
        <w:tc>
          <w:tcPr>
            <w:tcW w:type="dxa" w:w="6826"/>
            <w:shd w:fill="FFFFFF"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Panduan Praktik Klinis Kelompok/Komunitas — dokumen acuan layanan kesehatan yang unit analisisnya adalah kelompok atau populasi sasaran dalam satu sesi/program layanan, berbeda dengan PPK yang berbasis satu pasien per episode layanan.</w:t>
            </w:r>
          </w:p>
        </w:tc>
      </w:tr>
      <w:tr>
        <w:tc>
          <w:tcPr>
            <w:tcW w:type="dxa" w:w="2200"/>
            <w:shd w:fill="F8FAFC"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PKPR</w:t>
            </w:r>
          </w:p>
        </w:tc>
        <w:tc>
          <w:tcPr>
            <w:tcW w:type="dxa" w:w="6826"/>
            <w:shd w:fill="F8FAFC"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Pelayanan Kesehatan Peduli Remaja — pendekatan layanan kesehatan remaja di Puskesmas yang bersifat komprehensif, rahasia, dan ramah remaja.</w:t>
            </w:r>
          </w:p>
        </w:tc>
      </w:tr>
      <w:tr>
        <w:tc>
          <w:tcPr>
            <w:tcW w:type="dxa" w:w="2200"/>
            <w:shd w:fill="FFFFFF"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Posyandu ILP</w:t>
            </w:r>
          </w:p>
        </w:tc>
        <w:tc>
          <w:tcPr>
            <w:tcW w:type="dxa" w:w="6826"/>
            <w:shd w:fill="FFFFFF"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Posyandu Integrasi Layanan Primer — model posyandu terpadu berbasis siklus hidup (ibu hamil-bayi-balita, usia sekolah-remaja, usia produktif-lanjut usia) sesuai Keputusan Menteri Kesehatan Nomor HK.01.07/MENKES/2015/2023, menggantikan model posyandu program tunggal seperti Posyandu Remaja yang berdiri sendiri.</w:t>
            </w:r>
          </w:p>
        </w:tc>
      </w:tr>
      <w:tr>
        <w:tc>
          <w:tcPr>
            <w:tcW w:type="dxa" w:w="2200"/>
            <w:shd w:fill="F8FAFC"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HEADSSS</w:t>
            </w:r>
          </w:p>
        </w:tc>
        <w:tc>
          <w:tcPr>
            <w:tcW w:type="dxa" w:w="6826"/>
            <w:shd w:fill="F8FAFC"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Instrumen skrining psikososial remaja yang menelaah domain Home (rumah), Education/Employment (pendidikan/pekerjaan), Activities (aktivitas), Drugs (zat), Sexuality (seksualitas), Suicide/depression (bunuh diri/depresi), dan Safety (keselamatan).</w:t>
            </w:r>
          </w:p>
        </w:tc>
      </w:tr>
      <w:tr>
        <w:tc>
          <w:tcPr>
            <w:tcW w:type="dxa" w:w="2200"/>
            <w:shd w:fill="FFFFFF"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TTD</w:t>
            </w:r>
          </w:p>
        </w:tc>
        <w:tc>
          <w:tcPr>
            <w:tcW w:type="dxa" w:w="6826"/>
            <w:shd w:fill="FFFFFF"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Tablet Tambah Darah — suplemen zat besi dan asam folat yang diberikan secara berkala untuk mencegah dan menanggulangi anemia pada remaja putri dan wanita usia subur.</w:t>
            </w:r>
          </w:p>
        </w:tc>
      </w:tr>
      <w:tr>
        <w:tc>
          <w:tcPr>
            <w:tcW w:type="dxa" w:w="2200"/>
            <w:shd w:fill="F8FAFC"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IMS</w:t>
            </w:r>
          </w:p>
        </w:tc>
        <w:tc>
          <w:tcPr>
            <w:tcW w:type="dxa" w:w="6826"/>
            <w:shd w:fill="F8FAFC"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Infeksi Menular Seksual — kelompok penyakit infeksi yang penularannya dominan melalui kontak seksual.</w:t>
            </w:r>
          </w:p>
        </w:tc>
      </w:tr>
      <w:tr>
        <w:tc>
          <w:tcPr>
            <w:tcW w:type="dxa" w:w="2200"/>
            <w:shd w:fill="FFFFFF"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PKHS</w:t>
            </w:r>
          </w:p>
        </w:tc>
        <w:tc>
          <w:tcPr>
            <w:tcW w:type="dxa" w:w="6826"/>
            <w:shd w:fill="FFFFFF"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Pendidikan Keterampilan Hidup Sehat — pembelajaran kecakapan psikososial (berpikir kritis, pengambilan keputusan, komunikasi asertif) yang membantu remaja menghadapi tekanan sebaya dan risiko perilaku.</w:t>
            </w:r>
          </w:p>
        </w:tc>
      </w:tr>
      <w:tr>
        <w:tc>
          <w:tcPr>
            <w:tcW w:type="dxa" w:w="2200"/>
            <w:shd w:fill="F8FAFC"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PTM</w:t>
            </w:r>
          </w:p>
        </w:tc>
        <w:tc>
          <w:tcPr>
            <w:tcW w:type="dxa" w:w="6826"/>
            <w:shd w:fill="F8FAFC"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Penyakit Tidak Menular — kelompok penyakit kronis (misalnya hipertensi dan obesitas) yang faktor risikonya penting dideteksi sejak usia remaja.</w:t>
            </w:r>
          </w:p>
        </w:tc>
      </w:tr>
      <w:tr>
        <w:tc>
          <w:tcPr>
            <w:tcW w:type="dxa" w:w="2200"/>
            <w:shd w:fill="FFFFFF"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STRANAS PPA</w:t>
            </w:r>
          </w:p>
        </w:tc>
        <w:tc>
          <w:tcPr>
            <w:tcW w:type="dxa" w:w="6826"/>
            <w:shd w:fill="FFFFFF"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Strategi Nasional Pencegahan Perkawinan Anak — kerangka kebijakan lintas kementerian/lembaga untuk menurunkan angka perkawinan anak di Indonesia.</w:t>
            </w:r>
          </w:p>
        </w:tc>
      </w:tr>
      <w:tr>
        <w:tc>
          <w:tcPr>
            <w:tcW w:type="dxa" w:w="2200"/>
            <w:shd w:fill="F8FAFC" w:val="clear"/>
            <w:tcMar>
              <w:top w:type="dxa" w:w="100"/>
              <w:left w:type="dxa" w:w="140"/>
              <w:bottom w:type="dxa" w:w="100"/>
              <w:right w:type="dxa" w:w="100"/>
            </w:tcMar>
          </w:tcPr>
          <w:p>
            <w:r>
              <w:rPr>
                <w:rFonts w:ascii="IBM Plex Mono" w:cs="IBM Plex Mono" w:eastAsia="IBM Plex Mono" w:hAnsi="IBM Plex Mono"/>
                <w:b/>
                <w:bCs/>
                <w:color w:val="4F46E5"/>
                <w:sz w:val="19"/>
                <w:szCs w:val="19"/>
              </w:rPr>
              <w:t xml:space="preserve">Mini-CEX</w:t>
            </w:r>
          </w:p>
        </w:tc>
        <w:tc>
          <w:tcPr>
            <w:tcW w:type="dxa" w:w="6826"/>
            <w:shd w:fill="F8FAFC" w:val="clear"/>
            <w:tcMar>
              <w:top w:type="dxa" w:w="100"/>
              <w:left w:type="dxa" w:w="100"/>
              <w:bottom w:type="dxa" w:w="100"/>
              <w:right w:type="dxa" w:w="140"/>
            </w:tcMar>
          </w:tcPr>
          <w:p>
            <w:pPr>
              <w:spacing w:line="260"/>
            </w:pPr>
            <w:r>
              <w:rPr>
                <w:rFonts w:ascii="IBM Plex Sans" w:cs="IBM Plex Sans" w:eastAsia="IBM Plex Sans" w:hAnsi="IBM Plex Sans"/>
                <w:color w:val="334155"/>
                <w:sz w:val="19"/>
                <w:szCs w:val="19"/>
              </w:rPr>
              <w:t xml:space="preserve">Mini Clinical Evaluation Exercise — metode penilaian kompetensi klinis peserta didik secara langsung melalui observasi interaksi dengan pasien/klien.</w:t>
            </w:r>
          </w:p>
        </w:tc>
      </w:tr>
    </w:tbl>
    <w:p>
      <w:pPr>
        <w:spacing w:after="200"/>
      </w:pPr>
    </w:p>
    <w:tbl>
      <w:tblPr>
        <w:tblW w:type="pct" w:w="100%"/>
        <w:tblBorders>
          <w:top w:val="single" w:color="4F46E5" w:sz="6"/>
          <w:left w:val="single" w:color="4F46E5" w:sz="6"/>
          <w:bottom w:val="single" w:color="4F46E5" w:sz="6"/>
          <w:right w:val="single" w:color="4F46E5" w:sz="6"/>
          <w:insideH w:val="single" w:color="auto" w:sz="4"/>
          <w:insideV w:val="single" w:color="auto" w:sz="4"/>
        </w:tblBorders>
      </w:tblPr>
      <w:tblGrid>
        <w:gridCol w:w="100"/>
      </w:tblGrid>
      <w:tr>
        <w:tc>
          <w:tcPr>
            <w:shd w:fill="EEF2FF" w:val="clear"/>
            <w:tcMar>
              <w:top w:type="dxa" w:w="160"/>
              <w:left w:type="dxa" w:w="220"/>
              <w:bottom w:type="dxa" w:w="160"/>
              <w:right w:type="dxa" w:w="220"/>
            </w:tcMar>
          </w:tcPr>
          <w:p>
            <w:r>
              <w:rPr>
                <w:rFonts w:ascii="IBM Plex Sans" w:cs="IBM Plex Sans" w:eastAsia="IBM Plex Sans" w:hAnsi="IBM Plex Sans"/>
                <w:i/>
                <w:iCs/>
                <w:color w:val="4F46E5"/>
                <w:sz w:val="20"/>
                <w:szCs w:val="20"/>
              </w:rPr>
              <w:t xml:space="preserve">Dokumen ini merupakan pendalaman kelompok/komunitas dari Buku Tematik B11. Rujukan individual untuk kasus berisiko: PPK-069 — Kehamilan Remaja / Kesehatan Reproduksi Remaja.</w:t>
            </w:r>
          </w:p>
        </w:tc>
      </w:tr>
    </w:tbl>
    <w:p>
      <w:pPr>
        <w:pBdr>
          <w:top w:val="single" w:color="E2E8F0" w:sz="4" w:space="8"/>
        </w:pBdr>
        <w:spacing w:after="60" w:before="500"/>
      </w:pPr>
    </w:p>
    <w:p>
      <w:pPr>
        <w:spacing w:after="40"/>
      </w:pPr>
      <w:r>
        <w:rPr>
          <w:rFonts w:ascii="Source Serif 4" w:cs="Source Serif 4" w:eastAsia="Source Serif 4" w:hAnsi="Source Serif 4"/>
          <w:b/>
          <w:bCs/>
          <w:color w:val="4F46E5"/>
          <w:sz w:val="22"/>
          <w:szCs w:val="22"/>
        </w:rPr>
        <w:t xml:space="preserve">Posyandu Remaja / PKPR — Kesehatan Reproduksi Remaja Kelompok</w:t>
      </w:r>
    </w:p>
    <w:p>
      <w:pPr>
        <w:spacing w:after="20"/>
      </w:pPr>
      <w:r>
        <w:rPr>
          <w:rFonts w:ascii="IBM Plex Sans" w:cs="IBM Plex Sans" w:eastAsia="IBM Plex Sans" w:hAnsi="IBM Plex Sans"/>
          <w:color w:val="334155"/>
          <w:sz w:val="19"/>
          <w:szCs w:val="19"/>
        </w:rPr>
        <w:t xml:space="preserve">Penulis: Dr.dr. Budi Siswanto, Sp.OG., Subsp.Obginsos., SH., S.Kom.</w:t>
      </w:r>
    </w:p>
    <w:p>
      <w:pPr>
        <w:spacing w:after="20"/>
      </w:pPr>
      <w:r>
        <w:rPr>
          <w:rFonts w:ascii="IBM Plex Sans" w:cs="IBM Plex Sans" w:eastAsia="IBM Plex Sans" w:hAnsi="IBM Plex Sans"/>
          <w:color w:val="334155"/>
          <w:sz w:val="19"/>
          <w:szCs w:val="19"/>
        </w:rPr>
        <w:t xml:space="preserve">Penerbit: Perpustakaan Digital ABBA</w:t>
      </w:r>
    </w:p>
    <w:p>
      <w:pPr>
        <w:spacing w:after="20"/>
      </w:pPr>
      <w:r>
        <w:rPr>
          <w:rFonts w:ascii="IBM Plex Sans" w:cs="IBM Plex Sans" w:eastAsia="IBM Plex Sans" w:hAnsi="IBM Plex Sans"/>
          <w:color w:val="334155"/>
          <w:sz w:val="19"/>
          <w:szCs w:val="19"/>
        </w:rPr>
        <w:t xml:space="preserve">Alamat: Jl. Kerinci Raya No. 9, Malang 65138</w:t>
      </w:r>
    </w:p>
    <w:p>
      <w:pPr>
        <w:spacing w:after="0"/>
      </w:pPr>
      <w:r>
        <w:rPr>
          <w:rFonts w:ascii="IBM Plex Mono" w:cs="IBM Plex Mono" w:eastAsia="IBM Plex Mono" w:hAnsi="IBM Plex Mono"/>
          <w:color w:val="64748B"/>
          <w:sz w:val="17"/>
          <w:szCs w:val="17"/>
        </w:rPr>
        <w:t xml:space="preserve">PPKK PPKK-K6 · Dokumen 6 dari 8</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IBM Plex Sans" w:cs="IBM Plex Sans" w:eastAsia="IBM Plex Sans" w:hAnsi="IBM Plex Sans"/>
        <w:color w:val="64748B"/>
        <w:sz w:val="16"/>
        <w:szCs w:val="16"/>
      </w:rPr>
      <w:t xml:space="preserve">Dokumen 6 dari 8 (PPKK)</w:t>
    </w:r>
    <w:r>
      <w:rPr>
        <w:rFonts w:ascii="IBM Plex Sans" w:cs="IBM Plex Sans" w:eastAsia="IBM Plex Sans" w:hAnsi="IBM Plex Sans"/>
        <w:color w:val="64748B"/>
        <w:sz w:val="16"/>
        <w:szCs w:val="16"/>
      </w:rPr>
      <w:t xml:space="preserve">	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r>
      <w:rPr>
        <w:rFonts w:ascii="IBM Plex Sans" w:cs="IBM Plex Sans" w:eastAsia="IBM Plex Sans" w:hAnsi="IBM Plex Sans"/>
        <w:color w:val="64748B"/>
        <w:sz w:val="16"/>
        <w:szCs w:val="16"/>
      </w:rPr>
      <w:t xml:space="preserve"> / </w:t>
    </w:r>
    <w:r>
      <w:rPr>
        <w:rFonts w:ascii="IBM Plex Sans" w:cs="IBM Plex Sans" w:eastAsia="IBM Plex Sans" w:hAnsi="IBM Plex Sans"/>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rFonts w:ascii="IBM Plex Mono" w:cs="IBM Plex Mono" w:eastAsia="IBM Plex Mono" w:hAnsi="IBM Plex Mono"/>
        <w:color w:val="64748B"/>
        <w:sz w:val="16"/>
        <w:szCs w:val="16"/>
      </w:rPr>
      <w:t xml:space="preserve">PPKK · PPKK-K6</w:t>
    </w:r>
    <w:r>
      <w:rPr>
        <w:rFonts w:ascii="IBM Plex Sans" w:cs="IBM Plex Sans" w:eastAsia="IBM Plex Sans" w:hAnsi="IBM Plex Sans"/>
        <w:b/>
        <w:bCs/>
        <w:color w:val="4F46E5"/>
        <w:sz w:val="16"/>
        <w:szCs w:val="16"/>
      </w:rPr>
      <w:t xml:space="preserve">	Posyandu Remaja / PKPR — Kesehatan Reproduksi Remaja Kelompok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Posyandu Remaja / PKPR — Kesehatan Reproduksi Remaja Kelompok</dc:title>
  <dc:subject>Posyandu Remaja / PKPR — Kesehatan Reproduksi Remaja Kelompok</dc:subject>
  <dc:creator>Dr.dr. Budi Siswanto, Sp.OG., Subsp.Obginsos., SH., S.Kom.</dc:creator>
  <dc:description>PPKK PPKK-K6 — B11 — Kedokteran Sosial, Mediko-Legal, Kontrasepsi, dan Kesehatan Reproduksi Remaja</dc:description>
  <cp:lastModifiedBy>Un-named</cp:lastModifiedBy>
  <cp:revision>1</cp:revision>
  <dcterms:created xsi:type="dcterms:W3CDTF">2026-08-18T14:25:22.543Z</dcterms:created>
  <dcterms:modified xsi:type="dcterms:W3CDTF">2026-08-18T14:25:22.556Z</dcterms:modified>
</cp:coreProperties>
</file>

<file path=docProps/custom.xml><?xml version="1.0" encoding="utf-8"?>
<Properties xmlns="http://schemas.openxmlformats.org/officeDocument/2006/custom-properties" xmlns:vt="http://schemas.openxmlformats.org/officeDocument/2006/docPropsVTypes"/>
</file>