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500"/>
      </w:pPr>
      <w:r>
        <w:rPr>
          <w:rFonts w:ascii="IBM Plex Sans" w:cs="IBM Plex Sans" w:eastAsia="IBM Plex Sans" w:hAnsi="IBM Plex Sans"/>
          <w:b/>
          <w:bCs/>
          <w:caps/>
          <w:color w:val="B45309"/>
          <w:sz w:val="20"/>
          <w:szCs w:val="20"/>
        </w:rPr>
        <w:t xml:space="preserve">PANDUAN PRAKTIK KLINIS KELOMPOK/KOMUNITAS</w:t>
      </w:r>
    </w:p>
    <w:p>
      <w:pPr>
        <w:spacing w:after="100"/>
      </w:pPr>
      <w:r>
        <w:rPr>
          <w:rFonts w:ascii="IBM Plex Mono" w:cs="IBM Plex Mono" w:eastAsia="IBM Plex Mono" w:hAnsi="IBM Plex Mono"/>
          <w:b/>
          <w:bCs/>
          <w:color w:val="4F46E5"/>
          <w:sz w:val="22"/>
          <w:szCs w:val="22"/>
        </w:rPr>
        <w:t xml:space="preserve">Obstetri dan Ginekologi Sosial</w:t>
      </w:r>
    </w:p>
    <w:p>
      <w:pPr>
        <w:spacing w:after="200" w:before="400"/>
      </w:pPr>
      <w:r>
        <w:rPr>
          <w:rFonts w:ascii="Source Serif 4" w:cs="Source Serif 4" w:eastAsia="Source Serif 4" w:hAnsi="Source Serif 4"/>
          <w:b/>
          <w:bCs/>
          <w:color w:val="1E1B4B"/>
          <w:sz w:val="44"/>
          <w:szCs w:val="44"/>
        </w:rPr>
        <w:t xml:space="preserve">Deteksi Dini dan Rujukan Kekerasan terhadap Perempuan Berbasis Komunitas</w:t>
      </w:r>
    </w:p>
    <w:p>
      <w:pPr>
        <w:spacing w:after="400"/>
      </w:pPr>
      <w:r>
        <w:rPr>
          <w:rFonts w:ascii="IBM Plex Sans" w:cs="IBM Plex Sans" w:eastAsia="IBM Plex Sans" w:hAnsi="IBM Plex Sans"/>
          <w:i/>
          <w:iCs/>
          <w:color w:val="64748B"/>
          <w:sz w:val="24"/>
          <w:szCs w:val="24"/>
        </w:rPr>
        <w:t xml:space="preserve">Panduan Praktik Klinis Kelompok/Komunitas — Layanan Skrining dan Rujukan Berbasis Populasi</w:t>
      </w:r>
    </w:p>
    <w:p>
      <w:pPr>
        <w:spacing w:after="500"/>
      </w:pPr>
      <w:r>
        <w:rPr>
          <w:rFonts w:ascii="IBM Plex Sans" w:cs="IBM Plex Sans" w:eastAsia="IBM Plex Sans" w:hAnsi="IBM Plex Sans"/>
          <w:b/>
          <w:bCs/>
          <w:color w:val="334155"/>
          <w:sz w:val="22"/>
          <w:szCs w:val="22"/>
        </w:rPr>
        <w:t xml:space="preserve">Dr.dr. Budi Siswanto, Sp.OG., Subsp.Obginsos., SH., S.Kom.</w:t>
      </w: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Unit Pengampu</w:t>
            </w:r>
          </w:p>
          <w:p>
            <w:pPr>
              <w:spacing w:after="0" w:line="280"/>
            </w:pPr>
            <w:r>
              <w:rPr>
                <w:rFonts w:ascii="IBM Plex Sans" w:cs="IBM Plex Sans" w:eastAsia="IBM Plex Sans" w:hAnsi="IBM Plex Sans"/>
                <w:color w:val="334155"/>
                <w:sz w:val="21"/>
                <w:szCs w:val="21"/>
              </w:rPr>
              <w:t xml:space="preserve">Subspesialis Obstetri Ginekologi Sosial</w:t>
            </w:r>
          </w:p>
        </w:tc>
      </w:tr>
    </w:tbl>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Sasaran Kelompok</w:t>
            </w:r>
          </w:p>
          <w:p>
            <w:pPr>
              <w:spacing w:after="0" w:line="280"/>
            </w:pPr>
            <w:r>
              <w:rPr>
                <w:rFonts w:ascii="IBM Plex Sans" w:cs="IBM Plex Sans" w:eastAsia="IBM Plex Sans" w:hAnsi="IBM Plex Sans"/>
                <w:color w:val="334155"/>
                <w:sz w:val="21"/>
                <w:szCs w:val="21"/>
              </w:rPr>
              <w:t xml:space="preserve">Kelompok perempuan rentan dalam sesi skrining komunitas / layanan primer</w:t>
            </w:r>
          </w:p>
        </w:tc>
      </w:tr>
    </w:tbl>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Bagian dari Rangkaian Panduan</w:t>
            </w:r>
          </w:p>
          <w:p>
            <w:pPr>
              <w:spacing w:after="0" w:line="280"/>
            </w:pPr>
            <w:r>
              <w:rPr>
                <w:rFonts w:ascii="IBM Plex Sans" w:cs="IBM Plex Sans" w:eastAsia="IBM Plex Sans" w:hAnsi="IBM Plex Sans"/>
                <w:color w:val="334155"/>
                <w:sz w:val="21"/>
                <w:szCs w:val="21"/>
              </w:rPr>
              <w:t xml:space="preserve">Kedokteran Sosial, Mediko-Legal, Kontrasepsi, dan Kesehatan Reproduksi Remaja</w:t>
            </w:r>
          </w:p>
        </w:tc>
      </w:tr>
    </w:tbl>
    <w:p>
      <w:pPr>
        <w:spacing w:after="300"/>
      </w:pPr>
    </w:p>
    <w:p>
      <w:pPr>
        <w:spacing w:after="60"/>
      </w:pPr>
      <w:r>
        <w:rPr>
          <w:rFonts w:ascii="IBM Plex Sans" w:cs="IBM Plex Sans" w:eastAsia="IBM Plex Sans" w:hAnsi="IBM Plex Sans"/>
          <w:b/>
          <w:bCs/>
          <w:color w:val="4F46E5"/>
          <w:sz w:val="19"/>
          <w:szCs w:val="19"/>
        </w:rPr>
        <w:t xml:space="preserve">Dasar Hukum Utama</w:t>
      </w:r>
    </w:p>
    <w:p>
      <w:pPr>
        <w:spacing w:after="40" w:line="280"/>
      </w:pP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w:t>
      </w:r>
    </w:p>
    <w:p>
      <w:pPr>
        <w:spacing w:after="400"/>
      </w:pPr>
    </w:p>
    <w:p>
      <w:pPr>
        <w:spacing w:after="20"/>
      </w:pPr>
      <w:r>
        <w:rPr>
          <w:rFonts w:ascii="IBM Plex Sans" w:cs="IBM Plex Sans" w:eastAsia="IBM Plex Sans" w:hAnsi="IBM Plex Sans"/>
          <w:color w:val="64748B"/>
          <w:sz w:val="19"/>
          <w:szCs w:val="19"/>
        </w:rPr>
        <w:t xml:space="preserve">Perpustakaan Digital ABBA</w:t>
      </w:r>
    </w:p>
    <w:p>
      <w:pPr>
        <w:spacing w:after="20"/>
      </w:pPr>
      <w:r>
        <w:rPr>
          <w:rFonts w:ascii="IBM Plex Sans" w:cs="IBM Plex Sans" w:eastAsia="IBM Plex Sans" w:hAnsi="IBM Plex Sans"/>
          <w:color w:val="64748B"/>
          <w:sz w:val="19"/>
          <w:szCs w:val="19"/>
        </w:rPr>
        <w:t xml:space="preserve">Jl. Kerinci Raya No. 9, Malang 65138</w:t>
      </w:r>
    </w:p>
    <w:p>
      <w:pPr>
        <w:spacing w:after="0"/>
      </w:pPr>
      <w:r>
        <w:rPr>
          <w:rFonts w:ascii="IBM Plex Sans" w:cs="IBM Plex Sans" w:eastAsia="IBM Plex Sans" w:hAnsi="IBM Plex Sans"/>
          <w:color w:val="64748B"/>
          <w:sz w:val="19"/>
          <w:szCs w:val="19"/>
        </w:rPr>
        <w:t xml:space="preserve">2026</w:t>
      </w:r>
    </w:p>
    <w:p>
      <w:r>
        <w:br w:type="page"/>
      </w:r>
    </w:p>
    <w:p>
      <w:pPr>
        <w:pStyle w:val="Heading1"/>
        <w:spacing w:after="200"/>
      </w:pPr>
      <w:r>
        <w:rPr>
          <w:rFonts w:ascii="Source Serif 4" w:cs="Source Serif 4" w:eastAsia="Source Serif 4" w:hAnsi="Source Serif 4"/>
          <w:color w:val="1E1B4B"/>
        </w:rPr>
        <w:t xml:space="preserve">Ringkasan Dokumen</w:t>
      </w:r>
    </w:p>
    <w:p>
      <w:pPr>
        <w:pStyle w:val="ListParagraph"/>
        <w:numPr>
          <w:ilvl w:val="0"/>
          <w:numId w:val="1"/>
        </w:numPr>
        <w:spacing w:after="100" w:line="290"/>
      </w:pPr>
      <w:r>
        <w:rPr>
          <w:rFonts w:ascii="IBM Plex Sans" w:cs="IBM Plex Sans" w:eastAsia="IBM Plex Sans" w:hAnsi="IBM Plex Sans"/>
          <w:color w:val="334155"/>
          <w:sz w:val="22"/>
          <w:szCs w:val="22"/>
        </w:rPr>
        <w:t xml:space="preserve">Panduan berbasis kelompok/komunitas untuk mendeteksi dini perempuan yang mengalami atau berisiko mengalami kekerasan (fisik, seksual, psikologis, ekonomi), memberi dukungan lini pertama, dan merujuk kasus berisiko individual ke jalur penanganan perorangan.</w:t>
      </w:r>
    </w:p>
    <w:p>
      <w:pPr>
        <w:pStyle w:val="ListParagraph"/>
        <w:numPr>
          <w:ilvl w:val="0"/>
          <w:numId w:val="1"/>
        </w:numPr>
        <w:spacing w:after="100" w:line="290"/>
      </w:pPr>
      <w:r>
        <w:rPr>
          <w:rFonts w:ascii="IBM Plex Sans" w:cs="IBM Plex Sans" w:eastAsia="IBM Plex Sans" w:hAnsi="IBM Plex Sans"/>
          <w:color w:val="334155"/>
          <w:sz w:val="22"/>
          <w:szCs w:val="22"/>
        </w:rPr>
        <w:t xml:space="preserve">Unit analisis: kelompok/populasi sasaran dalam satu sesi layanan — berbeda dari panduan individual yang berbasis satu pasien satu episode pelayanan.</w:t>
      </w:r>
    </w:p>
    <w:p>
      <w:pPr>
        <w:pStyle w:val="ListParagraph"/>
        <w:numPr>
          <w:ilvl w:val="0"/>
          <w:numId w:val="1"/>
        </w:numPr>
        <w:spacing w:after="100" w:line="290"/>
      </w:pPr>
      <w:r>
        <w:rPr>
          <w:rFonts w:ascii="IBM Plex Sans" w:cs="IBM Plex Sans" w:eastAsia="IBM Plex Sans" w:hAnsi="IBM Plex Sans"/>
          <w:color w:val="334155"/>
          <w:sz w:val="22"/>
          <w:szCs w:val="22"/>
        </w:rPr>
        <w:t xml:space="preserve">Dasar kompetensi: Tabel 11 (Spektrum Penyakit — Subspesialis Obstetri Ginekologi Sosial) entri No. 5 dan No. 16 Kepkonsil, diperkuat Tabel 19, 21, dan 23 entri terkait.</w:t>
      </w:r>
    </w:p>
    <w:p>
      <w:pPr>
        <w:pStyle w:val="ListParagraph"/>
        <w:numPr>
          <w:ilvl w:val="0"/>
          <w:numId w:val="1"/>
        </w:numPr>
        <w:spacing w:after="100" w:line="290"/>
      </w:pPr>
      <w:r>
        <w:rPr>
          <w:rFonts w:ascii="IBM Plex Sans" w:cs="IBM Plex Sans" w:eastAsia="IBM Plex Sans" w:hAnsi="IBM Plex Sans"/>
          <w:color w:val="334155"/>
          <w:sz w:val="22"/>
          <w:szCs w:val="22"/>
        </w:rPr>
        <w:t xml:space="preserve">Diperkaya dengan kerangka hukum nasional terkini (UU PKDRT, UU TPKS, Peraturan Menteri PPPA) serta jalur rujukan resmi Layanan SAPA 129 dan Unit Pelaksana Teknis Daerah Perlindungan Perempuan dan Anak (UPTD PPA).</w:t>
      </w:r>
    </w:p>
    <w:p>
      <w:pPr>
        <w:spacing w:after="200"/>
      </w:pPr>
    </w:p>
    <w:p>
      <w:pPr>
        <w:spacing w:after="100"/>
      </w:pPr>
      <w:r>
        <w:rPr>
          <w:rFonts w:ascii="IBM Plex Sans" w:cs="IBM Plex Sans" w:eastAsia="IBM Plex Sans" w:hAnsi="IBM Plex Sans"/>
          <w:b/>
          <w:bCs/>
          <w:caps/>
          <w:color w:val="B45309"/>
          <w:sz w:val="19"/>
          <w:szCs w:val="19"/>
        </w:rPr>
        <w:t xml:space="preserve">DASAR REGULASI — TABEL KOMPETENSI TERKAIT</w:t>
      </w:r>
    </w:p>
    <w:tbl>
      <w:tblPr>
        <w:tblW w:type="dxa" w:w="10000"/>
        <w:tblBorders>
          <w:top w:val="single" w:color="CBD5E1" w:sz="4"/>
          <w:left w:val="single" w:color="CBD5E1" w:sz="4"/>
          <w:bottom w:val="single" w:color="CBD5E1" w:sz="4"/>
          <w:right w:val="single" w:color="CBD5E1" w:sz="4"/>
          <w:insideH w:val="single" w:color="CBD5E1" w:sz="4"/>
          <w:insideV w:val="single" w:color="CBD5E1" w:sz="4"/>
        </w:tblBorders>
      </w:tblPr>
      <w:tblGrid>
        <w:gridCol w:w="5000"/>
        <w:gridCol w:w="5000"/>
      </w:tblGrid>
      <w:tr>
        <w:trPr>
          <w:tblHeader/>
        </w:trPr>
        <w:tc>
          <w:tcPr>
            <w:shd w:fill="4F46E5" w:val="clear"/>
            <w:tcMar>
              <w:top w:type="dxa" w:w="120"/>
              <w:left w:type="dxa" w:w="140"/>
              <w:bottom w:type="dxa" w:w="120"/>
              <w:right w:type="dxa" w:w="140"/>
            </w:tcMar>
            <w:vAlign w:val="center"/>
          </w:tcPr>
          <w:p>
            <w:r>
              <w:rPr>
                <w:rFonts w:ascii="IBM Plex Sans" w:cs="IBM Plex Sans" w:eastAsia="IBM Plex Sans" w:hAnsi="IBM Plex Sans"/>
                <w:b/>
                <w:bCs/>
                <w:color w:val="FFFFFF"/>
                <w:sz w:val="20"/>
                <w:szCs w:val="20"/>
              </w:rPr>
              <w:t xml:space="preserve">Rujukan</w:t>
            </w:r>
          </w:p>
        </w:tc>
        <w:tc>
          <w:tcPr>
            <w:shd w:fill="4F46E5" w:val="clear"/>
            <w:tcMar>
              <w:top w:type="dxa" w:w="120"/>
              <w:left w:type="dxa" w:w="140"/>
              <w:bottom w:type="dxa" w:w="120"/>
              <w:right w:type="dxa" w:w="140"/>
            </w:tcMar>
            <w:vAlign w:val="center"/>
          </w:tcPr>
          <w:p>
            <w:r>
              <w:rPr>
                <w:rFonts w:ascii="IBM Plex Sans" w:cs="IBM Plex Sans" w:eastAsia="IBM Plex Sans" w:hAnsi="IBM Plex Sans"/>
                <w:b/>
                <w:bCs/>
                <w:color w:val="FFFFFF"/>
                <w:sz w:val="20"/>
                <w:szCs w:val="20"/>
              </w:rPr>
              <w:t xml:space="preserve">Isi Ringkas</w:t>
            </w:r>
          </w:p>
        </w:tc>
      </w:tr>
      <w:tr>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Tabel 11 No. 5</w:t>
            </w:r>
          </w:p>
        </w:tc>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Kasus etik medikolegal (Encounter for etic medicolegal cases) — ICD-10 T74.1-3, Z04.4, Y05, Z65.8, Z91.4, Z76.5, Z04.8; ICD-11 QA04.7.</w:t>
            </w:r>
          </w:p>
        </w:tc>
      </w:tr>
      <w:tr>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Tabel 11 No. 16</w:t>
            </w:r>
          </w:p>
        </w:tc>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Korban kekerasan dalam rumah tangga/KDRT (Encounter for violence victims against women and children) — ICD-10 T74.1, Z63.4; ICD-11 6B40, XE041.</w:t>
            </w:r>
          </w:p>
        </w:tc>
      </w:tr>
      <w:tr>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Tabel 19 No. 1 &amp; 6</w:t>
            </w:r>
          </w:p>
        </w:tc>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Kompetensi Penatalaksanaan Klinis — anamnesis wajib mencakup skrining KDRT (dokumentasi KDRT 100%); tata laksana holistik multidisiplin pada kasus kekerasan.</w:t>
            </w:r>
          </w:p>
        </w:tc>
      </w:tr>
      <w:tr>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Tabel 21 No. 13</w:t>
            </w:r>
          </w:p>
        </w:tc>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Kompetensi Prosedur Klinis — anamnesis sensitif dan aman, pemeriksaan sesuai standar visum, konseling psikologis, dokumentasi medikolegal, kolaborasi psikologi/hukum/kepolisian/UPTD PPA, rujukan shelter.</w:t>
            </w:r>
          </w:p>
        </w:tc>
      </w:tr>
      <w:tr>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Tabel 23 No. 13</w:t>
            </w:r>
          </w:p>
        </w:tc>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Penguasaan Pengetahuan — definisi &amp; bentuk KDRT, instrumen skrining HITS dan HARK, dampak obstetri (abortus, prematuritas, BBLR), pendekatan trauma-informed care.</w:t>
            </w:r>
          </w:p>
        </w:tc>
      </w:tr>
    </w:tbl>
    <w:p>
      <w:pPr>
        <w:spacing w:after="300"/>
      </w:pPr>
    </w:p>
    <w:p>
      <w:pPr>
        <w:pStyle w:val="Heading1"/>
        <w:spacing w:after="200" w:before="300"/>
      </w:pPr>
      <w:r>
        <w:rPr>
          <w:rFonts w:ascii="Source Serif 4" w:cs="Source Serif 4" w:eastAsia="Source Serif 4" w:hAnsi="Source Serif 4"/>
          <w:color w:val="1E1B4B"/>
        </w:rPr>
        <w:t xml:space="preserve">1. Pengertian dan Tujuan Program</w:t>
      </w:r>
    </w:p>
    <w:p>
      <w:pPr>
        <w:pStyle w:val="Heading2"/>
        <w:spacing w:after="140" w:before="200"/>
      </w:pPr>
      <w:r>
        <w:rPr>
          <w:rFonts w:ascii="Source Serif 4" w:cs="Source Serif 4" w:eastAsia="Source Serif 4" w:hAnsi="Source Serif 4"/>
          <w:color w:val="4F46E5"/>
        </w:rPr>
        <w:t xml:space="preserve">Pengertian Program</w:t>
      </w:r>
    </w:p>
    <w:p>
      <w:pPr>
        <w:spacing w:after="160" w:line="300"/>
      </w:pPr>
      <w:r>
        <w:rPr>
          <w:rFonts w:ascii="IBM Plex Sans" w:cs="IBM Plex Sans" w:eastAsia="IBM Plex Sans" w:hAnsi="IBM Plex Sans"/>
          <w:color w:val="334155"/>
          <w:sz w:val="22"/>
          <w:szCs w:val="22"/>
        </w:rPr>
        <w:t xml:space="preserve">Program deteksi dini dan rujukan kekerasan terhadap perempuan berbasis komunitas (encounter for violence victims against women, ICD-10 T74.1, Z63.4; ICD-11 6B40, XE041) adalah layanan berbasis populasi yang dilaksanakan dalam sesi kelompok — posyandu, kelas ibu hamil, layanan Puskesmas, atau kegiatan komunitas lain — untuk menyaring perempuan yang mengalami atau berisiko mengalami kekerasan fisik, seksual, psikologis, maupun ekonomi, memberikan dukungan lini pertama yang aman dan tidak menghakimi, serta menghubungkan peserta berisiko dengan jalur rujukan medis, psikologis, dan hukum yang sesuai.</w:t>
      </w:r>
    </w:p>
    <w:p>
      <w:pPr>
        <w:spacing w:after="160" w:line="300"/>
      </w:pPr>
      <w:r>
        <w:rPr>
          <w:rFonts w:ascii="IBM Plex Sans" w:cs="IBM Plex Sans" w:eastAsia="IBM Plex Sans" w:hAnsi="IBM Plex Sans"/>
          <w:color w:val="334155"/>
          <w:sz w:val="22"/>
          <w:szCs w:val="22"/>
        </w:rPr>
        <w:t xml:space="preserve">Kekerasan terhadap perempuan masih menjadi persoalan kesehatan masyarakat yang besar di Indonesia. Catatan Tahunan Komisi Nasional Anti Kekerasan terhadap Perempuan (Komnas Perempuan) tahun 2024 mencatat 445.502 kasus kekerasan terhadap perempuan, meningkat 10,76% dibandingkan tahun 2023, dengan ranah personal atau relasi rumah tangga dan relasi intim sebagai lokasi kejadian yang paling dominan. Data ini menegaskan pentingnya layanan deteksi dini berbasis populasi yang menjangkau perempuan sebelum kasus berkembang menjadi kondisi darurat medis maupun hukum.</w:t>
      </w:r>
    </w:p>
    <w:p>
      <w:pPr>
        <w:spacing w:after="160" w:line="300"/>
      </w:pPr>
      <w:r>
        <w:rPr>
          <w:rFonts w:ascii="IBM Plex Sans" w:cs="IBM Plex Sans" w:eastAsia="IBM Plex Sans" w:hAnsi="IBM Plex Sans"/>
          <w:color w:val="334155"/>
          <w:sz w:val="22"/>
          <w:szCs w:val="22"/>
        </w:rPr>
        <w:t xml:space="preserve">Panduan ini merupakan pendalaman layanan berbasis kelompok dari kerangka Kedokteran Sosial, Mediko-Legal, Kontrasepsi, dan Kesehatan Reproduksi Remaja, dan disusun berdasarkan prinsip pemisahan unit analisis antara panduan praktik individual (satu pasien, satu episode pelayanan) dan panduan praktik kelompok/komunitas (kelompok atau populasi sasaran dalam satu sesi layanan).</w:t>
      </w:r>
    </w:p>
    <w:p>
      <w:pPr>
        <w:spacing w:after="160" w:line="300"/>
      </w:pPr>
      <w:r>
        <w:rPr>
          <w:rFonts w:ascii="IBM Plex Sans" w:cs="IBM Plex Sans" w:eastAsia="IBM Plex Sans" w:hAnsi="IBM Plex Sans"/>
          <w:color w:val="334155"/>
          <w:sz w:val="22"/>
          <w:szCs w:val="22"/>
        </w:rPr>
        <w:t xml:space="preserve">Berbeda dari panduan praktik individual yang berbasis satu entri diagnosis, panduan kelompok ini berbasis satu siklus sesi layanan komunitas yang dapat menghasilkan nol, satu, atau lebih rujukan individual, bergantung pada temuan skrining pada tiap peserta.</w:t>
      </w:r>
    </w:p>
    <w:p>
      <w:pPr>
        <w:pStyle w:val="Heading2"/>
        <w:spacing w:after="140" w:before="200"/>
      </w:pPr>
      <w:r>
        <w:rPr>
          <w:rFonts w:ascii="Source Serif 4" w:cs="Source Serif 4" w:eastAsia="Source Serif 4" w:hAnsi="Source Serif 4"/>
          <w:color w:val="4F46E5"/>
        </w:rPr>
        <w:t xml:space="preserve">Tujuan Program</w:t>
      </w:r>
    </w:p>
    <w:p>
      <w:pPr>
        <w:spacing w:after="160" w:line="300"/>
      </w:pPr>
      <w:r>
        <w:rPr>
          <w:rFonts w:ascii="IBM Plex Sans" w:cs="IBM Plex Sans" w:eastAsia="IBM Plex Sans" w:hAnsi="IBM Plex Sans"/>
          <w:color w:val="334155"/>
          <w:sz w:val="22"/>
          <w:szCs w:val="22"/>
        </w:rPr>
        <w:t xml:space="preserve">Program ini memiliki lima tujuan utama yang saling berkaitan.</w:t>
      </w:r>
    </w:p>
    <w:p>
      <w:pPr>
        <w:pStyle w:val="ListParagraph"/>
        <w:numPr>
          <w:ilvl w:val="0"/>
          <w:numId w:val="1"/>
        </w:numPr>
        <w:spacing w:after="100" w:line="290"/>
      </w:pPr>
      <w:r>
        <w:rPr>
          <w:rFonts w:ascii="IBM Plex Sans" w:cs="IBM Plex Sans" w:eastAsia="IBM Plex Sans" w:hAnsi="IBM Plex Sans"/>
          <w:color w:val="334155"/>
          <w:sz w:val="22"/>
          <w:szCs w:val="22"/>
        </w:rPr>
        <w:t xml:space="preserve">Mendeteksi dini perempuan yang mengalami kekerasan atau berada dalam situasi berisiko tinggi mengalami kekerasan, melalui instrumen skrining tervalidasi (HITS, HARK) dalam suasana privat dan aman.</w:t>
      </w:r>
    </w:p>
    <w:p>
      <w:pPr>
        <w:pStyle w:val="ListParagraph"/>
        <w:numPr>
          <w:ilvl w:val="0"/>
          <w:numId w:val="1"/>
        </w:numPr>
        <w:spacing w:after="100" w:line="290"/>
      </w:pPr>
      <w:r>
        <w:rPr>
          <w:rFonts w:ascii="IBM Plex Sans" w:cs="IBM Plex Sans" w:eastAsia="IBM Plex Sans" w:hAnsi="IBM Plex Sans"/>
          <w:color w:val="334155"/>
          <w:sz w:val="22"/>
          <w:szCs w:val="22"/>
        </w:rPr>
        <w:t xml:space="preserve">Memberikan edukasi kelompok yang tidak menstigmatisasi tentang bentuk-bentuk kekerasan, dampak kesehatan reproduksi, dan hak-hak perempuan sebagai korban.</w:t>
      </w:r>
    </w:p>
    <w:p>
      <w:pPr>
        <w:pStyle w:val="ListParagraph"/>
        <w:numPr>
          <w:ilvl w:val="0"/>
          <w:numId w:val="1"/>
        </w:numPr>
        <w:spacing w:after="100" w:line="290"/>
      </w:pPr>
      <w:r>
        <w:rPr>
          <w:rFonts w:ascii="IBM Plex Sans" w:cs="IBM Plex Sans" w:eastAsia="IBM Plex Sans" w:hAnsi="IBM Plex Sans"/>
          <w:color w:val="334155"/>
          <w:sz w:val="22"/>
          <w:szCs w:val="22"/>
        </w:rPr>
        <w:t xml:space="preserve">Menyediakan dukungan psikososial lini pertama (first-line support) segera bagi peserta yang mengungkapkan pengalaman kekerasan, mengikuti prinsip trauma-informed care.</w:t>
      </w:r>
    </w:p>
    <w:p>
      <w:pPr>
        <w:pStyle w:val="ListParagraph"/>
        <w:numPr>
          <w:ilvl w:val="0"/>
          <w:numId w:val="1"/>
        </w:numPr>
        <w:spacing w:after="100" w:line="290"/>
      </w:pPr>
      <w:r>
        <w:rPr>
          <w:rFonts w:ascii="IBM Plex Sans" w:cs="IBM Plex Sans" w:eastAsia="IBM Plex Sans" w:hAnsi="IBM Plex Sans"/>
          <w:color w:val="334155"/>
          <w:sz w:val="22"/>
          <w:szCs w:val="22"/>
        </w:rPr>
        <w:t xml:space="preserve">Membangun dan memperkuat jalur rujukan terstruktur — medis, psikologis, hukum, dan perlindungan sosial — bagi kasus individual berisiko yang teridentifikasi dalam sesi kelompok, termasuk pemanfaatan Layanan SAPA 129 sebagai kanal pengaduan dan rujukan nasional.</w:t>
      </w:r>
    </w:p>
    <w:p>
      <w:pPr>
        <w:pStyle w:val="ListParagraph"/>
        <w:numPr>
          <w:ilvl w:val="0"/>
          <w:numId w:val="1"/>
        </w:numPr>
        <w:spacing w:after="100" w:line="290"/>
      </w:pPr>
      <w:r>
        <w:rPr>
          <w:rFonts w:ascii="IBM Plex Sans" w:cs="IBM Plex Sans" w:eastAsia="IBM Plex Sans" w:hAnsi="IBM Plex Sans"/>
          <w:color w:val="334155"/>
          <w:sz w:val="22"/>
          <w:szCs w:val="22"/>
        </w:rPr>
        <w:t xml:space="preserve">Memperkuat jejaring layanan primer-sekunder antara kader/bidan/Puskesmas dengan layanan Obstetri dan Ginekologi Sosial, kepolisian, Unit Pelaksana Teknis Daerah Perlindungan Perempuan dan Anak (UPTD PPA), dan layanan psikologi/psikiatri.</w:t>
      </w: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11 No. 5 dan No. 16 (Kepkonsil) — dasar spektrum penyakit/kondisi yang menjadi muara rujukan individual dari program ini; Tabel 19 No. 1 — anamnesis wajib mencakup skrining KDRT.</w:t>
            </w:r>
          </w:p>
        </w:tc>
      </w:tr>
    </w:tbl>
    <w:p>
      <w:pPr>
        <w:spacing w:after="200"/>
      </w:pPr>
    </w:p>
    <w:p>
      <w:pPr>
        <w:pStyle w:val="Heading1"/>
        <w:spacing w:after="200" w:before="300"/>
      </w:pPr>
      <w:r>
        <w:rPr>
          <w:rFonts w:ascii="Source Serif 4" w:cs="Source Serif 4" w:eastAsia="Source Serif 4" w:hAnsi="Source Serif 4"/>
          <w:color w:val="1E1B4B"/>
        </w:rPr>
        <w:t xml:space="preserve">2. Sasaran dan Kriteria Inklusi Kelompok</w:t>
      </w:r>
    </w:p>
    <w:p>
      <w:pPr>
        <w:pStyle w:val="Heading2"/>
        <w:spacing w:after="140" w:before="200"/>
      </w:pPr>
      <w:r>
        <w:rPr>
          <w:rFonts w:ascii="Source Serif 4" w:cs="Source Serif 4" w:eastAsia="Source Serif 4" w:hAnsi="Source Serif 4"/>
          <w:color w:val="4F46E5"/>
        </w:rPr>
        <w:t xml:space="preserve">Populasi Sasaran</w:t>
      </w:r>
    </w:p>
    <w:p>
      <w:pPr>
        <w:spacing w:after="160" w:line="300"/>
      </w:pPr>
      <w:r>
        <w:rPr>
          <w:rFonts w:ascii="IBM Plex Sans" w:cs="IBM Plex Sans" w:eastAsia="IBM Plex Sans" w:hAnsi="IBM Plex Sans"/>
          <w:color w:val="334155"/>
          <w:sz w:val="22"/>
          <w:szCs w:val="22"/>
        </w:rPr>
        <w:t xml:space="preserve">Sasaran utama program adalah perempuan usia reproduksi yang hadir dalam sesi layanan komunitas atau layanan primer, dengan perhatian khusus pada kelompok rentan berikut: remaja (10-19 tahun) yang berisiko kekerasan dalam relasi berpacaran maupun keluarga; ibu hamil dan ibu nifas, mengingat kekerasan dapat meningkat pada periode ini dan berdampak pada luaran obstetri; perempuan dengan disabilitas; perempuan pekerja migran atau pekerja informal dengan akses layanan terbatas; serta perempuan dengan riwayat kekerasan sebelumnya yang memerlukan pemantauan berkelanjutan.</w:t>
      </w:r>
    </w:p>
    <w:p>
      <w:pPr>
        <w:pStyle w:val="Heading2"/>
        <w:spacing w:after="140" w:before="200"/>
      </w:pPr>
      <w:r>
        <w:rPr>
          <w:rFonts w:ascii="Source Serif 4" w:cs="Source Serif 4" w:eastAsia="Source Serif 4" w:hAnsi="Source Serif 4"/>
          <w:color w:val="4F46E5"/>
        </w:rPr>
        <w:t xml:space="preserve">Kriteria Inklusi Kelompok</w:t>
      </w:r>
    </w:p>
    <w:p>
      <w:pPr>
        <w:spacing w:after="160" w:line="300"/>
      </w:pPr>
      <w:r>
        <w:rPr>
          <w:rFonts w:ascii="IBM Plex Sans" w:cs="IBM Plex Sans" w:eastAsia="IBM Plex Sans" w:hAnsi="IBM Plex Sans"/>
          <w:color w:val="334155"/>
          <w:sz w:val="22"/>
          <w:szCs w:val="22"/>
        </w:rPr>
        <w:t xml:space="preserve">Peserta yang dapat diikutsertakan dalam sesi kelompok adalah perempuan yang hadir secara sukarela pada layanan primer/komunitas terjadwal (posyandu, kelas ibu hamil, kegiatan PKK, layanan Puskesmas), mampu berkomunikasi secara mandiri atau dengan pendampingan penerjemah/pendamping tepercaya, dan tidak sedang dalam kondisi kegawatdaruratan medis maupun ancaman keselamatan langsung.</w:t>
      </w:r>
    </w:p>
    <w:p>
      <w:pPr>
        <w:spacing w:after="160" w:line="300"/>
      </w:pPr>
      <w:r>
        <w:rPr>
          <w:rFonts w:ascii="IBM Plex Sans" w:cs="IBM Plex Sans" w:eastAsia="IBM Plex Sans" w:hAnsi="IBM Plex Sans"/>
          <w:color w:val="334155"/>
          <w:sz w:val="22"/>
          <w:szCs w:val="22"/>
        </w:rPr>
        <w:t xml:space="preserve">Kriteria kewaspadaan khusus (red flag) berikut mengalihkan peserta keluar dari alur kelompok menuju asesmen individual segera, tanpa menunggu giliran sesi: tanda fisik kekerasan akut (memar baru, luka, jejas cekik), pernyataan ide untuk mengakhiri hidup atau membahayakan diri, pengungkapan ancaman keselamatan yang mendesak dari pelaku, atau kehadiran pelaku/pendamping yang mengendalikan peserta secara mencurigakan selama sesi.</w:t>
      </w: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23 No. 13 (Penguasaan Pengetahuan) — dampak obstetri kekerasan (abortus, prematuritas, BBLR) menjadi dasar prioritas penyertaan ibu hamil/nifas dalam sasaran skrining.</w:t>
            </w:r>
          </w:p>
        </w:tc>
      </w:tr>
    </w:tbl>
    <w:p>
      <w:pPr>
        <w:spacing w:after="200"/>
      </w:pPr>
    </w:p>
    <w:p>
      <w:pPr>
        <w:pStyle w:val="Heading1"/>
        <w:spacing w:after="200" w:before="300"/>
      </w:pPr>
      <w:r>
        <w:rPr>
          <w:rFonts w:ascii="Source Serif 4" w:cs="Source Serif 4" w:eastAsia="Source Serif 4" w:hAnsi="Source Serif 4"/>
          <w:color w:val="1E1B4B"/>
        </w:rPr>
        <w:t xml:space="preserve">3. Struktur Sesi/Alur Layanan</w:t>
      </w:r>
    </w:p>
    <w:p>
      <w:pPr>
        <w:pStyle w:val="Heading2"/>
        <w:spacing w:after="140" w:before="200"/>
      </w:pPr>
      <w:r>
        <w:rPr>
          <w:rFonts w:ascii="Source Serif 4" w:cs="Source Serif 4" w:eastAsia="Source Serif 4" w:hAnsi="Source Serif 4"/>
          <w:color w:val="4F46E5"/>
        </w:rPr>
        <w:t xml:space="preserve">Tahapan Sesi</w:t>
      </w:r>
    </w:p>
    <w:p>
      <w:pPr>
        <w:spacing w:after="160" w:line="300"/>
      </w:pPr>
      <w:r>
        <w:rPr>
          <w:rFonts w:ascii="IBM Plex Sans" w:cs="IBM Plex Sans" w:eastAsia="IBM Plex Sans" w:hAnsi="IBM Plex Sans"/>
          <w:color w:val="334155"/>
          <w:sz w:val="22"/>
          <w:szCs w:val="22"/>
        </w:rPr>
        <w:t xml:space="preserve">Satu siklus sesi berlangsung sekitar 90-120 menit tergantung jumlah peserta, terdiri atas tujuh tahapan berurutan yang menggabungkan aktivitas kelompok terbuka dengan asesmen privat individual, sehingga kerahasiaan tiap peserta tetap terjaga meskipun layanan berbasis kelompok.</w:t>
      </w:r>
    </w:p>
    <w:p>
      <w:pPr>
        <w:pStyle w:val="ListParagraph"/>
        <w:numPr>
          <w:ilvl w:val="0"/>
          <w:numId w:val="2"/>
        </w:numPr>
        <w:spacing w:after="100" w:line="290"/>
      </w:pPr>
      <w:r>
        <w:rPr>
          <w:rFonts w:ascii="IBM Plex Sans" w:cs="IBM Plex Sans" w:eastAsia="IBM Plex Sans" w:hAnsi="IBM Plex Sans"/>
          <w:color w:val="334155"/>
          <w:sz w:val="22"/>
          <w:szCs w:val="22"/>
        </w:rPr>
        <w:t xml:space="preserve">Persiapan dan pembentukan lingkungan aman (± 15 menit) — pengaturan ruang privat terpisah untuk skrining individual, penyiapan materi edukasi, dan pengecekan ketersediaan jalur rujukan darurat.</w:t>
      </w:r>
    </w:p>
    <w:p>
      <w:pPr>
        <w:pStyle w:val="ListParagraph"/>
        <w:numPr>
          <w:ilvl w:val="0"/>
          <w:numId w:val="2"/>
        </w:numPr>
        <w:spacing w:after="100" w:line="290"/>
      </w:pPr>
      <w:r>
        <w:rPr>
          <w:rFonts w:ascii="IBM Plex Sans" w:cs="IBM Plex Sans" w:eastAsia="IBM Plex Sans" w:hAnsi="IBM Plex Sans"/>
          <w:color w:val="334155"/>
          <w:sz w:val="22"/>
          <w:szCs w:val="22"/>
        </w:rPr>
        <w:t xml:space="preserve">Pembukaan dan edukasi kelompok non-stigmatisasi (± 20 menit) — penyampaian materi umum tentang bentuk kekerasan, hak perempuan, dan jalur bantuan yang tersedia, tanpa meminta pengungkapan personal di forum terbuka.</w:t>
      </w:r>
    </w:p>
    <w:p>
      <w:pPr>
        <w:pStyle w:val="ListParagraph"/>
        <w:numPr>
          <w:ilvl w:val="0"/>
          <w:numId w:val="2"/>
        </w:numPr>
        <w:spacing w:after="100" w:line="290"/>
      </w:pPr>
      <w:r>
        <w:rPr>
          <w:rFonts w:ascii="IBM Plex Sans" w:cs="IBM Plex Sans" w:eastAsia="IBM Plex Sans" w:hAnsi="IBM Plex Sans"/>
          <w:color w:val="334155"/>
          <w:sz w:val="22"/>
          <w:szCs w:val="22"/>
        </w:rPr>
        <w:t xml:space="preserve">Skrining individual privat bergiliran (± 10 menit per peserta) — dilakukan di ruang terpisah menggunakan instrumen HITS atau HARK, sementara peserta lain melanjutkan aktivitas edukasi/pendukung kelompok.</w:t>
      </w:r>
    </w:p>
    <w:p>
      <w:pPr>
        <w:pStyle w:val="ListParagraph"/>
        <w:numPr>
          <w:ilvl w:val="0"/>
          <w:numId w:val="2"/>
        </w:numPr>
        <w:spacing w:after="100" w:line="290"/>
      </w:pPr>
      <w:r>
        <w:rPr>
          <w:rFonts w:ascii="IBM Plex Sans" w:cs="IBM Plex Sans" w:eastAsia="IBM Plex Sans" w:hAnsi="IBM Plex Sans"/>
          <w:color w:val="334155"/>
          <w:sz w:val="22"/>
          <w:szCs w:val="22"/>
        </w:rPr>
        <w:t xml:space="preserve">Dukungan lini pertama atau LIVES (Listen, Inquire, Validate, Enhance safety, Support) bagi peserta yang teridentifikasi berisiko — durasi variabel, dilakukan privat oleh tenaga terlatih.</w:t>
      </w:r>
    </w:p>
    <w:p>
      <w:pPr>
        <w:pStyle w:val="ListParagraph"/>
        <w:numPr>
          <w:ilvl w:val="0"/>
          <w:numId w:val="2"/>
        </w:numPr>
        <w:spacing w:after="100" w:line="290"/>
      </w:pPr>
      <w:r>
        <w:rPr>
          <w:rFonts w:ascii="IBM Plex Sans" w:cs="IBM Plex Sans" w:eastAsia="IBM Plex Sans" w:hAnsi="IBM Plex Sans"/>
          <w:color w:val="334155"/>
          <w:sz w:val="22"/>
          <w:szCs w:val="22"/>
        </w:rPr>
        <w:t xml:space="preserve">Sesi konsolidasi kelompok (± 20 menit) — penguatan dukungan sebaya, penyampaian ulang informasi jalur bantuan bagi seluruh peserta tanpa mengungkap identitas kasus individual.</w:t>
      </w:r>
    </w:p>
    <w:p>
      <w:pPr>
        <w:pStyle w:val="ListParagraph"/>
        <w:numPr>
          <w:ilvl w:val="0"/>
          <w:numId w:val="2"/>
        </w:numPr>
        <w:spacing w:after="100" w:line="290"/>
      </w:pPr>
      <w:r>
        <w:rPr>
          <w:rFonts w:ascii="IBM Plex Sans" w:cs="IBM Plex Sans" w:eastAsia="IBM Plex Sans" w:hAnsi="IBM Plex Sans"/>
          <w:color w:val="334155"/>
          <w:sz w:val="22"/>
          <w:szCs w:val="22"/>
        </w:rPr>
        <w:t xml:space="preserve">Dokumentasi dan rencana tindak lanjut individual — dilakukan secara internal oleh tenaga kesehatan, tidak dibacakan di forum kelompok.</w:t>
      </w:r>
    </w:p>
    <w:p>
      <w:pPr>
        <w:pStyle w:val="ListParagraph"/>
        <w:numPr>
          <w:ilvl w:val="0"/>
          <w:numId w:val="2"/>
        </w:numPr>
        <w:spacing w:after="100" w:line="290"/>
      </w:pPr>
      <w:r>
        <w:rPr>
          <w:rFonts w:ascii="IBM Plex Sans" w:cs="IBM Plex Sans" w:eastAsia="IBM Plex Sans" w:hAnsi="IBM Plex Sans"/>
          <w:color w:val="334155"/>
          <w:sz w:val="22"/>
          <w:szCs w:val="22"/>
        </w:rPr>
        <w:t xml:space="preserve">Rujukan bagi kasus berisiko sesuai kriteria pada Bagian 7, dilaksanakan segera untuk kasus mendesak atau dijadwalkan untuk kasus non-darurat.</w:t>
      </w: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21 No. 13 (Kompetensi Prosedur Klinis) — anamnesis sensitif dan aman mengenai kekerasan fisik, seksual, dan psikologis dilakukan pada ruang privat, terpisah dari forum kelompok.</w:t>
            </w:r>
          </w:p>
        </w:tc>
      </w:tr>
    </w:tbl>
    <w:p>
      <w:pPr>
        <w:spacing w:after="200"/>
      </w:pPr>
    </w:p>
    <w:p>
      <w:pPr>
        <w:pStyle w:val="Heading1"/>
        <w:spacing w:after="200" w:before="300"/>
      </w:pPr>
      <w:r>
        <w:rPr>
          <w:rFonts w:ascii="Source Serif 4" w:cs="Source Serif 4" w:eastAsia="Source Serif 4" w:hAnsi="Source Serif 4"/>
          <w:color w:val="1E1B4B"/>
        </w:rPr>
        <w:t xml:space="preserve">4. Peran Tenaga Kesehatan per Sesi</w:t>
      </w:r>
    </w:p>
    <w:p>
      <w:pPr>
        <w:pStyle w:val="Heading2"/>
        <w:spacing w:after="140" w:before="200"/>
      </w:pPr>
      <w:r>
        <w:rPr>
          <w:rFonts w:ascii="Source Serif 4" w:cs="Source Serif 4" w:eastAsia="Source Serif 4" w:hAnsi="Source Serif 4"/>
          <w:color w:val="4F46E5"/>
        </w:rPr>
        <w:t xml:space="preserve">Pembagian Peran</w:t>
      </w:r>
    </w:p>
    <w:p>
      <w:pPr>
        <w:spacing w:after="160" w:line="300"/>
      </w:pPr>
      <w:r>
        <w:rPr>
          <w:rFonts w:ascii="IBM Plex Sans" w:cs="IBM Plex Sans" w:eastAsia="IBM Plex Sans" w:hAnsi="IBM Plex Sans"/>
          <w:color w:val="334155"/>
          <w:sz w:val="22"/>
          <w:szCs w:val="22"/>
        </w:rPr>
        <w:t xml:space="preserve">Pelaksanaan sesi bersifat multidisiplin dengan pembagian peran yang eksplisit agar keamanan, kerahasiaan, dan mutu asesmen klinis tetap terjaga.</w:t>
      </w:r>
    </w:p>
    <w:tbl>
      <w:tblPr>
        <w:tblW w:type="dxa" w:w="10000"/>
        <w:tblBorders>
          <w:top w:val="single" w:color="CBD5E1" w:sz="4"/>
          <w:left w:val="single" w:color="CBD5E1" w:sz="4"/>
          <w:bottom w:val="single" w:color="CBD5E1" w:sz="4"/>
          <w:right w:val="single" w:color="CBD5E1" w:sz="4"/>
          <w:insideH w:val="single" w:color="CBD5E1" w:sz="4"/>
          <w:insideV w:val="single" w:color="CBD5E1" w:sz="4"/>
        </w:tblBorders>
      </w:tblPr>
      <w:tblGrid>
        <w:gridCol w:w="5000"/>
        <w:gridCol w:w="5000"/>
      </w:tblGrid>
      <w:tr>
        <w:trPr>
          <w:tblHeader/>
        </w:trPr>
        <w:tc>
          <w:tcPr>
            <w:shd w:fill="4F46E5" w:val="clear"/>
            <w:tcMar>
              <w:top w:type="dxa" w:w="120"/>
              <w:left w:type="dxa" w:w="140"/>
              <w:bottom w:type="dxa" w:w="120"/>
              <w:right w:type="dxa" w:w="140"/>
            </w:tcMar>
            <w:vAlign w:val="center"/>
          </w:tcPr>
          <w:p>
            <w:r>
              <w:rPr>
                <w:rFonts w:ascii="IBM Plex Sans" w:cs="IBM Plex Sans" w:eastAsia="IBM Plex Sans" w:hAnsi="IBM Plex Sans"/>
                <w:b/>
                <w:bCs/>
                <w:color w:val="FFFFFF"/>
                <w:sz w:val="20"/>
                <w:szCs w:val="20"/>
              </w:rPr>
              <w:t xml:space="preserve">Peran</w:t>
            </w:r>
          </w:p>
        </w:tc>
        <w:tc>
          <w:tcPr>
            <w:shd w:fill="4F46E5" w:val="clear"/>
            <w:tcMar>
              <w:top w:type="dxa" w:w="120"/>
              <w:left w:type="dxa" w:w="140"/>
              <w:bottom w:type="dxa" w:w="120"/>
              <w:right w:type="dxa" w:w="140"/>
            </w:tcMar>
            <w:vAlign w:val="center"/>
          </w:tcPr>
          <w:p>
            <w:r>
              <w:rPr>
                <w:rFonts w:ascii="IBM Plex Sans" w:cs="IBM Plex Sans" w:eastAsia="IBM Plex Sans" w:hAnsi="IBM Plex Sans"/>
                <w:b/>
                <w:bCs/>
                <w:color w:val="FFFFFF"/>
                <w:sz w:val="20"/>
                <w:szCs w:val="20"/>
              </w:rPr>
              <w:t xml:space="preserve">Tanggung Jawab Utama dalam Sesi</w:t>
            </w:r>
          </w:p>
        </w:tc>
      </w:tr>
      <w:tr>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Dokter SpOG / Konsultan Obgin Sosial</w:t>
            </w:r>
          </w:p>
        </w:tc>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Supervisi klinis keseluruhan sesi; penilaian dan tata laksana awal kasus dengan dimensi etik medikolegal; keputusan rujukan; dokumentasi medikolegal termasuk permohonan visum et repertum bila diperlukan.</w:t>
            </w:r>
          </w:p>
        </w:tc>
      </w:tr>
      <w:tr>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Peserta Program Pendidikan Dokter Spesialis (PPDS)</w:t>
            </w:r>
          </w:p>
        </w:tc>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Pelaksana skrining individual privat di bawah supervisi; dokumentasi klinis; pendampingan edukasi kelompok.</w:t>
            </w:r>
          </w:p>
        </w:tc>
      </w:tr>
      <w:tr>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Bidan/Perawat</w:t>
            </w:r>
          </w:p>
        </w:tc>
        <w:tc>
          <w:tcPr>
            <w:shd w:fill="FFFFFF"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Fasilitasi sesi edukasi kelompok; deteksi awal tanda kewaspadaan (red flag); pendampingan peserta menuju ruang skrining privat; dukungan lini pertama tahap awal.</w:t>
            </w:r>
          </w:p>
        </w:tc>
      </w:tr>
      <w:tr>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Kader Kesehatan</w:t>
            </w:r>
          </w:p>
        </w:tc>
        <w:tc>
          <w:tcPr>
            <w:shd w:fill="F1F5F9" w:val="clear"/>
            <w:tcMar>
              <w:top w:type="dxa" w:w="120"/>
              <w:left w:type="dxa" w:w="140"/>
              <w:bottom w:type="dxa" w:w="120"/>
              <w:right w:type="dxa" w:w="140"/>
            </w:tcMar>
          </w:tcPr>
          <w:p>
            <w:pPr>
              <w:spacing w:line="270"/>
            </w:pPr>
            <w:r>
              <w:rPr>
                <w:rFonts w:ascii="IBM Plex Sans" w:cs="IBM Plex Sans" w:eastAsia="IBM Plex Sans" w:hAnsi="IBM Plex Sans"/>
                <w:color w:val="334155"/>
                <w:sz w:val="20"/>
                <w:szCs w:val="20"/>
              </w:rPr>
              <w:t xml:space="preserve">Mobilisasi dan penjadwalan peserta; penciptaan suasana aman dan tidak menghakimi; dukungan sebaya pada sesi konsolidasi; tidak dilibatkan dalam skrining klinis privat maupun akses dokumentasi medis.</w:t>
            </w:r>
          </w:p>
        </w:tc>
      </w:tr>
    </w:tbl>
    <w:p>
      <w:pPr>
        <w:spacing w:after="200"/>
      </w:pP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19 No. 6 (Perencanaan Terapi) — tata laksana holistik dan multidisiplin pada kasus kekerasan mensyaratkan keterlibatan lintas peran dengan batas kewenangan yang jelas.</w:t>
            </w:r>
          </w:p>
        </w:tc>
      </w:tr>
    </w:tbl>
    <w:p>
      <w:pPr>
        <w:spacing w:after="200"/>
      </w:pPr>
    </w:p>
    <w:p>
      <w:pPr>
        <w:pStyle w:val="Heading1"/>
        <w:spacing w:after="200" w:before="300"/>
      </w:pPr>
      <w:r>
        <w:rPr>
          <w:rFonts w:ascii="Source Serif 4" w:cs="Source Serif 4" w:eastAsia="Source Serif 4" w:hAnsi="Source Serif 4"/>
          <w:color w:val="1E1B4B"/>
        </w:rPr>
        <w:t xml:space="preserve">5. Materi/Konten yang Disampaikan pada Setiap Sesi</w:t>
      </w:r>
    </w:p>
    <w:p>
      <w:pPr>
        <w:pStyle w:val="Heading2"/>
        <w:spacing w:after="140" w:before="200"/>
      </w:pPr>
      <w:r>
        <w:rPr>
          <w:rFonts w:ascii="Source Serif 4" w:cs="Source Serif 4" w:eastAsia="Source Serif 4" w:hAnsi="Source Serif 4"/>
          <w:color w:val="4F46E5"/>
        </w:rPr>
        <w:t xml:space="preserve">Konten Edukasi Kelompok</w:t>
      </w:r>
    </w:p>
    <w:p>
      <w:pPr>
        <w:spacing w:after="160" w:line="300"/>
      </w:pPr>
      <w:r>
        <w:rPr>
          <w:rFonts w:ascii="IBM Plex Sans" w:cs="IBM Plex Sans" w:eastAsia="IBM Plex Sans" w:hAnsi="IBM Plex Sans"/>
          <w:color w:val="334155"/>
          <w:sz w:val="22"/>
          <w:szCs w:val="22"/>
        </w:rPr>
        <w:t xml:space="preserve">Materi disampaikan dalam bahasa yang mudah dipahami, menghindari istilah yang menghakimi korban, dan disesuaikan dengan konteks budaya setempat.</w:t>
      </w:r>
    </w:p>
    <w:p>
      <w:pPr>
        <w:pStyle w:val="ListParagraph"/>
        <w:numPr>
          <w:ilvl w:val="0"/>
          <w:numId w:val="1"/>
        </w:numPr>
        <w:spacing w:after="100" w:line="290"/>
      </w:pPr>
      <w:r>
        <w:rPr>
          <w:rFonts w:ascii="IBM Plex Sans" w:cs="IBM Plex Sans" w:eastAsia="IBM Plex Sans" w:hAnsi="IBM Plex Sans"/>
          <w:color w:val="334155"/>
          <w:sz w:val="22"/>
          <w:szCs w:val="22"/>
        </w:rPr>
        <w:t xml:space="preserve">Definisi dan bentuk kekerasan terhadap perempuan: kekerasan fisik, seksual, psikologis, dan penelantaran/ekonomi, sebagaimana diatur dalam Undang-Undang Nomor 23 Tahun 2004 tentang Penghapusan Kekerasan dalam Rumah Tangga (UU PKDRT) dan Undang-Undang Nomor 12 Tahun 2022 tentang Tindak Pidana Kekerasan Seksual (UU TPKS).</w:t>
      </w:r>
    </w:p>
    <w:p>
      <w:pPr>
        <w:pStyle w:val="ListParagraph"/>
        <w:numPr>
          <w:ilvl w:val="0"/>
          <w:numId w:val="1"/>
        </w:numPr>
        <w:spacing w:after="100" w:line="290"/>
      </w:pPr>
      <w:r>
        <w:rPr>
          <w:rFonts w:ascii="IBM Plex Sans" w:cs="IBM Plex Sans" w:eastAsia="IBM Plex Sans" w:hAnsi="IBM Plex Sans"/>
          <w:color w:val="334155"/>
          <w:sz w:val="22"/>
          <w:szCs w:val="22"/>
        </w:rPr>
        <w:t xml:space="preserve">Dampak kekerasan terhadap kesehatan reproduksi dan luaran obstetri, termasuk peningkatan risiko abortus, persalinan prematur, dan berat badan lahir rendah (BBLR).</w:t>
      </w:r>
    </w:p>
    <w:p>
      <w:pPr>
        <w:pStyle w:val="ListParagraph"/>
        <w:numPr>
          <w:ilvl w:val="0"/>
          <w:numId w:val="1"/>
        </w:numPr>
        <w:spacing w:after="100" w:line="290"/>
      </w:pPr>
      <w:r>
        <w:rPr>
          <w:rFonts w:ascii="IBM Plex Sans" w:cs="IBM Plex Sans" w:eastAsia="IBM Plex Sans" w:hAnsi="IBM Plex Sans"/>
          <w:color w:val="334155"/>
          <w:sz w:val="22"/>
          <w:szCs w:val="22"/>
        </w:rPr>
        <w:t xml:space="preserve">Hak-hak perempuan sebagai korban kekerasan dan dasar hukum perlindungan yang berlaku, mengacu pada Undang-Undang Nomor 17 Tahun 2023 tentang Kesehatan, UU PKDRT, UU TPKS, serta Peraturan Menteri Pemberdayaan Perempuan dan Perlindungan Anak Nomor 2 Tahun 2022 tentang Standar Layanan Perlindungan Perempuan dan Anak.</w:t>
      </w:r>
    </w:p>
    <w:p>
      <w:pPr>
        <w:pStyle w:val="ListParagraph"/>
        <w:numPr>
          <w:ilvl w:val="0"/>
          <w:numId w:val="1"/>
        </w:numPr>
        <w:spacing w:after="100" w:line="290"/>
      </w:pPr>
      <w:r>
        <w:rPr>
          <w:rFonts w:ascii="IBM Plex Sans" w:cs="IBM Plex Sans" w:eastAsia="IBM Plex Sans" w:hAnsi="IBM Plex Sans"/>
          <w:color w:val="334155"/>
          <w:sz w:val="22"/>
          <w:szCs w:val="22"/>
        </w:rPr>
        <w:t xml:space="preserve">Prinsip kerahasiaan dan pendekatan trauma-informed care dalam layanan yang diterima peserta.</w:t>
      </w:r>
    </w:p>
    <w:p>
      <w:pPr>
        <w:pStyle w:val="ListParagraph"/>
        <w:numPr>
          <w:ilvl w:val="0"/>
          <w:numId w:val="1"/>
        </w:numPr>
        <w:spacing w:after="100" w:line="290"/>
      </w:pPr>
      <w:r>
        <w:rPr>
          <w:rFonts w:ascii="IBM Plex Sans" w:cs="IBM Plex Sans" w:eastAsia="IBM Plex Sans" w:hAnsi="IBM Plex Sans"/>
          <w:color w:val="334155"/>
          <w:sz w:val="22"/>
          <w:szCs w:val="22"/>
        </w:rPr>
        <w:t xml:space="preserve">Informasi jalur bantuan yang tersedia: fasilitas kesehatan rujukan, layanan psikologi, Unit Pelaksana Teknis Daerah Perlindungan Perempuan dan Anak (UPTD PPA) setempat, Layanan SAPA 129 (telepon 129 atau WhatsApp 08111-129-129) sebagai kanal pengaduan dan rujukan nasional, kepolisian, dan rumah aman/shelter.</w:t>
      </w: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23 No. 13 — kandungan materi wajib mencakup definisi/bentuk KDRT, dampak obstetri, dan pedoman layanan korban kekerasan.</w:t>
            </w:r>
          </w:p>
        </w:tc>
      </w:tr>
    </w:tbl>
    <w:p>
      <w:pPr>
        <w:spacing w:after="200"/>
      </w:pPr>
    </w:p>
    <w:p>
      <w:pPr>
        <w:pStyle w:val="Heading1"/>
        <w:spacing w:after="200" w:before="300"/>
      </w:pPr>
      <w:r>
        <w:rPr>
          <w:rFonts w:ascii="Source Serif 4" w:cs="Source Serif 4" w:eastAsia="Source Serif 4" w:hAnsi="Source Serif 4"/>
          <w:color w:val="1E1B4B"/>
        </w:rPr>
        <w:t xml:space="preserve">6. Indikator Keberhasilan Program</w:t>
      </w:r>
    </w:p>
    <w:p>
      <w:pPr>
        <w:pStyle w:val="Heading2"/>
        <w:spacing w:after="140" w:before="200"/>
      </w:pPr>
      <w:r>
        <w:rPr>
          <w:rFonts w:ascii="Source Serif 4" w:cs="Source Serif 4" w:eastAsia="Source Serif 4" w:hAnsi="Source Serif 4"/>
          <w:color w:val="4F46E5"/>
        </w:rPr>
        <w:t xml:space="preserve">6.1 Indikator Tingkat Individu Peserta</w:t>
      </w:r>
    </w:p>
    <w:p>
      <w:pPr>
        <w:pStyle w:val="ListParagraph"/>
        <w:numPr>
          <w:ilvl w:val="0"/>
          <w:numId w:val="1"/>
        </w:numPr>
        <w:spacing w:after="100" w:line="290"/>
      </w:pPr>
      <w:r>
        <w:rPr>
          <w:rFonts w:ascii="IBM Plex Sans" w:cs="IBM Plex Sans" w:eastAsia="IBM Plex Sans" w:hAnsi="IBM Plex Sans"/>
          <w:color w:val="334155"/>
          <w:sz w:val="22"/>
          <w:szCs w:val="22"/>
        </w:rPr>
        <w:t xml:space="preserve">100% peserta yang memenuhi kriteria inklusi mendapat skrining privat menggunakan instrumen HITS atau HARK.</w:t>
      </w:r>
    </w:p>
    <w:p>
      <w:pPr>
        <w:pStyle w:val="ListParagraph"/>
        <w:numPr>
          <w:ilvl w:val="0"/>
          <w:numId w:val="1"/>
        </w:numPr>
        <w:spacing w:after="100" w:line="290"/>
      </w:pPr>
      <w:r>
        <w:rPr>
          <w:rFonts w:ascii="IBM Plex Sans" w:cs="IBM Plex Sans" w:eastAsia="IBM Plex Sans" w:hAnsi="IBM Plex Sans"/>
          <w:color w:val="334155"/>
          <w:sz w:val="22"/>
          <w:szCs w:val="22"/>
        </w:rPr>
        <w:t xml:space="preserve">≥90% peserta yang teridentifikasi sebagai korban kekerasan mendapat intervensi medis awal dan ditawari rujukan sosial/psikologis/hukum.</w:t>
      </w:r>
    </w:p>
    <w:p>
      <w:pPr>
        <w:pStyle w:val="ListParagraph"/>
        <w:numPr>
          <w:ilvl w:val="0"/>
          <w:numId w:val="1"/>
        </w:numPr>
        <w:spacing w:after="100" w:line="290"/>
      </w:pPr>
      <w:r>
        <w:rPr>
          <w:rFonts w:ascii="IBM Plex Sans" w:cs="IBM Plex Sans" w:eastAsia="IBM Plex Sans" w:hAnsi="IBM Plex Sans"/>
          <w:color w:val="334155"/>
          <w:sz w:val="22"/>
          <w:szCs w:val="22"/>
        </w:rPr>
        <w:t xml:space="preserve">100% kasus berisiko yang teridentifikasi terdokumentasi lengkap sesuai prinsip keamanan dan kerahasiaan.</w:t>
      </w:r>
    </w:p>
    <w:p>
      <w:pPr>
        <w:pStyle w:val="ListParagraph"/>
        <w:numPr>
          <w:ilvl w:val="0"/>
          <w:numId w:val="1"/>
        </w:numPr>
        <w:spacing w:after="100" w:line="290"/>
      </w:pPr>
      <w:r>
        <w:rPr>
          <w:rFonts w:ascii="IBM Plex Sans" w:cs="IBM Plex Sans" w:eastAsia="IBM Plex Sans" w:hAnsi="IBM Plex Sans"/>
          <w:color w:val="334155"/>
          <w:sz w:val="22"/>
          <w:szCs w:val="22"/>
        </w:rPr>
        <w:t xml:space="preserve">Kepatuhan kunjungan tindak lanjut (follow-up) bagi peserta yang dirujuk [DATA: rujuk register internal Puskesmas/UPTD PPA setempat — belum tersedia agregat nasional yang dapat dikutip].</w:t>
      </w:r>
    </w:p>
    <w:p>
      <w:pPr>
        <w:pStyle w:val="Heading2"/>
        <w:spacing w:after="140" w:before="200"/>
      </w:pPr>
      <w:r>
        <w:rPr>
          <w:rFonts w:ascii="Source Serif 4" w:cs="Source Serif 4" w:eastAsia="Source Serif 4" w:hAnsi="Source Serif 4"/>
          <w:color w:val="4F46E5"/>
        </w:rPr>
        <w:t xml:space="preserve">6.2 Indikator Tingkat Agregat/Populasi</w:t>
      </w:r>
    </w:p>
    <w:p>
      <w:pPr>
        <w:pStyle w:val="ListParagraph"/>
        <w:numPr>
          <w:ilvl w:val="0"/>
          <w:numId w:val="1"/>
        </w:numPr>
        <w:spacing w:after="100" w:line="290"/>
      </w:pPr>
      <w:r>
        <w:rPr>
          <w:rFonts w:ascii="IBM Plex Sans" w:cs="IBM Plex Sans" w:eastAsia="IBM Plex Sans" w:hAnsi="IBM Plex Sans"/>
          <w:color w:val="334155"/>
          <w:sz w:val="22"/>
          <w:szCs w:val="22"/>
        </w:rPr>
        <w:t xml:space="preserve">Jumlah sesi skrining komunitas terlaksana per periode program [DATA: rujuk laporan program dinas kesehatan/UPTD PPA setempat].</w:t>
      </w:r>
    </w:p>
    <w:p>
      <w:pPr>
        <w:pStyle w:val="ListParagraph"/>
        <w:numPr>
          <w:ilvl w:val="0"/>
          <w:numId w:val="1"/>
        </w:numPr>
        <w:spacing w:after="100" w:line="290"/>
      </w:pPr>
      <w:r>
        <w:rPr>
          <w:rFonts w:ascii="IBM Plex Sans" w:cs="IBM Plex Sans" w:eastAsia="IBM Plex Sans" w:hAnsi="IBM Plex Sans"/>
          <w:color w:val="334155"/>
          <w:sz w:val="22"/>
          <w:szCs w:val="22"/>
        </w:rPr>
        <w:t xml:space="preserve">Cakupan populasi sasaran yang terjangkau dibandingkan estimasi populasi wilayah kerja [DATA: rujuk data kependudukan dan register Puskesmas setempat].</w:t>
      </w:r>
    </w:p>
    <w:p>
      <w:pPr>
        <w:pStyle w:val="ListParagraph"/>
        <w:numPr>
          <w:ilvl w:val="0"/>
          <w:numId w:val="1"/>
        </w:numPr>
        <w:spacing w:after="100" w:line="290"/>
      </w:pPr>
      <w:r>
        <w:rPr>
          <w:rFonts w:ascii="IBM Plex Sans" w:cs="IBM Plex Sans" w:eastAsia="IBM Plex Sans" w:hAnsi="IBM Plex Sans"/>
          <w:color w:val="334155"/>
          <w:sz w:val="22"/>
          <w:szCs w:val="22"/>
        </w:rPr>
        <w:t xml:space="preserve">Tingkat deteksi kasus baru per periode program, sebagai indikator lokal yang dapat dibandingkan dengan tren nasional pada Catatan Tahunan Komnas Perempuan.</w:t>
      </w:r>
    </w:p>
    <w:p>
      <w:pPr>
        <w:pStyle w:val="ListParagraph"/>
        <w:numPr>
          <w:ilvl w:val="0"/>
          <w:numId w:val="1"/>
        </w:numPr>
        <w:spacing w:after="100" w:line="290"/>
      </w:pPr>
      <w:r>
        <w:rPr>
          <w:rFonts w:ascii="IBM Plex Sans" w:cs="IBM Plex Sans" w:eastAsia="IBM Plex Sans" w:hAnsi="IBM Plex Sans"/>
          <w:color w:val="334155"/>
          <w:sz w:val="22"/>
          <w:szCs w:val="22"/>
        </w:rPr>
        <w:t xml:space="preserve">Proporsi kasus rujukan individual yang berhasil mendapat penanganan lanjutan pada layanan tujuan sebagaimana diuraikan pada Bagian 7 [DATA: rujuk register rujukan internal fasilitas].</w:t>
      </w: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21 No. 13 — target kinerja minimal: 100% kasus KDRT terdokumentasi lengkap dan seluruh korban ditawari rujukan psikososial dan hukum.</w:t>
            </w:r>
          </w:p>
        </w:tc>
      </w:tr>
    </w:tbl>
    <w:p>
      <w:pPr>
        <w:spacing w:after="200"/>
      </w:pPr>
    </w:p>
    <w:p>
      <w:pPr>
        <w:pStyle w:val="Heading1"/>
        <w:spacing w:after="200" w:before="300"/>
      </w:pPr>
      <w:r>
        <w:rPr>
          <w:rFonts w:ascii="Source Serif 4" w:cs="Source Serif 4" w:eastAsia="Source Serif 4" w:hAnsi="Source Serif 4"/>
          <w:color w:val="1E1B4B"/>
        </w:rPr>
        <w:t xml:space="preserve">7. Kriteria dan Alur Rujukan Bila Ditemukan Kasus Individual Berisiko</w:t>
      </w:r>
    </w:p>
    <w:p>
      <w:pPr>
        <w:pStyle w:val="Heading2"/>
        <w:spacing w:after="140" w:before="200"/>
      </w:pPr>
      <w:r>
        <w:rPr>
          <w:rFonts w:ascii="Source Serif 4" w:cs="Source Serif 4" w:eastAsia="Source Serif 4" w:hAnsi="Source Serif 4"/>
          <w:color w:val="4F46E5"/>
        </w:rPr>
        <w:t xml:space="preserve">Kriteria Rujukan Individual</w:t>
      </w:r>
    </w:p>
    <w:p>
      <w:pPr>
        <w:spacing w:after="160" w:line="300"/>
      </w:pPr>
      <w:r>
        <w:rPr>
          <w:rFonts w:ascii="IBM Plex Sans" w:cs="IBM Plex Sans" w:eastAsia="IBM Plex Sans" w:hAnsi="IBM Plex Sans"/>
          <w:color w:val="334155"/>
          <w:sz w:val="22"/>
          <w:szCs w:val="22"/>
        </w:rPr>
        <w:t xml:space="preserve">Peserta dirujuk keluar dari alur kelompok menuju asesmen dan tata laksana individual apabila skrining privat (HITS/HARK) positif, ditemukan tanda fisik kekerasan pada pemeriksaan, terdapat pengungkapan aktif mengalami kekerasan fisik/seksual/psikologis/ekonomi, atau ditemukan red flag sebagaimana diuraikan pada Bagian 2.</w:t>
      </w:r>
    </w:p>
    <w:p>
      <w:pPr>
        <w:pStyle w:val="Heading2"/>
        <w:spacing w:after="140" w:before="200"/>
      </w:pPr>
      <w:r>
        <w:rPr>
          <w:rFonts w:ascii="Source Serif 4" w:cs="Source Serif 4" w:eastAsia="Source Serif 4" w:hAnsi="Source Serif 4"/>
          <w:color w:val="4F46E5"/>
        </w:rPr>
        <w:t xml:space="preserve">Alur Rujukan Klinis</w:t>
      </w:r>
    </w:p>
    <w:p>
      <w:pPr>
        <w:spacing w:after="160" w:line="300"/>
      </w:pPr>
      <w:r>
        <w:rPr>
          <w:rFonts w:ascii="IBM Plex Sans" w:cs="IBM Plex Sans" w:eastAsia="IBM Plex Sans" w:hAnsi="IBM Plex Sans"/>
          <w:color w:val="334155"/>
          <w:sz w:val="22"/>
          <w:szCs w:val="22"/>
        </w:rPr>
        <w:t xml:space="preserve">Alur rujukan mengikuti tahapan berikut: (1) skrining komunitas pada sesi kelompok; (2) bila red flag atau hasil skrining positif, dilakukan asesmen privat oleh dokter SpOG/PPDS terlatih; (3) apabila kriteria individual berisiko terpenuhi, peserta dirujuk untuk tata laksana kasus Korban Kekerasan dalam Rumah Tangga (KDRT) bersesuaian dengan entri Tabel 11 No. 16 Kepkonsil, atau untuk tata laksana kasus etik medikolegal bersesuaian dengan entri Tabel 11 No. 5 Kepkonsil apabila kasus memiliki dimensi etik-hukum yang lebih dominan (misalnya permohonan visum et repertum, perkosaan, atau penyerangan seksual dengan kekerasan fisik).</w:t>
      </w:r>
    </w:p>
    <w:p>
      <w:pPr>
        <w:spacing w:after="160" w:line="300"/>
      </w:pPr>
      <w:r>
        <w:rPr>
          <w:rFonts w:ascii="IBM Plex Sans" w:cs="IBM Plex Sans" w:eastAsia="IBM Plex Sans" w:hAnsi="IBM Plex Sans"/>
          <w:color w:val="334155"/>
          <w:sz w:val="22"/>
          <w:szCs w:val="22"/>
        </w:rPr>
        <w:t xml:space="preserve">Penanganan individual lanjutan mencakup pemeriksaan medis sesuai standar visum, konseling psikologis dan dukungan darurat, dokumentasi medis-legal, serta kolaborasi lintas sektor.</w:t>
      </w:r>
    </w:p>
    <w:p>
      <w:pPr>
        <w:pStyle w:val="Heading2"/>
        <w:spacing w:after="140" w:before="200"/>
      </w:pPr>
      <w:r>
        <w:rPr>
          <w:rFonts w:ascii="Source Serif 4" w:cs="Source Serif 4" w:eastAsia="Source Serif 4" w:hAnsi="Source Serif 4"/>
          <w:color w:val="4F46E5"/>
        </w:rPr>
        <w:t xml:space="preserve">Kolaborasi Lintas Sektor</w:t>
      </w:r>
    </w:p>
    <w:p>
      <w:pPr>
        <w:spacing w:after="160" w:line="300"/>
      </w:pPr>
      <w:r>
        <w:rPr>
          <w:rFonts w:ascii="IBM Plex Sans" w:cs="IBM Plex Sans" w:eastAsia="IBM Plex Sans" w:hAnsi="IBM Plex Sans"/>
          <w:color w:val="334155"/>
          <w:sz w:val="22"/>
          <w:szCs w:val="22"/>
        </w:rPr>
        <w:t xml:space="preserve">Rujukan tidak terbatas pada jalur medis. Kasus yang memerlukan penanganan hukum atau perlindungan dikoordinasikan dengan Unit Pelaksana Teknis Daerah Perlindungan Perempuan dan Anak (UPTD PPA) setempat, yang menyelenggarakan fungsi pengaduan masyarakat, penjangkauan korban, pengelolaan kasus, penampungan sementara, mediasi, dan pendampingan korban sesuai Peraturan Menteri Pemberdayaan Perempuan dan Perlindungan Anak Nomor 2 Tahun 2022 tentang Standar Layanan Perlindungan Perempuan dan Anak.</w:t>
      </w:r>
    </w:p>
    <w:p>
      <w:pPr>
        <w:spacing w:after="160" w:line="300"/>
      </w:pPr>
      <w:r>
        <w:rPr>
          <w:rFonts w:ascii="IBM Plex Sans" w:cs="IBM Plex Sans" w:eastAsia="IBM Plex Sans" w:hAnsi="IBM Plex Sans"/>
          <w:color w:val="334155"/>
          <w:sz w:val="22"/>
          <w:szCs w:val="22"/>
        </w:rPr>
        <w:t xml:space="preserve">Untuk kasus yang memerlukan koordinasi tingkat nasional, lintas provinsi, atau layanan rujukan akhir, tenaga kesehatan dapat menghubungkan korban dengan Layanan Sahabat Perempuan dan Anak (SAPA 129) melalui telepon 129 atau WhatsApp 08111-129-129, sesuai mandat Peraturan Presiden Nomor 65 Tahun 2020 tentang Kementerian Pemberdayaan Perempuan dan Perlindungan Anak dan Peraturan Menteri Pemberdayaan Perempuan dan Perlindungan Anak Nomor 11 Tahun 2022 tentang Prosedur Standar Operasional Penyediaan Layanan Rujukan Akhir bagi Perempuan Korban Kekerasan.</w:t>
      </w:r>
    </w:p>
    <w:p>
      <w:pPr>
        <w:spacing w:after="160" w:line="300"/>
      </w:pPr>
      <w:r>
        <w:rPr>
          <w:rFonts w:ascii="IBM Plex Sans" w:cs="IBM Plex Sans" w:eastAsia="IBM Plex Sans" w:hAnsi="IBM Plex Sans"/>
          <w:color w:val="334155"/>
          <w:sz w:val="22"/>
          <w:szCs w:val="22"/>
        </w:rPr>
        <w:t xml:space="preserve">Koordinasi lebih lanjut dilakukan dengan kepolisian (khususnya bila terdapat permintaan visum et repertum atau pelaporan pidana sesuai UU PKDRT maupun UU TPKS), layanan psikologi/psikiatri, dan rumah aman/shelter bagi korban yang memerlukan perlindungan segera.</w:t>
      </w: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21 No. 13 — kolaborasi wajib dengan psikologi, hukum, kepolisian, UPTD PPA, dan rujukan ke shelter/layanan perlindungan bila diperlukan; volume minimal 1 kasus KDRT ditangani/didampingi.</w:t>
            </w:r>
          </w:p>
        </w:tc>
      </w:tr>
    </w:tbl>
    <w:p>
      <w:pPr>
        <w:spacing w:after="200"/>
      </w:pPr>
    </w:p>
    <w:p>
      <w:pPr>
        <w:pStyle w:val="Heading1"/>
        <w:spacing w:after="200" w:before="300"/>
      </w:pPr>
      <w:r>
        <w:rPr>
          <w:rFonts w:ascii="Source Serif 4" w:cs="Source Serif 4" w:eastAsia="Source Serif 4" w:hAnsi="Source Serif 4"/>
          <w:color w:val="1E1B4B"/>
        </w:rPr>
        <w:t xml:space="preserve">8. Dasar Regulasi dan Rujukan Program Nasional</w:t>
      </w:r>
    </w:p>
    <w:p>
      <w:pPr>
        <w:pStyle w:val="Heading2"/>
        <w:spacing w:after="140" w:before="200"/>
      </w:pPr>
      <w:r>
        <w:rPr>
          <w:rFonts w:ascii="Source Serif 4" w:cs="Source Serif 4" w:eastAsia="Source Serif 4" w:hAnsi="Source Serif 4"/>
          <w:color w:val="4F46E5"/>
        </w:rPr>
        <w:t xml:space="preserve">Dasar Regulasi</w:t>
      </w:r>
    </w:p>
    <w:p>
      <w:pPr>
        <w:spacing w:after="160" w:line="300"/>
      </w:pPr>
      <w:r>
        <w:rPr>
          <w:rFonts w:ascii="IBM Plex Sans" w:cs="IBM Plex Sans" w:eastAsia="IBM Plex Sans" w:hAnsi="IBM Plex Sans"/>
          <w:color w:val="334155"/>
          <w:sz w:val="22"/>
          <w:szCs w:val="22"/>
        </w:rPr>
        <w:t xml:space="preserve">Program ini berpijak pada Keputusan Ketua Konsil Kesehatan Indonesia No. HK.01.02/KKI/1318/2026 tentang Standar Kompetensi Dokter Spesialis dan Subspesialis Bidang Obstetri dan Ginekologi, khususnya Tabel 11 (Spektrum Penyakit dan Kondisi Klinis Subspesialis Obstetri Ginekologi Sosial) entri No. 5 dan No. 16, Tabel 19 (Kompetensi Penatalaksanaan Klinis), Tabel 21 (Kompetensi Prosedur Klinis) entri No. 13, dan Tabel 23 (Penguasaan Pengetahuan) entri No. 13.</w:t>
      </w:r>
    </w:p>
    <w:p>
      <w:pPr>
        <w:spacing w:after="160" w:line="300"/>
      </w:pPr>
      <w:r>
        <w:rPr>
          <w:rFonts w:ascii="IBM Plex Sans" w:cs="IBM Plex Sans" w:eastAsia="IBM Plex Sans" w:hAnsi="IBM Plex Sans"/>
          <w:color w:val="334155"/>
          <w:sz w:val="22"/>
          <w:szCs w:val="22"/>
        </w:rPr>
        <w:t xml:space="preserve">Landasan hukum nasional lain yang relevan meliputi Undang-Undang Nomor 17 Tahun 2023 tentang Kesehatan; Undang-Undang Nomor 23 Tahun 2004 tentang Penghapusan Kekerasan dalam Rumah Tangga (UU PKDRT); Undang-Undang Nomor 12 Tahun 2022 tentang Tindak Pidana Kekerasan Seksual (UU TPKS); Peraturan Presiden Nomor 65 Tahun 2020 tentang Kementerian Pemberdayaan Perempuan dan Perlindungan Anak; Peraturan Menteri Pemberdayaan Perempuan dan Perlindungan Anak Nomor 2 Tahun 2022 tentang Standar Layanan Perlindungan Perempuan dan Anak; dan Peraturan Menteri Pemberdayaan Perempuan dan Perlindungan Anak Nomor 11 Tahun 2022 tentang Prosedur Standar Operasional Penyediaan Layanan Rujukan Akhir bagi Perempuan Korban Kekerasan.</w:t>
      </w:r>
    </w:p>
    <w:p>
      <w:pPr>
        <w:pStyle w:val="Heading2"/>
        <w:spacing w:after="140" w:before="200"/>
      </w:pPr>
      <w:r>
        <w:rPr>
          <w:rFonts w:ascii="Source Serif 4" w:cs="Source Serif 4" w:eastAsia="Source Serif 4" w:hAnsi="Source Serif 4"/>
          <w:color w:val="4F46E5"/>
        </w:rPr>
        <w:t xml:space="preserve">Keterkaitan dengan Program Nasional</w:t>
      </w:r>
    </w:p>
    <w:p>
      <w:pPr>
        <w:spacing w:after="160" w:line="300"/>
      </w:pPr>
      <w:r>
        <w:rPr>
          <w:rFonts w:ascii="IBM Plex Sans" w:cs="IBM Plex Sans" w:eastAsia="IBM Plex Sans" w:hAnsi="IBM Plex Sans"/>
          <w:color w:val="334155"/>
          <w:sz w:val="22"/>
          <w:szCs w:val="22"/>
        </w:rPr>
        <w:t xml:space="preserve">Bagi sasaran remaja, program ini terhubung dengan Pelayanan Kesehatan Peduli Remaja (PKPR) Kementerian Kesehatan sebagai jalur edukasi dan konseling berkelanjutan. Program juga terhubung dengan Layanan SAPA 129 milik Kementerian Pemberdayaan Perempuan dan Perlindungan Anak sebagai kanal pengaduan dan rujukan nasional, serta dengan Unit Pelaksana Teknis Daerah Perlindungan Perempuan dan Anak (UPTD PPA) di tingkat kabupaten/kota sebagai penyelenggara layanan terpadu di wilayah kerja masing-masing.</w:t>
      </w:r>
    </w:p>
    <w:p>
      <w:pPr>
        <w:spacing w:after="160" w:line="300"/>
      </w:pPr>
      <w:r>
        <w:rPr>
          <w:rFonts w:ascii="IBM Plex Sans" w:cs="IBM Plex Sans" w:eastAsia="IBM Plex Sans" w:hAnsi="IBM Plex Sans"/>
          <w:color w:val="334155"/>
          <w:sz w:val="22"/>
          <w:szCs w:val="22"/>
        </w:rPr>
        <w:t xml:space="preserve">Cakupan dan capaian program terhadap tren nasional penanganan kekerasan terhadap perempuan dapat dibandingkan secara berkala dengan Catatan Tahunan (CATAHU) Komnas Perempuan dan data Sistem Informasi Online Perlindungan Perempuan dan Anak (SIMFONI-PPA) Kementerian Pemberdayaan Perempuan dan Perlindungan Anak.</w:t>
      </w:r>
    </w:p>
    <w:p>
      <w:pPr>
        <w:spacing w:after="120"/>
      </w:pPr>
    </w:p>
    <w:tbl>
      <w:tblPr>
        <w:tblW w:type="dxa" w:w="10000"/>
        <w:tblBorders>
          <w:top w:val="single" w:color="4F46E5" w:sz="6"/>
          <w:left w:val="single" w:color="4F46E5" w:sz="24"/>
          <w:bottom w:val="single" w:color="4F46E5" w:sz="6"/>
          <w:right w:val="single" w:color="4F46E5" w:sz="6"/>
          <w:insideH w:val="single" w:color="auto" w:sz="4"/>
          <w:insideV w:val="single" w:color="auto" w:sz="4"/>
        </w:tblBorders>
      </w:tblPr>
      <w:tblGrid>
        <w:gridCol w:w="10000"/>
      </w:tblGrid>
      <w:tr>
        <w:tc>
          <w:tcPr>
            <w:tcW w:type="dxa" w:w="10000"/>
            <w:shd w:fill="EEF2FF" w:val="clear"/>
            <w:tcMar>
              <w:top w:type="dxa" w:w="160"/>
              <w:left w:type="dxa" w:w="220"/>
              <w:bottom w:type="dxa" w:w="160"/>
              <w:right w:type="dxa" w:w="22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1"/>
                <w:szCs w:val="21"/>
              </w:rPr>
              <w:t xml:space="preserve">Tabel 11 No. 5 dan No. 16; Tabel 19, 21, 23 entri terkait — Kepkonsil HK.01.02/KKI/1318/2026; UU 17/2023 tentang Kesehatan; UU PKDRT; UU TPKS; Permen PPPA No. 2/2022 dan No. 11/2022.</w:t>
            </w:r>
          </w:p>
        </w:tc>
      </w:tr>
    </w:tbl>
    <w:p>
      <w:pPr>
        <w:spacing w:after="200"/>
      </w:pPr>
    </w:p>
    <w:p>
      <w:pPr>
        <w:pStyle w:val="Heading1"/>
        <w:spacing w:after="200" w:before="300"/>
      </w:pPr>
      <w:r>
        <w:rPr>
          <w:rFonts w:ascii="Source Serif 4" w:cs="Source Serif 4" w:eastAsia="Source Serif 4" w:hAnsi="Source Serif 4"/>
          <w:color w:val="1E1B4B"/>
        </w:rPr>
        <w:t xml:space="preserve">9. Perbandingan dan Pengayaan Standar Internasional</w:t>
      </w:r>
    </w:p>
    <w:p>
      <w:pPr>
        <w:pStyle w:val="Heading2"/>
        <w:spacing w:after="140" w:before="200"/>
      </w:pPr>
      <w:r>
        <w:rPr>
          <w:rFonts w:ascii="Source Serif 4" w:cs="Source Serif 4" w:eastAsia="Source Serif 4" w:hAnsi="Source Serif 4"/>
          <w:color w:val="4F46E5"/>
        </w:rPr>
        <w:t xml:space="preserve">WHO — Responding to Intimate Partner Violence and Sexual Violence Against Women</w:t>
      </w:r>
    </w:p>
    <w:p>
      <w:pPr>
        <w:spacing w:after="160" w:line="300"/>
      </w:pPr>
      <w:r>
        <w:rPr>
          <w:rFonts w:ascii="IBM Plex Sans" w:cs="IBM Plex Sans" w:eastAsia="IBM Plex Sans" w:hAnsi="IBM Plex Sans"/>
          <w:color w:val="334155"/>
          <w:sz w:val="22"/>
          <w:szCs w:val="22"/>
        </w:rPr>
        <w:t xml:space="preserve">Pedoman klinis dan kebijakan WHO (2013) memperkenalkan pendekatan dukungan lini pertama LIVES (Listen, Inquire, Validate, Enhance safety, Support) sebagai standar minimal respons layanan kesehatan bagi perempuan yang mengalami kekerasan oleh pasangan intim maupun kekerasan seksual, dan menjadi rujukan utama materi dukungan lini pertama pada Bagian 3 dan 5 panduan ini. Pedoman ini tetap menjadi acuan resmi WHO hingga saat ini, sementara proses pemutakhirannya oleh kelompok kerja pedoman WHO masih berlangsung dan belum diterbitkan.</w:t>
      </w:r>
    </w:p>
    <w:p>
      <w:pPr>
        <w:spacing w:after="160" w:line="300"/>
      </w:pPr>
      <w:r>
        <w:rPr>
          <w:rFonts w:ascii="IBM Plex Sans" w:cs="IBM Plex Sans" w:eastAsia="IBM Plex Sans" w:hAnsi="IBM Plex Sans"/>
          <w:color w:val="334155"/>
          <w:sz w:val="22"/>
          <w:szCs w:val="22"/>
        </w:rPr>
        <w:t xml:space="preserve">Standar nasional (Kepkonsil, melalui Tabel 19 No. 1) menetapkan target dokumentasi skrining KDRT 100% pada anamnesis; standar internasional WHO merekomendasikan pendekatan inquiry selektif berbasis indikasi klinis dan tidak menganjurkan skrining rutin/universal terhadap seluruh perempuan tanpa tanda atau gejala terkait, dengan pertimbangan risiko psikologis dan keselamatan bila pengungkapan dipaksakan tanpa kesiapan sistem rujukan; praktik di Indonesia melalui program ini mengikuti standar nasional yang menekankan dokumentasi menyeluruh pada populasi sasaran berisiko yang telah ditetapkan kriteria inklusinya (Bagian 2), bukan skrining universal tanpa seleksi populasi.</w:t>
      </w:r>
    </w:p>
    <w:p>
      <w:pPr>
        <w:pStyle w:val="Heading2"/>
        <w:spacing w:after="140" w:before="200"/>
      </w:pPr>
      <w:r>
        <w:rPr>
          <w:rFonts w:ascii="Source Serif 4" w:cs="Source Serif 4" w:eastAsia="Source Serif 4" w:hAnsi="Source Serif 4"/>
          <w:color w:val="4F46E5"/>
        </w:rPr>
        <w:t xml:space="preserve">ACOG — Committee Opinion Intimate Partner Violence</w:t>
      </w:r>
    </w:p>
    <w:p>
      <w:pPr>
        <w:spacing w:after="160" w:line="300"/>
      </w:pPr>
      <w:r>
        <w:rPr>
          <w:rFonts w:ascii="IBM Plex Sans" w:cs="IBM Plex Sans" w:eastAsia="IBM Plex Sans" w:hAnsi="IBM Plex Sans"/>
          <w:color w:val="334155"/>
          <w:sz w:val="22"/>
          <w:szCs w:val="22"/>
        </w:rPr>
        <w:t xml:space="preserve">American College of Obstetricians and Gynecologists (ACOG), melalui Committee Opinion No. 518 (terakhir ditinjau ulang tahun 2025), merekomendasikan skrining rutin dan periodik terhadap seluruh perempuan untuk kekerasan oleh pasangan intim (intimate partner violence), termasuk pada setiap kunjungan antenatal per trimester dan kunjungan pascasalin, sejalan dengan pendekatan skrining berbasis populasi yang diadopsi program ini pada sesi layanan primer dan komunitas.</w:t>
      </w:r>
    </w:p>
    <w:p>
      <w:pPr>
        <w:spacing w:after="160" w:line="300"/>
      </w:pPr>
      <w:r>
        <w:rPr>
          <w:rFonts w:ascii="IBM Plex Sans" w:cs="IBM Plex Sans" w:eastAsia="IBM Plex Sans" w:hAnsi="IBM Plex Sans"/>
          <w:color w:val="334155"/>
          <w:sz w:val="22"/>
          <w:szCs w:val="22"/>
        </w:rPr>
        <w:t xml:space="preserve">Perbedaan penekanan antara WHO (inquiry selektif) dan ACOG (skrining rutin universal) mencerminkan perbedaan konteks sistem layanan kesehatan; praktik di Indonesia melalui Kepkonsil mengikuti standar nasional yang mewajibkan skrining KDRT sebagai bagian anamnesis rutin pada populasi sasaran program berbasis komunitas ini, sejalan dengan semangat cakupan populasi berbasis ACOG namun dengan penyesuaian pada konteks sumber daya dan jejaring rujukan primer di Indonesia.</w:t>
      </w:r>
    </w:p>
    <w:p>
      <w:pPr>
        <w:spacing w:after="200"/>
      </w:pPr>
    </w:p>
    <w:p>
      <w:pPr>
        <w:pStyle w:val="Heading1"/>
        <w:spacing w:after="200" w:before="300"/>
      </w:pPr>
      <w:r>
        <w:rPr>
          <w:rFonts w:ascii="Source Serif 4" w:cs="Source Serif 4" w:eastAsia="Source Serif 4" w:hAnsi="Source Serif 4"/>
          <w:color w:val="1E1B4B"/>
        </w:rPr>
        <w:t xml:space="preserve">10. Glosarium</w:t>
      </w:r>
    </w:p>
    <w:p>
      <w:pPr>
        <w:spacing w:after="20" w:before="100"/>
      </w:pPr>
      <w:r>
        <w:rPr>
          <w:rFonts w:ascii="IBM Plex Sans" w:cs="IBM Plex Sans" w:eastAsia="IBM Plex Sans" w:hAnsi="IBM Plex Sans"/>
          <w:b/>
          <w:bCs/>
          <w:color w:val="4F46E5"/>
          <w:sz w:val="22"/>
          <w:szCs w:val="22"/>
        </w:rPr>
        <w:t xml:space="preserve">KDRT (Kekerasan Dalam Rumah Tangga)</w:t>
      </w:r>
    </w:p>
    <w:p>
      <w:pPr>
        <w:spacing w:after="140" w:line="280"/>
      </w:pPr>
      <w:r>
        <w:rPr>
          <w:rFonts w:ascii="IBM Plex Sans" w:cs="IBM Plex Sans" w:eastAsia="IBM Plex Sans" w:hAnsi="IBM Plex Sans"/>
          <w:color w:val="334155"/>
          <w:sz w:val="21"/>
          <w:szCs w:val="21"/>
        </w:rPr>
        <w:t xml:space="preserve">Setiap perbuatan terhadap seseorang, terutama perempuan, yang mengakibatkan kesengsaraan atau penderitaan fisik, seksual, psikologis, dan/atau penelantaran rumah tangga, termasuk ancaman dan perampasan kemerdekaan secara melawan hukum dalam lingkup rumah tangga (UU Nomor 23 Tahun 2004).</w:t>
      </w:r>
    </w:p>
    <w:p>
      <w:pPr>
        <w:spacing w:after="20" w:before="100"/>
      </w:pPr>
      <w:r>
        <w:rPr>
          <w:rFonts w:ascii="IBM Plex Sans" w:cs="IBM Plex Sans" w:eastAsia="IBM Plex Sans" w:hAnsi="IBM Plex Sans"/>
          <w:b/>
          <w:bCs/>
          <w:color w:val="4F46E5"/>
          <w:sz w:val="22"/>
          <w:szCs w:val="22"/>
        </w:rPr>
        <w:t xml:space="preserve">HITS</w:t>
      </w:r>
    </w:p>
    <w:p>
      <w:pPr>
        <w:spacing w:after="140" w:line="280"/>
      </w:pPr>
      <w:r>
        <w:rPr>
          <w:rFonts w:ascii="IBM Plex Sans" w:cs="IBM Plex Sans" w:eastAsia="IBM Plex Sans" w:hAnsi="IBM Plex Sans"/>
          <w:color w:val="334155"/>
          <w:sz w:val="21"/>
          <w:szCs w:val="21"/>
        </w:rPr>
        <w:t xml:space="preserve">Instrumen skrining singkat untuk kekerasan oleh pasangan intim, terdiri atas empat pertanyaan: Hurt (disakiti), Insult (dihina), Threaten (diancam), Scream (dibentak/diteriaki).</w:t>
      </w:r>
    </w:p>
    <w:p>
      <w:pPr>
        <w:spacing w:after="20" w:before="100"/>
      </w:pPr>
      <w:r>
        <w:rPr>
          <w:rFonts w:ascii="IBM Plex Sans" w:cs="IBM Plex Sans" w:eastAsia="IBM Plex Sans" w:hAnsi="IBM Plex Sans"/>
          <w:b/>
          <w:bCs/>
          <w:color w:val="4F46E5"/>
          <w:sz w:val="22"/>
          <w:szCs w:val="22"/>
        </w:rPr>
        <w:t xml:space="preserve">HARK</w:t>
      </w:r>
    </w:p>
    <w:p>
      <w:pPr>
        <w:spacing w:after="140" w:line="280"/>
      </w:pPr>
      <w:r>
        <w:rPr>
          <w:rFonts w:ascii="IBM Plex Sans" w:cs="IBM Plex Sans" w:eastAsia="IBM Plex Sans" w:hAnsi="IBM Plex Sans"/>
          <w:color w:val="334155"/>
          <w:sz w:val="21"/>
          <w:szCs w:val="21"/>
        </w:rPr>
        <w:t xml:space="preserve">Instrumen skrining kekerasan oleh pasangan intim yang menilai empat domain: Humiliation (dipermalukan), Afraid (ketakutan), Rape (pemaksaan hubungan seksual), Kick (kekerasan fisik seperti ditendang atau dipukul).</w:t>
      </w:r>
    </w:p>
    <w:p>
      <w:pPr>
        <w:spacing w:after="20" w:before="100"/>
      </w:pPr>
      <w:r>
        <w:rPr>
          <w:rFonts w:ascii="IBM Plex Sans" w:cs="IBM Plex Sans" w:eastAsia="IBM Plex Sans" w:hAnsi="IBM Plex Sans"/>
          <w:b/>
          <w:bCs/>
          <w:color w:val="4F46E5"/>
          <w:sz w:val="22"/>
          <w:szCs w:val="22"/>
        </w:rPr>
        <w:t xml:space="preserve">LIVES</w:t>
      </w:r>
    </w:p>
    <w:p>
      <w:pPr>
        <w:spacing w:after="140" w:line="280"/>
      </w:pPr>
      <w:r>
        <w:rPr>
          <w:rFonts w:ascii="IBM Plex Sans" w:cs="IBM Plex Sans" w:eastAsia="IBM Plex Sans" w:hAnsi="IBM Plex Sans"/>
          <w:color w:val="334155"/>
          <w:sz w:val="21"/>
          <w:szCs w:val="21"/>
        </w:rPr>
        <w:t xml:space="preserve">Kerangka dukungan lini pertama dari WHO bagi penyintas kekerasan: Listen (mendengarkan), Inquire (menanyakan kebutuhan), Validate (memvalidasi pengalaman), Enhance safety (meningkatkan keamanan), Support (memberi dukungan lanjutan).</w:t>
      </w:r>
    </w:p>
    <w:p>
      <w:pPr>
        <w:spacing w:after="20" w:before="100"/>
      </w:pPr>
      <w:r>
        <w:rPr>
          <w:rFonts w:ascii="IBM Plex Sans" w:cs="IBM Plex Sans" w:eastAsia="IBM Plex Sans" w:hAnsi="IBM Plex Sans"/>
          <w:b/>
          <w:bCs/>
          <w:color w:val="4F46E5"/>
          <w:sz w:val="22"/>
          <w:szCs w:val="22"/>
        </w:rPr>
        <w:t xml:space="preserve">Trauma-informed care</w:t>
      </w:r>
    </w:p>
    <w:p>
      <w:pPr>
        <w:spacing w:after="140" w:line="280"/>
      </w:pPr>
      <w:r>
        <w:rPr>
          <w:rFonts w:ascii="IBM Plex Sans" w:cs="IBM Plex Sans" w:eastAsia="IBM Plex Sans" w:hAnsi="IBM Plex Sans"/>
          <w:color w:val="334155"/>
          <w:sz w:val="21"/>
          <w:szCs w:val="21"/>
        </w:rPr>
        <w:t xml:space="preserve">Pendekatan layanan yang mengenali dampak trauma pada pasien, mengutamakan rasa aman, kepercayaan, pilihan, dan pemulihan kendali bagi penyintas dalam setiap tahap pelayanan.</w:t>
      </w:r>
    </w:p>
    <w:p>
      <w:pPr>
        <w:spacing w:after="20" w:before="100"/>
      </w:pPr>
      <w:r>
        <w:rPr>
          <w:rFonts w:ascii="IBM Plex Sans" w:cs="IBM Plex Sans" w:eastAsia="IBM Plex Sans" w:hAnsi="IBM Plex Sans"/>
          <w:b/>
          <w:bCs/>
          <w:color w:val="4F46E5"/>
          <w:sz w:val="22"/>
          <w:szCs w:val="22"/>
        </w:rPr>
        <w:t xml:space="preserve">UPTD PPA</w:t>
      </w:r>
    </w:p>
    <w:p>
      <w:pPr>
        <w:spacing w:after="140" w:line="280"/>
      </w:pPr>
      <w:r>
        <w:rPr>
          <w:rFonts w:ascii="IBM Plex Sans" w:cs="IBM Plex Sans" w:eastAsia="IBM Plex Sans" w:hAnsi="IBM Plex Sans"/>
          <w:color w:val="334155"/>
          <w:sz w:val="21"/>
          <w:szCs w:val="21"/>
        </w:rPr>
        <w:t xml:space="preserve">Unit Pelaksana Teknis Daerah Perlindungan Perempuan dan Anak, penyelenggara layanan terpadu di tingkat kabupaten/kota bagi perempuan dan anak korban kekerasan, mencakup pengaduan, penjangkauan, pengelolaan kasus, penampungan sementara, mediasi, dan pendampingan.</w:t>
      </w:r>
    </w:p>
    <w:p>
      <w:pPr>
        <w:spacing w:after="20" w:before="100"/>
      </w:pPr>
      <w:r>
        <w:rPr>
          <w:rFonts w:ascii="IBM Plex Sans" w:cs="IBM Plex Sans" w:eastAsia="IBM Plex Sans" w:hAnsi="IBM Plex Sans"/>
          <w:b/>
          <w:bCs/>
          <w:color w:val="4F46E5"/>
          <w:sz w:val="22"/>
          <w:szCs w:val="22"/>
        </w:rPr>
        <w:t xml:space="preserve">SAPA 129</w:t>
      </w:r>
    </w:p>
    <w:p>
      <w:pPr>
        <w:spacing w:after="140" w:line="280"/>
      </w:pPr>
      <w:r>
        <w:rPr>
          <w:rFonts w:ascii="IBM Plex Sans" w:cs="IBM Plex Sans" w:eastAsia="IBM Plex Sans" w:hAnsi="IBM Plex Sans"/>
          <w:color w:val="334155"/>
          <w:sz w:val="21"/>
          <w:szCs w:val="21"/>
        </w:rPr>
        <w:t xml:space="preserve">Layanan Sahabat Perempuan dan Anak, kanal pengaduan dan rujukan nasional milik Kementerian Pemberdayaan Perempuan dan Perlindungan Anak yang dapat diakses melalui telepon 129 atau WhatsApp 08111-129-129.</w:t>
      </w:r>
    </w:p>
    <w:p>
      <w:pPr>
        <w:spacing w:after="20" w:before="100"/>
      </w:pPr>
      <w:r>
        <w:rPr>
          <w:rFonts w:ascii="IBM Plex Sans" w:cs="IBM Plex Sans" w:eastAsia="IBM Plex Sans" w:hAnsi="IBM Plex Sans"/>
          <w:b/>
          <w:bCs/>
          <w:color w:val="4F46E5"/>
          <w:sz w:val="22"/>
          <w:szCs w:val="22"/>
        </w:rPr>
        <w:t xml:space="preserve">Visum et repertum</w:t>
      </w:r>
    </w:p>
    <w:p>
      <w:pPr>
        <w:spacing w:after="140" w:line="280"/>
      </w:pPr>
      <w:r>
        <w:rPr>
          <w:rFonts w:ascii="IBM Plex Sans" w:cs="IBM Plex Sans" w:eastAsia="IBM Plex Sans" w:hAnsi="IBM Plex Sans"/>
          <w:color w:val="334155"/>
          <w:sz w:val="21"/>
          <w:szCs w:val="21"/>
        </w:rPr>
        <w:t xml:space="preserve">Keterangan tertulis yang dibuat dokter atas permintaan penyidik mengenai hasil pemeriksaan medis terhadap korban untuk kepentingan peradilan.</w:t>
      </w:r>
    </w:p>
    <w:p>
      <w:pPr>
        <w:spacing w:after="20" w:before="100"/>
      </w:pPr>
      <w:r>
        <w:rPr>
          <w:rFonts w:ascii="IBM Plex Sans" w:cs="IBM Plex Sans" w:eastAsia="IBM Plex Sans" w:hAnsi="IBM Plex Sans"/>
          <w:b/>
          <w:bCs/>
          <w:color w:val="4F46E5"/>
          <w:sz w:val="22"/>
          <w:szCs w:val="22"/>
        </w:rPr>
        <w:t xml:space="preserve">Red flag</w:t>
      </w:r>
    </w:p>
    <w:p>
      <w:pPr>
        <w:spacing w:after="140" w:line="280"/>
      </w:pPr>
      <w:r>
        <w:rPr>
          <w:rFonts w:ascii="IBM Plex Sans" w:cs="IBM Plex Sans" w:eastAsia="IBM Plex Sans" w:hAnsi="IBM Plex Sans"/>
          <w:color w:val="334155"/>
          <w:sz w:val="21"/>
          <w:szCs w:val="21"/>
        </w:rPr>
        <w:t xml:space="preserve">Tanda kewaspadaan yang mengharuskan asesmen individual segera di luar alur kelompok, misalnya tanda fisik kekerasan akut atau ancaman keselamatan yang mendesak.</w:t>
      </w:r>
    </w:p>
    <w:p>
      <w:pPr>
        <w:spacing w:after="20" w:before="100"/>
      </w:pPr>
      <w:r>
        <w:rPr>
          <w:rFonts w:ascii="IBM Plex Sans" w:cs="IBM Plex Sans" w:eastAsia="IBM Plex Sans" w:hAnsi="IBM Plex Sans"/>
          <w:b/>
          <w:bCs/>
          <w:color w:val="4F46E5"/>
          <w:sz w:val="22"/>
          <w:szCs w:val="22"/>
        </w:rPr>
        <w:t xml:space="preserve">First-line support</w:t>
      </w:r>
    </w:p>
    <w:p>
      <w:pPr>
        <w:spacing w:after="140" w:line="280"/>
      </w:pPr>
      <w:r>
        <w:rPr>
          <w:rFonts w:ascii="IBM Plex Sans" w:cs="IBM Plex Sans" w:eastAsia="IBM Plex Sans" w:hAnsi="IBM Plex Sans"/>
          <w:color w:val="334155"/>
          <w:sz w:val="21"/>
          <w:szCs w:val="21"/>
        </w:rPr>
        <w:t xml:space="preserve">Respons awal yang diberikan tenaga kesehatan segera setelah pengungkapan kekerasan, sebelum rujukan lanjutan dilakukan.</w:t>
      </w:r>
    </w:p>
    <w:p>
      <w:pPr>
        <w:spacing w:after="200"/>
      </w:pPr>
    </w:p>
    <w:p>
      <w:pPr>
        <w:pStyle w:val="Heading1"/>
        <w:spacing w:after="200" w:before="300"/>
      </w:pPr>
      <w:r>
        <w:rPr>
          <w:rFonts w:ascii="Source Serif 4" w:cs="Source Serif 4" w:eastAsia="Source Serif 4" w:hAnsi="Source Serif 4"/>
          <w:color w:val="1E1B4B"/>
        </w:rPr>
        <w:t xml:space="preserve">11. Kepustakaan</w:t>
      </w:r>
    </w:p>
    <w:p>
      <w:pPr>
        <w:spacing w:after="120" w:line="280"/>
        <w:ind w:left="431" w:hanging="431"/>
      </w:pPr>
      <w:r>
        <w:rPr>
          <w:rFonts w:ascii="IBM Plex Sans" w:cs="IBM Plex Sans" w:eastAsia="IBM Plex Sans" w:hAnsi="IBM Plex Sans"/>
          <w:color w:val="334155"/>
          <w:sz w:val="21"/>
          <w:szCs w:val="21"/>
        </w:rPr>
        <w:t xml:space="preserve">1. Keputusan Ketua Konsil Kesehatan Indonesia Nomor HK.01.02/KKI/1318/2026 tentang Standar Kompetensi Dokter Spesialis dan Subspesialis Bidang Obstetri dan Ginekologi.</w:t>
      </w:r>
    </w:p>
    <w:p>
      <w:pPr>
        <w:spacing w:after="120" w:line="280"/>
        <w:ind w:left="431" w:hanging="431"/>
      </w:pPr>
      <w:r>
        <w:rPr>
          <w:rFonts w:ascii="IBM Plex Sans" w:cs="IBM Plex Sans" w:eastAsia="IBM Plex Sans" w:hAnsi="IBM Plex Sans"/>
          <w:color w:val="334155"/>
          <w:sz w:val="21"/>
          <w:szCs w:val="21"/>
        </w:rPr>
        <w:t xml:space="preserve">2. Undang-Undang Republik Indonesia Nomor 17 Tahun 2023 tentang Kesehatan.</w:t>
      </w:r>
    </w:p>
    <w:p>
      <w:pPr>
        <w:spacing w:after="120" w:line="280"/>
        <w:ind w:left="431" w:hanging="431"/>
      </w:pPr>
      <w:r>
        <w:rPr>
          <w:rFonts w:ascii="IBM Plex Sans" w:cs="IBM Plex Sans" w:eastAsia="IBM Plex Sans" w:hAnsi="IBM Plex Sans"/>
          <w:color w:val="334155"/>
          <w:sz w:val="21"/>
          <w:szCs w:val="21"/>
        </w:rPr>
        <w:t xml:space="preserve">3. Undang-Undang Republik Indonesia Nomor 23 Tahun 2004 tentang Penghapusan Kekerasan dalam Rumah Tangga.</w:t>
      </w:r>
    </w:p>
    <w:p>
      <w:pPr>
        <w:spacing w:after="120" w:line="280"/>
        <w:ind w:left="431" w:hanging="431"/>
      </w:pPr>
      <w:r>
        <w:rPr>
          <w:rFonts w:ascii="IBM Plex Sans" w:cs="IBM Plex Sans" w:eastAsia="IBM Plex Sans" w:hAnsi="IBM Plex Sans"/>
          <w:color w:val="334155"/>
          <w:sz w:val="21"/>
          <w:szCs w:val="21"/>
        </w:rPr>
        <w:t xml:space="preserve">4. Undang-Undang Republik Indonesia Nomor 12 Tahun 2022 tentang Tindak Pidana Kekerasan Seksual.</w:t>
      </w:r>
    </w:p>
    <w:p>
      <w:pPr>
        <w:spacing w:after="120" w:line="280"/>
        <w:ind w:left="431" w:hanging="431"/>
      </w:pPr>
      <w:r>
        <w:rPr>
          <w:rFonts w:ascii="IBM Plex Sans" w:cs="IBM Plex Sans" w:eastAsia="IBM Plex Sans" w:hAnsi="IBM Plex Sans"/>
          <w:color w:val="334155"/>
          <w:sz w:val="21"/>
          <w:szCs w:val="21"/>
        </w:rPr>
        <w:t xml:space="preserve">5. Peraturan Presiden Republik Indonesia Nomor 65 Tahun 2020 tentang Kementerian Pemberdayaan Perempuan dan Perlindungan Anak.</w:t>
      </w:r>
    </w:p>
    <w:p>
      <w:pPr>
        <w:spacing w:after="120" w:line="280"/>
        <w:ind w:left="431" w:hanging="431"/>
      </w:pPr>
      <w:r>
        <w:rPr>
          <w:rFonts w:ascii="IBM Plex Sans" w:cs="IBM Plex Sans" w:eastAsia="IBM Plex Sans" w:hAnsi="IBM Plex Sans"/>
          <w:color w:val="334155"/>
          <w:sz w:val="21"/>
          <w:szCs w:val="21"/>
        </w:rPr>
        <w:t xml:space="preserve">6. Peraturan Menteri Pemberdayaan Perempuan dan Perlindungan Anak Nomor 2 Tahun 2022 tentang Standar Layanan Perlindungan Perempuan dan Anak.</w:t>
      </w:r>
    </w:p>
    <w:p>
      <w:pPr>
        <w:spacing w:after="120" w:line="280"/>
        <w:ind w:left="431" w:hanging="431"/>
      </w:pPr>
      <w:r>
        <w:rPr>
          <w:rFonts w:ascii="IBM Plex Sans" w:cs="IBM Plex Sans" w:eastAsia="IBM Plex Sans" w:hAnsi="IBM Plex Sans"/>
          <w:color w:val="334155"/>
          <w:sz w:val="21"/>
          <w:szCs w:val="21"/>
        </w:rPr>
        <w:t xml:space="preserve">7. Peraturan Menteri Pemberdayaan Perempuan dan Perlindungan Anak Nomor 11 Tahun 2022 tentang Prosedur Standar Operasional Penyediaan Layanan Rujukan Akhir bagi Perempuan Korban Kekerasan.</w:t>
      </w:r>
    </w:p>
    <w:p>
      <w:pPr>
        <w:spacing w:after="120" w:line="280"/>
        <w:ind w:left="431" w:hanging="431"/>
      </w:pPr>
      <w:r>
        <w:rPr>
          <w:rFonts w:ascii="IBM Plex Sans" w:cs="IBM Plex Sans" w:eastAsia="IBM Plex Sans" w:hAnsi="IBM Plex Sans"/>
          <w:color w:val="334155"/>
          <w:sz w:val="21"/>
          <w:szCs w:val="21"/>
        </w:rPr>
        <w:t xml:space="preserve">8. Komisi Nasional Anti Kekerasan terhadap Perempuan. Catatan Tahunan Kekerasan terhadap Perempuan 2024. Jakarta: Komnas Perempuan; 2025.</w:t>
      </w:r>
    </w:p>
    <w:p>
      <w:pPr>
        <w:spacing w:after="120" w:line="280"/>
        <w:ind w:left="431" w:hanging="431"/>
      </w:pPr>
      <w:r>
        <w:rPr>
          <w:rFonts w:ascii="IBM Plex Sans" w:cs="IBM Plex Sans" w:eastAsia="IBM Plex Sans" w:hAnsi="IBM Plex Sans"/>
          <w:color w:val="334155"/>
          <w:sz w:val="21"/>
          <w:szCs w:val="21"/>
        </w:rPr>
        <w:t xml:space="preserve">9. World Health Organization. Responding to Intimate Partner Violence and Sexual Violence Against Women: WHO Clinical and Policy Guidelines. Geneva: WHO; 2013.</w:t>
      </w:r>
    </w:p>
    <w:p>
      <w:pPr>
        <w:spacing w:after="120" w:line="280"/>
        <w:ind w:left="431" w:hanging="431"/>
      </w:pPr>
      <w:r>
        <w:rPr>
          <w:rFonts w:ascii="IBM Plex Sans" w:cs="IBM Plex Sans" w:eastAsia="IBM Plex Sans" w:hAnsi="IBM Plex Sans"/>
          <w:color w:val="334155"/>
          <w:sz w:val="21"/>
          <w:szCs w:val="21"/>
        </w:rPr>
        <w:t xml:space="preserve">10. American College of Obstetricians and Gynecologists' Committee on Health Care for Underserved Women. Committee Opinion No. 518: Intimate Partner Violence. Obstetrics &amp; Gynecology. 2012;119(2 Pt 1):412-417 (ditinjau ulang terakhir 2025).</w:t>
      </w:r>
    </w:p>
    <w:p>
      <w:pPr>
        <w:spacing w:after="120" w:line="280"/>
        <w:ind w:left="431" w:hanging="431"/>
      </w:pPr>
      <w:r>
        <w:rPr>
          <w:rFonts w:ascii="IBM Plex Sans" w:cs="IBM Plex Sans" w:eastAsia="IBM Plex Sans" w:hAnsi="IBM Plex Sans"/>
          <w:color w:val="334155"/>
          <w:sz w:val="21"/>
          <w:szCs w:val="21"/>
        </w:rPr>
        <w:t xml:space="preserve">11. Kementerian Kesehatan Republik Indonesia. Pedoman Pelayanan dan Rujukan Kekerasan terhadap Perempuan dan Anak bagi Tenaga Kesehatan.</w:t>
      </w:r>
    </w:p>
    <w:p>
      <w:pPr>
        <w:spacing w:after="120" w:line="280"/>
        <w:ind w:left="431" w:hanging="431"/>
      </w:pPr>
      <w:r>
        <w:rPr>
          <w:rFonts w:ascii="IBM Plex Sans" w:cs="IBM Plex Sans" w:eastAsia="IBM Plex Sans" w:hAnsi="IBM Plex Sans"/>
          <w:color w:val="334155"/>
          <w:sz w:val="21"/>
          <w:szCs w:val="21"/>
        </w:rPr>
        <w:t xml:space="preserve">12. Kementerian Kesehatan Republik Indonesia. Pedoman Pelayanan Kesehatan Peduli Remaja (PKPR).</w:t>
      </w:r>
    </w:p>
    <w:p>
      <w:pPr>
        <w:spacing w:after="200"/>
      </w:pPr>
    </w:p>
    <w:p>
      <w:r>
        <w:br w:type="page"/>
      </w:r>
    </w:p>
    <w:p>
      <w:pPr>
        <w:spacing w:after="200" w:before="300"/>
      </w:pPr>
      <w:r>
        <w:rPr>
          <w:rFonts w:ascii="Source Serif 4" w:cs="Source Serif 4" w:eastAsia="Source Serif 4" w:hAnsi="Source Serif 4"/>
          <w:b/>
          <w:bCs/>
          <w:color w:val="1E1B4B"/>
          <w:sz w:val="28"/>
          <w:szCs w:val="28"/>
        </w:rPr>
        <w:t xml:space="preserve">Tentang Terbitan Ini</w:t>
      </w:r>
    </w:p>
    <w:p>
      <w:pPr>
        <w:spacing w:after="80" w:line="280"/>
      </w:pPr>
      <w:r>
        <w:rPr>
          <w:rFonts w:ascii="IBM Plex Sans" w:cs="IBM Plex Sans" w:eastAsia="IBM Plex Sans" w:hAnsi="IBM Plex Sans"/>
          <w:b/>
          <w:bCs/>
          <w:color w:val="4F46E5"/>
          <w:sz w:val="20"/>
          <w:szCs w:val="20"/>
        </w:rPr>
        <w:t xml:space="preserve">Penulis</w:t>
      </w:r>
    </w:p>
    <w:p>
      <w:pPr>
        <w:spacing w:after="160" w:line="280"/>
      </w:pPr>
      <w:r>
        <w:rPr>
          <w:rFonts w:ascii="IBM Plex Sans" w:cs="IBM Plex Sans" w:eastAsia="IBM Plex Sans" w:hAnsi="IBM Plex Sans"/>
          <w:color w:val="334155"/>
          <w:sz w:val="21"/>
          <w:szCs w:val="21"/>
        </w:rPr>
        <w:t xml:space="preserve">Dr.dr. Budi Siswanto, Sp.OG., Subsp.Obginsos., SH., S.Kom.</w:t>
      </w:r>
    </w:p>
    <w:p>
      <w:pPr>
        <w:spacing w:after="80" w:line="280"/>
      </w:pPr>
      <w:r>
        <w:rPr>
          <w:rFonts w:ascii="IBM Plex Sans" w:cs="IBM Plex Sans" w:eastAsia="IBM Plex Sans" w:hAnsi="IBM Plex Sans"/>
          <w:b/>
          <w:bCs/>
          <w:color w:val="4F46E5"/>
          <w:sz w:val="20"/>
          <w:szCs w:val="20"/>
        </w:rPr>
        <w:t xml:space="preserve">Penerbit</w:t>
      </w:r>
    </w:p>
    <w:p>
      <w:pPr>
        <w:spacing w:after="20" w:line="280"/>
      </w:pPr>
      <w:r>
        <w:rPr>
          <w:rFonts w:ascii="IBM Plex Sans" w:cs="IBM Plex Sans" w:eastAsia="IBM Plex Sans" w:hAnsi="IBM Plex Sans"/>
          <w:color w:val="334155"/>
          <w:sz w:val="21"/>
          <w:szCs w:val="21"/>
        </w:rPr>
        <w:t xml:space="preserve">Perpustakaan Digital ABBA</w:t>
      </w:r>
    </w:p>
    <w:p>
      <w:pPr>
        <w:spacing w:after="20" w:line="280"/>
      </w:pPr>
      <w:r>
        <w:rPr>
          <w:rFonts w:ascii="IBM Plex Sans" w:cs="IBM Plex Sans" w:eastAsia="IBM Plex Sans" w:hAnsi="IBM Plex Sans"/>
          <w:color w:val="334155"/>
          <w:sz w:val="21"/>
          <w:szCs w:val="21"/>
        </w:rPr>
        <w:t xml:space="preserve">Jl. Kerinci Raya No. 9, Malang 65138</w:t>
      </w:r>
    </w:p>
    <w:p>
      <w:pPr>
        <w:spacing w:after="160" w:line="280"/>
      </w:pPr>
      <w:r>
        <w:rPr>
          <w:rFonts w:ascii="IBM Plex Sans" w:cs="IBM Plex Sans" w:eastAsia="IBM Plex Sans" w:hAnsi="IBM Plex Sans"/>
          <w:color w:val="334155"/>
          <w:sz w:val="21"/>
          <w:szCs w:val="21"/>
        </w:rPr>
        <w:t xml:space="preserve">2026</w:t>
      </w:r>
    </w:p>
    <w:sectPr>
      <w:headerReference w:type="default" r:id="rId7"/>
      <w:footerReference w:type="default" r:id="rId8"/>
      <w:pgSz w:w="12240" w:h="15840" w:orient="portrait"/>
      <w:pgMar w:top="1152" w:right="1152" w:bottom="1152"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6"/>
      </w:pBdr>
      <w:jc w:val="center"/>
    </w:pPr>
    <w:r>
      <w:rPr>
        <w:rFonts w:ascii="IBM Plex Sans" w:cs="IBM Plex Sans" w:eastAsia="IBM Plex Sans" w:hAnsi="IBM Plex Sans"/>
        <w:color w:val="64748B"/>
        <w:sz w:val="15"/>
        <w:szCs w:val="15"/>
      </w:rPr>
      <w:t xml:space="preserve">Perpustakaan Digital ABBA  ·  Panduan Obstetri dan Ginekologi Sosial  ·  Hal. </w:t>
    </w:r>
    <w:r>
      <w:rPr>
        <w:rFonts w:ascii="IBM Plex Sans" w:cs="IBM Plex Sans" w:eastAsia="IBM Plex Sans" w:hAnsi="IBM Plex Sans"/>
        <w:color w:val="64748B"/>
        <w:sz w:val="15"/>
        <w:szCs w:val="15"/>
      </w:rPr>
      <w:fldChar w:fldCharType="begin"/>
      <w:instrText xml:space="preserve">PAGE</w:instrText>
      <w:fldChar w:fldCharType="separate"/>
      <w:fldChar w:fldCharType="end"/>
    </w:r>
    <w:r>
      <w:rPr>
        <w:rFonts w:ascii="IBM Plex Sans" w:cs="IBM Plex Sans" w:eastAsia="IBM Plex Sans" w:hAnsi="IBM Plex Sans"/>
        <w:color w:val="64748B"/>
        <w:sz w:val="15"/>
        <w:szCs w:val="15"/>
      </w:rPr>
      <w:t xml:space="preserve"> / </w:t>
    </w:r>
    <w:r>
      <w:rPr>
        <w:rFonts w:ascii="IBM Plex Sans" w:cs="IBM Plex Sans" w:eastAsia="IBM Plex Sans" w:hAnsi="IBM Plex Sans"/>
        <w:color w:val="64748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space="6"/>
      </w:pBdr>
      <w:tabs>
        <w:tab w:val="right" w:pos="9072"/>
      </w:tabs>
    </w:pPr>
    <w:r>
      <w:rPr>
        <w:rFonts w:ascii="IBM Plex Sans" w:cs="IBM Plex Sans" w:eastAsia="IBM Plex Sans" w:hAnsi="IBM Plex Sans"/>
        <w:color w:val="64748B"/>
        <w:sz w:val="16"/>
        <w:szCs w:val="16"/>
      </w:rPr>
      <w:t xml:space="preserve">Deteksi Dini dan Rujukan Kekerasan terhadap Perempuan Berbasis Komunitas</w:t>
    </w:r>
    <w:ptab w:alignment="right" w:relativeTo="margin" w:leader="none"/>
    <w:r>
      <w:rPr>
        <w:rFonts w:ascii="IBM Plex Sans" w:cs="IBM Plex Sans" w:eastAsia="IBM Plex Sans" w:hAnsi="IBM Plex Sans"/>
        <w:b/>
        <w:bCs/>
        <w:color w:val="B45309"/>
        <w:sz w:val="16"/>
        <w:szCs w:val="16"/>
      </w:rPr>
      <w:t xml:space="preserve">Obstetri &amp; Ginekologi Sosial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280"/>
    </w:pPr>
    <w:rPr>
      <w:rFonts w:ascii="Source Serif 4" w:cs="Source Serif 4" w:eastAsia="Source Serif 4" w:hAnsi="Source Serif 4"/>
      <w:b/>
      <w:bCs/>
      <w:color w:val="1E1B4B"/>
      <w:sz w:val="32"/>
      <w:szCs w:val="32"/>
    </w:rPr>
  </w:style>
  <w:style w:type="paragraph" w:styleId="Heading2">
    <w:name w:val="Heading 2"/>
    <w:basedOn w:val="Normal"/>
    <w:next w:val="Normal"/>
    <w:qFormat/>
    <w:pPr>
      <w:spacing w:after="120" w:before="200"/>
    </w:pPr>
    <w:rPr>
      <w:rFonts w:ascii="Source Serif 4" w:cs="Source Serif 4" w:eastAsia="Source Serif 4" w:hAnsi="Source Serif 4"/>
      <w:b/>
      <w:bCs/>
      <w:color w:val="4F46E5"/>
      <w:sz w:val="26"/>
      <w:szCs w:val="26"/>
    </w:rPr>
  </w:style>
  <w:style w:type="paragraph" w:styleId="Heading3">
    <w:name w:val="Heading 3"/>
    <w:basedOn w:val="Normal"/>
    <w:next w:val="Normal"/>
    <w:qFormat/>
    <w:pPr>
      <w:spacing w:after="100" w:before="160"/>
    </w:pPr>
    <w:rPr>
      <w:rFonts w:ascii="Source Serif 4" w:cs="Source Serif 4" w:eastAsia="Source Serif 4" w:hAnsi="Source Serif 4"/>
      <w:b/>
      <w:bCs/>
      <w:color w:val="B45309"/>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2026-08-18T09:26:21.266Z</dcterms:created>
  <dcterms:modified xsi:type="dcterms:W3CDTF">2026-08-18T09:26:21.279Z</dcterms:modified>
</cp:coreProperties>
</file>

<file path=docProps/custom.xml><?xml version="1.0" encoding="utf-8"?>
<Properties xmlns="http://schemas.openxmlformats.org/officeDocument/2006/custom-properties" xmlns:vt="http://schemas.openxmlformats.org/officeDocument/2006/docPropsVTypes"/>
</file>