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jc w:val="center"/>
      </w:pPr>
      <w:r>
        <w:rPr>
          <w:rFonts w:ascii="IBM Plex Sans" w:cs="IBM Plex Sans" w:eastAsia="IBM Plex Sans" w:hAnsi="IBM Plex Sans"/>
          <w:b/>
          <w:bCs/>
          <w:color w:val="B45309"/>
          <w:sz w:val="22"/>
          <w:szCs w:val="22"/>
        </w:rPr>
        <w:t xml:space="preserve">Perpustakaan Digital ABBA</w:t>
      </w:r>
    </w:p>
    <w:p>
      <w:pPr>
        <w:spacing w:after="200" w:before="600"/>
        <w:jc w:val="center"/>
      </w:pPr>
      <w:r>
        <w:rPr>
          <w:rFonts w:ascii="IBM Plex Sans" w:cs="IBM Plex Sans" w:eastAsia="IBM Plex Sans" w:hAnsi="IBM Plex Sans"/>
          <w:b/>
          <w:bCs/>
          <w:color w:val="4F46E5"/>
          <w:sz w:val="22"/>
          <w:szCs w:val="22"/>
        </w:rPr>
        <w:t xml:space="preserve">Dokumen U1 — Buku Utama</w:t>
      </w:r>
    </w:p>
    <w:p>
      <w:pPr>
        <w:spacing w:after="200" w:before="400"/>
        <w:jc w:val="center"/>
      </w:pPr>
      <w:r>
        <w:rPr>
          <w:rFonts w:ascii="Source Serif 4" w:cs="Source Serif 4" w:eastAsia="Source Serif 4" w:hAnsi="Source Serif 4"/>
          <w:b/>
          <w:bCs/>
          <w:color w:val="1E293B"/>
          <w:sz w:val="40"/>
          <w:szCs w:val="40"/>
        </w:rPr>
        <w:t xml:space="preserve">Standar Kompetensi dan Kurikulum Pendidikan Dokter Spesialis Obstetri dan Ginekologi</w:t>
      </w:r>
    </w:p>
    <w:p>
      <w:pPr>
        <w:spacing w:after="800"/>
        <w:jc w:val="center"/>
      </w:pPr>
      <w:r>
        <w:rPr>
          <w:rFonts w:ascii="Source Serif 4" w:cs="Source Serif 4" w:eastAsia="Source Serif 4" w:hAnsi="Source Serif 4"/>
          <w:i/>
          <w:iCs/>
          <w:color w:val="334155"/>
          <w:sz w:val="26"/>
          <w:szCs w:val="26"/>
        </w:rPr>
        <w:t xml:space="preserve">Buku Acuan Utama</w:t>
      </w:r>
    </w:p>
    <w:p>
      <w:pPr>
        <w:spacing w:before="1200"/>
        <w:jc w:val="center"/>
      </w:pPr>
      <w:r>
        <w:rPr>
          <w:rFonts w:ascii="IBM Plex Sans" w:cs="IBM Plex Sans" w:eastAsia="IBM Plex Sans" w:hAnsi="IBM Plex Sans"/>
          <w:color w:val="1E293B"/>
          <w:sz w:val="22"/>
          <w:szCs w:val="22"/>
        </w:rPr>
        <w:t xml:space="preserve">Dr.dr. Budi Siswanto, Sp.OG., Subsp.Obginsos., SH., S.Kom.</w:t>
      </w:r>
    </w:p>
    <w:p>
      <w:pPr>
        <w:jc w:val="center"/>
      </w:pPr>
      <w:r>
        <w:rPr>
          <w:rFonts w:ascii="IBM Plex Sans" w:cs="IBM Plex Sans" w:eastAsia="IBM Plex Sans" w:hAnsi="IBM Plex Sans"/>
          <w:color w:val="334155"/>
          <w:sz w:val="20"/>
          <w:szCs w:val="20"/>
        </w:rPr>
        <w:t xml:space="preserve">Perpustakaan Digital ABBA</w:t>
      </w:r>
    </w:p>
    <w:p>
      <w:pPr>
        <w:jc w:val="center"/>
      </w:pPr>
      <w:r>
        <w:rPr>
          <w:rFonts w:ascii="IBM Plex Sans" w:cs="IBM Plex Sans" w:eastAsia="IBM Plex Sans" w:hAnsi="IBM Plex Sans"/>
          <w:color w:val="334155"/>
          <w:sz w:val="20"/>
          <w:szCs w:val="20"/>
        </w:rPr>
        <w:t xml:space="preserve">Jl Kerinci Raya No 9, Malang 65138</w:t>
      </w:r>
    </w:p>
    <w:p>
      <w:pPr>
        <w:spacing w:before="300"/>
        <w:jc w:val="center"/>
      </w:pPr>
      <w:r>
        <w:rPr>
          <w:rFonts w:ascii="IBM Plex Mono" w:cs="IBM Plex Mono" w:eastAsia="IBM Plex Mono" w:hAnsi="IBM Plex Mono"/>
          <w:color w:val="334155"/>
          <w:sz w:val="16"/>
          <w:szCs w:val="16"/>
        </w:rPr>
        <w:t xml:space="preserve">Berlaku dalam kerangka Keputusan Ketua Konsil Kesehatan Indonesia No. HK.01.02/KKI/1318/2026</w:t>
      </w:r>
    </w:p>
    <w:p>
      <w:pPr>
        <w:sectPr>
          <w:pgSz w:w="11906" w:h="16838" w:orient="portrait"/>
          <w:pgMar w:top="1418" w:right="1418" w:bottom="1418" w:left="1418" w:header="708" w:footer="708" w:gutter="0"/>
          <w:pgNumType/>
          <w:docGrid w:linePitch="360"/>
        </w:sectPr>
      </w:pPr>
    </w:p>
    <w:p>
      <w:pPr>
        <w:pStyle w:val="Heading1"/>
        <w:pageBreakBefore/>
      </w:pPr>
      <w:r>
        <w:rPr>
          <w:rFonts w:ascii="Source Serif 4" w:cs="Source Serif 4" w:eastAsia="Source Serif 4" w:hAnsi="Source Serif 4"/>
        </w:rPr>
        <w:t xml:space="preserve">Daftar Isi</w:t>
      </w:r>
    </w:p>
    <w:sdt>
      <w:sdtPr>
        <w:alias w:val="Daftar Isi"/>
      </w:sdtPr>
      <w:sdtContent>
        <w:p>
          <w:r>
            <w:fldChar w:fldCharType="begin" w:dirty="true"/>
            <w:instrText xml:space="preserve">TOC \h \o "1-3"</w:instrText>
            <w:fldChar w:fldCharType="separate"/>
          </w:r>
        </w:p>
        <w:p>
          <w:r>
            <w:fldChar w:fldCharType="end"/>
          </w:r>
        </w:p>
      </w:sdtContent>
    </w:sdt>
    <w:p>
      <w:pPr>
        <w:pStyle w:val="Heading1"/>
        <w:pageBreakBefore/>
      </w:pPr>
      <w:r>
        <w:rPr>
          <w:rFonts w:ascii="Source Serif 4" w:cs="Source Serif 4" w:eastAsia="Source Serif 4" w:hAnsi="Source Serif 4"/>
        </w:rPr>
        <w:t xml:space="preserve">Bab I  Pendahuluan</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1F5F9" w:val="clear"/>
            <w:tcMar>
              <w:top w:type="dxa" w:w="160"/>
              <w:left w:type="dxa" w:w="200"/>
              <w:bottom w:type="dxa" w:w="160"/>
              <w:right w:type="dxa" w:w="200"/>
            </w:tcMar>
          </w:tcPr>
          <w:p>
            <w:pPr>
              <w:spacing w:after="80"/>
            </w:pPr>
            <w:r>
              <w:rPr>
                <w:rFonts w:ascii="IBM Plex Sans" w:cs="IBM Plex Sans" w:eastAsia="IBM Plex Sans" w:hAnsi="IBM Plex Sans"/>
                <w:b/>
                <w:bCs/>
                <w:color w:val="B45309"/>
                <w:sz w:val="20"/>
                <w:szCs w:val="20"/>
              </w:rPr>
              <w:t xml:space="preserve">Dasar Regulasi</w:t>
            </w:r>
          </w:p>
          <w:p>
            <w:pPr>
              <w:spacing w:after="60"/>
            </w:pPr>
            <w:r>
              <w:rPr>
                <w:rFonts w:ascii="IBM Plex Sans" w:cs="IBM Plex Sans" w:eastAsia="IBM Plex Sans" w:hAnsi="IBM Plex Sans"/>
                <w:color w:val="1E293B"/>
                <w:sz w:val="20"/>
                <w:szCs w:val="20"/>
              </w:rPr>
              <w:t xml:space="preserve">Kepkonsil No. HK.01.02/KKI/1318/2026, Diktum KESATU dan KEDUA; Lampiran Bab I huruf A–C</w:t>
            </w:r>
          </w:p>
        </w:tc>
      </w:tr>
    </w:tbl>
    <w:p>
      <w:pPr>
        <w:spacing w:after="120"/>
      </w:pPr>
    </w:p>
    <w:p>
      <w:pPr>
        <w:pStyle w:val="Heading2"/>
        <w:spacing w:after="120" w:before="240"/>
      </w:pPr>
      <w:r>
        <w:rPr>
          <w:rFonts w:ascii="Source Serif 4" w:cs="Source Serif 4" w:eastAsia="Source Serif 4" w:hAnsi="Source Serif 4"/>
        </w:rPr>
        <w:t xml:space="preserve">1.1  Latar Belakang dan Dasar Hukum</w:t>
      </w:r>
    </w:p>
    <w:p>
      <w:pPr>
        <w:spacing w:after="160" w:line="300"/>
      </w:pPr>
      <w:r>
        <w:rPr>
          <w:rFonts w:ascii="IBM Plex Sans" w:cs="IBM Plex Sans" w:eastAsia="IBM Plex Sans" w:hAnsi="IBM Plex Sans"/>
          <w:color w:val="1E293B"/>
          <w:sz w:val="22"/>
          <w:szCs w:val="22"/>
        </w:rPr>
        <w:t xml:space="preserve">Pendidikan dokter spesialis Obstetri dan Ginekologi (SpOG) di Indonesia diselenggarakan dalam kerangka regulasi yang mengikat seluruh Program Studi (Prodi), rumah sakit pendidikan, dan peserta program pendidikan dokter spesialis (PPDS). Kepkonsil No. HK.01.02/KKI/1318/2026 tentang Standar Kompetensi Dokter Spesialis dan Subspesialis Bidang Obstetri dan Ginekologi ditetapkan oleh Ketua Konsil Kesehatan Indonesia di Jakarta pada 7 Mei 2026, sebagai pelaksanaan Pasal 220 ayat (2) Undang-Undang Nomor 17 Tahun 2023 tentang Kesehatan dan Pasal 581 ayat (3) Peraturan Pemerintah Nomor 28 Tahun 2024 tentang Peraturan Pelaksanaan Undang-Undang Nomor 17 Tahun 2023 tentang Kesehatan.</w:t>
      </w:r>
    </w:p>
    <w:p>
      <w:pPr>
        <w:spacing w:after="160" w:line="300"/>
      </w:pPr>
      <w:r>
        <w:rPr>
          <w:rFonts w:ascii="IBM Plex Sans" w:cs="IBM Plex Sans" w:eastAsia="IBM Plex Sans" w:hAnsi="IBM Plex Sans"/>
          <w:color w:val="1E293B"/>
          <w:sz w:val="22"/>
          <w:szCs w:val="22"/>
        </w:rPr>
        <w:t xml:space="preserve">Sebagaimana dinyatakan pada Lampiran Bab I huruf A Kepkonsil, penyusunan standar kompetensi spesialis dan subspesialis merupakan bagian integral dari sistem penjaminan mutu profesi yang menjamin layanan kesehatan aman, bermutu, dan relevan dengan kebutuhan masyarakat. Rasionalisasi keberadaan spesialisasi dan subspesialisasi ditinjau dari dua sudut utama: kebutuhan masyarakat sebagai pengguna layanan kesehatan, dan tanggung jawab sistem kesehatan dalam merespons dinamika penyakit serta kompleksitas pelayanan modern.</w:t>
      </w:r>
    </w:p>
    <w:p>
      <w:pPr>
        <w:spacing w:after="160" w:line="300"/>
      </w:pPr>
      <w:r>
        <w:rPr>
          <w:rFonts w:ascii="IBM Plex Sans" w:cs="IBM Plex Sans" w:eastAsia="IBM Plex Sans" w:hAnsi="IBM Plex Sans"/>
          <w:color w:val="1E293B"/>
          <w:sz w:val="22"/>
          <w:szCs w:val="22"/>
        </w:rPr>
        <w:t xml:space="preserve">Kepkonsil juga menegaskan bahwa keberadaan spesialisasi dan subspesialisasi merupakan strategi sistemik untuk menjawab dinamika epidemiologi, kemajuan teknologi medis, serta tuntutan mutu dan efisiensi layanan — mencakup pergeseran pola penyakit ke arah kondisi kronik dan multisistem, kemajuan diagnostik molekuler dan terapi presisi yang menuntut tenaga terlatih khusus, penguatan mutu dan keselamatan pasien, integrasi dalam sistem layanan berjenjang, serta kolaborasi dan mobilitas profesional lintas negara melalui harmonisasi standar dengan kerangka global.</w:t>
      </w:r>
    </w:p>
    <w:p>
      <w:pPr>
        <w:spacing w:after="160" w:line="300"/>
      </w:pPr>
      <w:r>
        <w:rPr>
          <w:rFonts w:ascii="IBM Plex Sans" w:cs="IBM Plex Sans" w:eastAsia="IBM Plex Sans" w:hAnsi="IBM Plex Sans"/>
          <w:color w:val="1E293B"/>
          <w:sz w:val="22"/>
          <w:szCs w:val="22"/>
        </w:rPr>
        <w:t xml:space="preserve">Buku Acuan Utama ini disusun untuk menerjemahkan Kepkonsil tersebut menjadi satu dokumen anchor yang ringkas namun akurat, sehingga peserta didik baru, pembimbing klinis baru, dan Prodi yang baru berdiri memiliki satu titik masuk yang sama sebelum membaca 14 Buku Tematik, 73 Panduan Praktik Klinis (PPK), maupun 8 Panduan Praktik Klinis Kelompok/Komunitas (PPKK) yang menyusul dalam ekosistem literatur ini. Seluruh kutipan dan parafrasa pada buku ini ditelusuri langsung ke teks Kepkonsil sebagaimana diunggah sebagai dokumen sumber, sesuai Aturan 12 Perintah Umum ekosistem ini.</w:t>
      </w:r>
    </w:p>
    <w:p>
      <w:pPr>
        <w:spacing w:after="160" w:line="300"/>
      </w:pPr>
      <w:r>
        <w:rPr>
          <w:rFonts w:ascii="IBM Plex Sans" w:cs="IBM Plex Sans" w:eastAsia="IBM Plex Sans" w:hAnsi="IBM Plex Sans"/>
          <w:color w:val="1E293B"/>
          <w:sz w:val="22"/>
          <w:szCs w:val="22"/>
        </w:rPr>
        <w:t xml:space="preserve">Sebagai pelengkap — bukan pengganti — standar nasional, buku ini juga memuat lapisan pembanding dari pedoman internasional yang relevan pada setiap bab substantif, sesuai Aturan 2 Perintah Umum ekosistem ini. Pencantuman pedoman internasional ditujukan untuk memperkaya konteks pembelajaran, bukan untuk menggeser kedudukan Kepkonsil sebagai acuan utama dan mengikat secara hukum di Indonesia; setiap rujukan internasional yang dikutip dalam buku ini telah diverifikasi memiliki judul, penerbit, tahun terbit, dan tautan resmi yang nyata.</w:t>
      </w:r>
    </w:p>
    <w:p>
      <w:pPr>
        <w:pStyle w:val="Heading2"/>
        <w:spacing w:after="120" w:before="240"/>
      </w:pPr>
      <w:r>
        <w:rPr>
          <w:rFonts w:ascii="Source Serif 4" w:cs="Source Serif 4" w:eastAsia="Source Serif 4" w:hAnsi="Source Serif 4"/>
        </w:rPr>
        <w:t xml:space="preserve">1.2  Tujuan dan Manfaat Standar Kompetensi</w:t>
      </w:r>
    </w:p>
    <w:p>
      <w:pPr>
        <w:spacing w:after="160" w:line="300"/>
      </w:pPr>
      <w:r>
        <w:rPr>
          <w:rFonts w:ascii="IBM Plex Sans" w:cs="IBM Plex Sans" w:eastAsia="IBM Plex Sans" w:hAnsi="IBM Plex Sans"/>
          <w:color w:val="1E293B"/>
          <w:sz w:val="22"/>
          <w:szCs w:val="22"/>
        </w:rPr>
        <w:t xml:space="preserve">Lampiran Bab I huruf B Kepkonsil menetapkan enam tujuan Standar Kompetensi: (1) memastikan pemenuhan kompetensi minimal untuk dapat melakukan pelayanan kesehatan; (2) menjadi dasar peningkatan kompetensi melalui pelatihan lanjutan atau pendidikan berkelanjutan (continuing professional development); (3) memberikan pelayanan kesehatan yang terukur, terstandar, dan berkualitas di fasilitas pelayanan kesehatan; (4) menjadi dasar penyusunan dan pengembangan kurikulum pendidikan tenaga medis; (5) menjadi acuan dalam penyelenggaraan uji kompetensi atau evaluasi kompetensi; dan (6) menjadi acuan dalam penyusunan standar profesi.</w:t>
      </w:r>
    </w:p>
    <w:p>
      <w:pPr>
        <w:spacing w:after="160" w:line="300"/>
      </w:pPr>
      <w:r>
        <w:rPr>
          <w:rFonts w:ascii="IBM Plex Sans" w:cs="IBM Plex Sans" w:eastAsia="IBM Plex Sans" w:hAnsi="IBM Plex Sans"/>
          <w:color w:val="1E293B"/>
          <w:sz w:val="22"/>
          <w:szCs w:val="22"/>
        </w:rPr>
        <w:t xml:space="preserve">Lampiran Bab I huruf C Kepkonsil menetapkan manfaat Standar Kompetensi bagi lima kelompok pemangku kepentingan: Pemerintah Pusat, Pemerintah Daerah, dan Penyelenggara Fasilitas Pelayanan Kesehatan (memperoleh dokter spesialis dan subspesialis yang kompeten, serta acuan pembinaan dan pengawasan mutu); Konsil Kesehatan Indonesia (menjamin mutu praktik dan menjadi acuan pembinaan teknis keprofesian); Kolegium Kesehatan Indonesia (acuan perancangan, pelaksanaan, dan evaluasi uji kompetensi serta peningkatan mutu berkelanjutan); Penyelenggara Pendidikan dan Pelatihan (acuan perancangan program pendidikan yang relevan); dan Masyarakat Pengguna serta pemangku kepentingan lainnya (memperoleh pelayanan kesehatan sesuai kompetensi).</w:t>
      </w:r>
    </w:p>
    <w:p>
      <w:pPr>
        <w:pStyle w:val="Heading2"/>
        <w:spacing w:after="120" w:before="240"/>
      </w:pPr>
      <w:r>
        <w:rPr>
          <w:rFonts w:ascii="Source Serif 4" w:cs="Source Serif 4" w:eastAsia="Source Serif 4" w:hAnsi="Source Serif 4"/>
        </w:rPr>
        <w:t xml:space="preserve">1.3  Kedudukan Buku ini dalam Ekosistem Literatur</w:t>
      </w:r>
    </w:p>
    <w:p>
      <w:pPr>
        <w:spacing w:after="160" w:line="300"/>
      </w:pPr>
      <w:r>
        <w:rPr>
          <w:rFonts w:ascii="IBM Plex Sans" w:cs="IBM Plex Sans" w:eastAsia="IBM Plex Sans" w:hAnsi="IBM Plex Sans"/>
          <w:color w:val="1E293B"/>
          <w:sz w:val="22"/>
          <w:szCs w:val="22"/>
        </w:rPr>
        <w:t xml:space="preserve">Dalam struktur ekosistem, buku ini berkedudukan sebagai simpul rujukan tertinggi di bawah Kepkonsil itu sendiri. Setiap Buku Tematik (B1–B14) menjabarkan satu domain klinis atau tema lintas-subspesialis secara lebih mendalam; setiap PPK menjabarkan satu entri diagnosis dari Tabel 7 Lampiran Kepkonsil (Spektrum Penyakit dan Kondisi Klinis yang Ditangani Spesialis Obstetri dan Ginekologi) pada tingkat pasien-perorangan; dan setiap PPKK menjabarkan satu program layanan pada tingkat kelompok/komunitas. Pembaca yang telah menuntaskan buku ini diharapkan dapat menavigasi 95 dokumen lainnya tanpa kehilangan konteks regulasi maupun konteks klinis.</w:t>
      </w:r>
    </w:p>
    <w:p>
      <w:pPr>
        <w:spacing w:after="160" w:line="300"/>
      </w:pPr>
      <w:r>
        <w:rPr>
          <w:rFonts w:ascii="IBM Plex Sans" w:cs="IBM Plex Sans" w:eastAsia="IBM Plex Sans" w:hAnsi="IBM Plex Sans"/>
          <w:color w:val="1E293B"/>
          <w:sz w:val="22"/>
          <w:szCs w:val="22"/>
        </w:rPr>
        <w:t xml:space="preserve">Buku ini juga berfungsi sebagai instrumen penjaminan mutu editorial bagi seluruh ekosistem: setiap definisi, kode ICD-10/ICD-11, dan istilah dwibahasa yang ditetapkan pada bab-bab berikutnya menjadi rujukan baku yang wajib digunakan secara konsisten oleh dokumen-dokumen lain, sehingga tidak terjadi variasi istilah atau penafsiran yang berbeda-beda antar Buku Tematik, PPK, maupun PPKK. Glosarium pada bagian akhir buku ini (lihat halaman terakhir) memuat 22 istilah baku hasil kutipan langsung dari Lampiran Bab I huruf D Kepkonsil, dan menjadi rujukan istilah bagi seluruh dokumen dalam ekosistem literatur ini.</w:t>
      </w:r>
    </w:p>
    <w:p>
      <w:pPr>
        <w:pStyle w:val="Heading1"/>
        <w:pageBreakBefore/>
      </w:pPr>
      <w:r>
        <w:rPr>
          <w:rFonts w:ascii="Source Serif 4" w:cs="Source Serif 4" w:eastAsia="Source Serif 4" w:hAnsi="Source Serif 4"/>
        </w:rPr>
        <w:t xml:space="preserve">Bab II  Standar Kompetensi: Definisi, Ruang Lingkup, dan Kedalaman Kasus</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1F5F9" w:val="clear"/>
            <w:tcMar>
              <w:top w:type="dxa" w:w="160"/>
              <w:left w:type="dxa" w:w="200"/>
              <w:bottom w:type="dxa" w:w="160"/>
              <w:right w:type="dxa" w:w="200"/>
            </w:tcMar>
          </w:tcPr>
          <w:p>
            <w:pPr>
              <w:spacing w:after="80"/>
            </w:pPr>
            <w:r>
              <w:rPr>
                <w:rFonts w:ascii="IBM Plex Sans" w:cs="IBM Plex Sans" w:eastAsia="IBM Plex Sans" w:hAnsi="IBM Plex Sans"/>
                <w:b/>
                <w:bCs/>
                <w:color w:val="B45309"/>
                <w:sz w:val="20"/>
                <w:szCs w:val="20"/>
              </w:rPr>
              <w:t xml:space="preserve">Dasar Regulasi</w:t>
            </w:r>
          </w:p>
          <w:p>
            <w:pPr>
              <w:spacing w:after="60"/>
            </w:pPr>
            <w:r>
              <w:rPr>
                <w:rFonts w:ascii="IBM Plex Sans" w:cs="IBM Plex Sans" w:eastAsia="IBM Plex Sans" w:hAnsi="IBM Plex Sans"/>
                <w:color w:val="1E293B"/>
                <w:sz w:val="20"/>
                <w:szCs w:val="20"/>
              </w:rPr>
              <w:t xml:space="preserve">Kepkonsil No. HK.01.02/KKI/1318/2026, Diktum KESATU dan KETIGA; Lampiran Bab I huruf D dan Bab II huruf B–C</w:t>
            </w:r>
          </w:p>
        </w:tc>
      </w:tr>
    </w:tbl>
    <w:p>
      <w:pPr>
        <w:spacing w:after="120"/>
      </w:pPr>
    </w:p>
    <w:p>
      <w:pPr>
        <w:pStyle w:val="Heading2"/>
        <w:spacing w:after="120" w:before="240"/>
      </w:pPr>
      <w:r>
        <w:rPr>
          <w:rFonts w:ascii="Source Serif 4" w:cs="Source Serif 4" w:eastAsia="Source Serif 4" w:hAnsi="Source Serif 4"/>
        </w:rPr>
        <w:t xml:space="preserve">2.1  Definisi Operasional Kunci</w:t>
      </w:r>
    </w:p>
    <w:p>
      <w:pPr>
        <w:spacing w:after="160" w:line="300"/>
      </w:pPr>
      <w:r>
        <w:rPr>
          <w:rFonts w:ascii="IBM Plex Sans" w:cs="IBM Plex Sans" w:eastAsia="IBM Plex Sans" w:hAnsi="IBM Plex Sans"/>
          <w:color w:val="1E293B"/>
          <w:sz w:val="22"/>
          <w:szCs w:val="22"/>
        </w:rPr>
        <w:t xml:space="preserve">Lampiran Bab I huruf D Kepkonsil memuat 22 Definisi Operasional yang menjadi rujukan baku bagi seluruh dokumen dalam ekosistem literatur ini; daftar lengkapnya disusun sebagai Glosarium pada bagian akhir buku ini. Dua definisi inti yang membingkai seluruh bab berikutnya adalah Kompetensi — seperangkat tindakan cerdas, terukur, dan bertanggung jawab yang dimiliki oleh tenaga medis atau tenaga kesehatan untuk melaksanakan pelayanan kesehatan dan/atau praktik keprofesian — dan Standar Kompetensi — kemampuan minimal seorang tenaga medis atau tenaga kesehatan dalam melakukan praktik keprofesian dan/atau pelayanan kesehatan dengan mengintegrasikan pengetahuan, keterampilan, dan sikap, sesuai unjuk kerja yang dipersyaratkan pemerintah.</w:t>
      </w:r>
    </w:p>
    <w:p>
      <w:pPr>
        <w:spacing w:after="160" w:line="300"/>
      </w:pPr>
      <w:r>
        <w:rPr>
          <w:rFonts w:ascii="IBM Plex Sans" w:cs="IBM Plex Sans" w:eastAsia="IBM Plex Sans" w:hAnsi="IBM Plex Sans"/>
          <w:color w:val="1E293B"/>
          <w:sz w:val="22"/>
          <w:szCs w:val="22"/>
        </w:rPr>
        <w:t xml:space="preserve">Dokter Spesialis Obstetri dan Ginekologi didefinisikan sebagai dokter dengan kualifikasi lanjutan, memiliki kompetensi spesifik yang terukur, mampu secara mandiri dan bertanggung jawab dalam pengambilan keputusan klinis, penegakan diagnosis, dan penatalaksanaan komprehensif terhadap gangguan sistem reproduksi perempuan pada seluruh tahap kehidupan — mencakup prakonsepsi, kehamilan, persalinan, masa nifas, masa reproduktif, hingga pascamenopause — dengan mengutamakan keselamatan pasien (patient safety), mencegah bahaya yang dapat dihindari (zero preventable harm), dan menegakkan etika profesi kedokteran yang luhur sebagaimana diamanatkan dalam sumpah dokter.</w:t>
      </w:r>
    </w:p>
    <w:p>
      <w:pPr>
        <w:spacing w:after="160" w:line="300"/>
      </w:pPr>
      <w:r>
        <w:rPr>
          <w:rFonts w:ascii="IBM Plex Sans" w:cs="IBM Plex Sans" w:eastAsia="IBM Plex Sans" w:hAnsi="IBM Plex Sans"/>
          <w:color w:val="1E293B"/>
          <w:sz w:val="22"/>
          <w:szCs w:val="22"/>
        </w:rPr>
        <w:t xml:space="preserve">Ruang lingkup standar mencakup dua jenjang: (1) jenjang spesialis dasar (Sp.OG.), yang menjadi capaian kompetensi minimal bagi dokter spesialis obstetri dan ginekologi; dan (2) jenjang subspesialis (Subsp.), yang menjadi capaian kompetensi minimal bagi dokter dengan kualifikasi lanjutan pada salah satu dari 5 bidang subspesialisasi resmi sebagaimana ditetapkan Diktum KEDUA. Diktum KEDUA Kepkonsil secara eksplisit menyebutkan bahwa capaian ini berlaku bagi: dokter spesialis obstetri dan ginekologi; dan dokter spesialis obstetri dan ginekologi subspesialis (atau konsultan) pada masing-masing dari 5 bidang yang dipetakan pada Bab III buku ini.</w:t>
      </w: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F1F5F9" w:val="clear"/>
            <w:tcMar>
              <w:top w:type="dxa" w:w="160"/>
              <w:left w:type="dxa" w:w="200"/>
              <w:bottom w:type="dxa" w:w="160"/>
              <w:right w:type="dxa" w:w="200"/>
            </w:tcMar>
          </w:tcPr>
          <w:p>
            <w:pPr>
              <w:spacing w:after="80"/>
            </w:pPr>
            <w:r>
              <w:rPr>
                <w:rFonts w:ascii="IBM Plex Sans" w:cs="IBM Plex Sans" w:eastAsia="IBM Plex Sans" w:hAnsi="IBM Plex Sans"/>
                <w:b/>
                <w:bCs/>
                <w:color w:val="4F46E5"/>
                <w:sz w:val="20"/>
                <w:szCs w:val="20"/>
              </w:rPr>
              <w:t xml:space="preserve">Perbandingan dan Pengayaan Standar Internasional</w:t>
            </w:r>
          </w:p>
          <w:p>
            <w:pPr>
              <w:spacing w:after="60"/>
            </w:pPr>
            <w:r>
              <w:rPr>
                <w:rFonts w:ascii="IBM Plex Sans" w:cs="IBM Plex Sans" w:eastAsia="IBM Plex Sans" w:hAnsi="IBM Plex Sans"/>
                <w:color w:val="1E293B"/>
                <w:sz w:val="20"/>
                <w:szCs w:val="20"/>
              </w:rPr>
              <w:t xml:space="preserve">Sumber pembanding (non-superior, memperkaya bukan menggantikan):</w:t>
            </w:r>
          </w:p>
          <w:p>
            <w:pPr>
              <w:spacing w:after="60"/>
            </w:pPr>
            <w:r>
              <w:rPr>
                <w:rFonts w:ascii="IBM Plex Sans" w:cs="IBM Plex Sans" w:eastAsia="IBM Plex Sans" w:hAnsi="IBM Plex Sans"/>
                <w:color w:val="1E293B"/>
                <w:sz w:val="20"/>
                <w:szCs w:val="20"/>
              </w:rPr>
              <w:t xml:space="preserve">ACGME (1999) — Accreditation Council for Graduate Medical Education. The Milestones Guidebook — Six Core Competency Domains (Patient Care, Medical Knowledge, Practice-Based Learning and Improvement, Interpersonal and Communication Skills, Professionalism, Systems-Based Practice). Chicago: ACGME.</w:t>
            </w:r>
          </w:p>
          <w:p>
            <w:pPr>
              <w:spacing w:after="60"/>
            </w:pPr>
            <w:r>
              <w:rPr>
                <w:rFonts w:ascii="IBM Plex Sans" w:cs="IBM Plex Sans" w:eastAsia="IBM Plex Sans" w:hAnsi="IBM Plex Sans"/>
                <w:color w:val="1E293B"/>
                <w:sz w:val="20"/>
                <w:szCs w:val="20"/>
              </w:rPr>
              <w:t xml:space="preserve">CanMEDS (2015) — Frank JR, Snell L, Sherbino J, editors. CanMEDS 2015 Physician Competency Framework. Ottawa: Royal College of Physicians and Surgeons of Canada; 2015.</w:t>
            </w:r>
          </w:p>
          <w:p>
            <w:pPr>
              <w:spacing w:after="60"/>
            </w:pPr>
            <w:r>
              <w:rPr>
                <w:rFonts w:ascii="IBM Plex Sans" w:cs="IBM Plex Sans" w:eastAsia="IBM Plex Sans" w:hAnsi="IBM Plex Sans"/>
                <w:color w:val="1E293B"/>
                <w:sz w:val="20"/>
                <w:szCs w:val="20"/>
              </w:rPr>
              <w:t xml:space="preserve">Standar nasional (Kepkonsil) tetap menjadi acuan utama dan mengikat secara hukum di Indonesia; rujukan internasional digunakan semata sebagai pengayaan konteks pembelajaran. Sitasi lengkap dan tautan tercantum pada Daftar Pustaka.</w:t>
            </w:r>
          </w:p>
        </w:tc>
      </w:tr>
    </w:tbl>
    <w:p>
      <w:pPr>
        <w:spacing w:after="160"/>
      </w:pPr>
    </w:p>
    <w:p>
      <w:pPr>
        <w:pStyle w:val="Heading2"/>
        <w:spacing w:after="120" w:before="240"/>
      </w:pPr>
      <w:r>
        <w:rPr>
          <w:rFonts w:ascii="Source Serif 4" w:cs="Source Serif 4" w:eastAsia="Source Serif 4" w:hAnsi="Source Serif 4"/>
        </w:rPr>
        <w:t xml:space="preserve">2.2  Prinsip Penggunaan Standar Kompetensi (Diktum KETIGA)</w:t>
      </w:r>
    </w:p>
    <w:p>
      <w:pPr>
        <w:spacing w:after="160" w:line="300"/>
      </w:pPr>
      <w:r>
        <w:rPr>
          <w:rFonts w:ascii="IBM Plex Sans" w:cs="IBM Plex Sans" w:eastAsia="IBM Plex Sans" w:hAnsi="IBM Plex Sans"/>
          <w:color w:val="1E293B"/>
          <w:sz w:val="22"/>
          <w:szCs w:val="22"/>
        </w:rPr>
        <w:t xml:space="preserve">Diktum KETIGA Kepkonsil menetapkan bahwa Standar Kompetensi digunakan sebagai acuan untuk lima hal: (a) pemenuhan kompetensi minimal dan peningkatan kompetensi; (b) pemberian pelayanan kesehatan yang terukur, terstandar, dan berkualitas; (c) penyusunan dan pengembangan kurikulum; (d) pelaksanaan uji kompetensi atau evaluasi kompetensi; dan (e) penyusunan standar profesi. Diktum KEEMPAT menegaskan bahwa penerapan Standar Kompetensi ini dilaksanakan sesuai dengan ketentuan peraturan perundang-undangan yang berlaku.</w:t>
      </w:r>
    </w:p>
    <w:p>
      <w:pPr>
        <w:spacing w:after="160" w:line="300"/>
      </w:pPr>
      <w:r>
        <w:rPr>
          <w:rFonts w:ascii="IBM Plex Sans" w:cs="IBM Plex Sans" w:eastAsia="IBM Plex Sans" w:hAnsi="IBM Plex Sans"/>
          <w:color w:val="1E293B"/>
          <w:sz w:val="22"/>
          <w:szCs w:val="22"/>
        </w:rPr>
        <w:t xml:space="preserve">Kelima fungsi acuan ini menjadi dasar bagi Bab VI buku ini, yang menjelaskan secara lebih rinci bagaimana Prodi menerjemahkan fungsi (c) ke dalam blok pembelajaran, stase klinis, dan instrumen penilaian, serta bagaimana fungsi (d) dan (e) diterjemahkan ke dalam mekanisme uji kompetensi dan standar profesi oleh Kolegium.</w:t>
      </w:r>
    </w:p>
    <w:p>
      <w:pPr>
        <w:pStyle w:val="Heading2"/>
        <w:spacing w:after="120" w:before="240"/>
      </w:pPr>
      <w:r>
        <w:rPr>
          <w:rFonts w:ascii="Source Serif 4" w:cs="Source Serif 4" w:eastAsia="Source Serif 4" w:hAnsi="Source Serif 4"/>
        </w:rPr>
        <w:t xml:space="preserve">2.3  Kedalaman dan Keluasan Kasus per Jenjang</w:t>
      </w:r>
    </w:p>
    <w:p>
      <w:pPr>
        <w:spacing w:after="160" w:line="300"/>
      </w:pPr>
      <w:r>
        <w:rPr>
          <w:rFonts w:ascii="IBM Plex Sans" w:cs="IBM Plex Sans" w:eastAsia="IBM Plex Sans" w:hAnsi="IBM Plex Sans"/>
          <w:color w:val="1E293B"/>
          <w:sz w:val="22"/>
          <w:szCs w:val="22"/>
        </w:rPr>
        <w:t xml:space="preserve">Lampiran Bab II huruf B Kepkonsil menetapkan bahwa kedalaman dan keluasan kasus yang dapat ditangani oleh Dokter, Dokter Spesialis, maupun Dokter Subspesialis dibedakan secara tegas berdasarkan tiga area inti kompetensi: keselamatan dan pelayanan pasien; pengetahuan klinis; dan keterampilan teknis medis. Analisis ini menjadi dasar justifikasi bagi eksistensi subspesialisasi dalam sistem pelayanan kesehatan modern, sekaligus batas kewenangan klinis antar jenjang.</w:t>
      </w:r>
    </w:p>
    <w:p>
      <w:pPr>
        <w:spacing w:after="160" w:line="300"/>
      </w:pPr>
      <w:r>
        <w:rPr>
          <w:rFonts w:ascii="IBM Plex Sans" w:cs="IBM Plex Sans" w:eastAsia="IBM Plex Sans" w:hAnsi="IBM Plex Sans"/>
          <w:color w:val="1E293B"/>
          <w:sz w:val="22"/>
          <w:szCs w:val="22"/>
        </w:rPr>
        <w:t xml:space="preserve">Tabel berikut merangkum Resume Kedalaman dan Keluasan Kasus sebagaimana Tabel 4 Lampiran Kepkonsil, mencakup karakteristik kasus, risiko klinis, jumlah komorbid, kebutuhan teknologi, dan tingkat fasilitas pelayanan kesehatan pada ketiga jenjang.</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20"/>
                <w:szCs w:val="20"/>
              </w:rPr>
              <w:t xml:space="preserve">Kualifikasi</w:t>
            </w:r>
          </w:p>
        </w:tc>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20"/>
                <w:szCs w:val="20"/>
              </w:rPr>
              <w:t xml:space="preserve">Dokter</w:t>
            </w:r>
          </w:p>
        </w:tc>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20"/>
                <w:szCs w:val="20"/>
              </w:rPr>
              <w:t xml:space="preserve">Dokter Spesialis</w:t>
            </w:r>
          </w:p>
        </w:tc>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20"/>
                <w:szCs w:val="20"/>
              </w:rPr>
              <w:t xml:space="preserve">Dokter Subspesialis</w:t>
            </w:r>
          </w:p>
        </w:tc>
      </w:tr>
      <w:tr>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Karakteristik kasus</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Sedang: penyakit umum presentasi khas, tata laksana berdasar pedoman standar, tidak mengancam jiwa langsung, dapat ditangani mandiri</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Kompleks: komorbiditas/presentasi tidak khas, risiko kegagalan terapi lebih tinggi, perlu pemantauan ketat dan pendekatan interdisipliner</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Sangat kompleks: penyakit langka/refrakter/stadium lanjut, intervensi berisiko dan berteknis tinggi, perlu subspesialisasi, tim multidisiplin, dan faskes tersier</w:t>
            </w:r>
          </w:p>
        </w:tc>
      </w:tr>
      <w:tr>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Risiko klinis</w:t>
            </w:r>
          </w:p>
        </w:tc>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Rendah–sedang</w:t>
            </w:r>
          </w:p>
        </w:tc>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Sedang–tinggi</w:t>
            </w:r>
          </w:p>
        </w:tc>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Sangat tinggi</w:t>
            </w:r>
          </w:p>
        </w:tc>
      </w:tr>
      <w:tr>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Jumlah komorbid</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0–1</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&gt;1</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Multipel + gangguan sistemik</w:t>
            </w:r>
          </w:p>
        </w:tc>
      </w:tr>
      <w:tr>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Teknologi</w:t>
            </w:r>
          </w:p>
        </w:tc>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Dasar: pemeriksaan rutin, terapi farmakologis standar</w:t>
            </w:r>
          </w:p>
        </w:tc>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Intermediate: imaging canggih (CT/MRI), evaluasi fungsi organ, multiterapi</w:t>
            </w:r>
          </w:p>
        </w:tc>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Advanced/presisi: alat intervensi lanjut, laboratorium genetik/molekuler, peralatan ICU spesifik</w:t>
            </w:r>
          </w:p>
        </w:tc>
      </w:tr>
      <w:tr>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Tingkat fasilitas pelayanan kesehatan</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Primer–sekunder</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Sekunder–tersier</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Tersier rujukan nasional</w:t>
            </w:r>
          </w:p>
        </w:tc>
      </w:tr>
    </w:tbl>
    <w:p>
      <w:pPr>
        <w:spacing w:after="160"/>
      </w:pPr>
    </w:p>
    <w:p>
      <w:pPr>
        <w:pStyle w:val="Heading2"/>
        <w:spacing w:after="120" w:before="240"/>
      </w:pPr>
      <w:r>
        <w:rPr>
          <w:rFonts w:ascii="Source Serif 4" w:cs="Source Serif 4" w:eastAsia="Source Serif 4" w:hAnsi="Source Serif 4"/>
        </w:rPr>
        <w:t xml:space="preserve">2.4  Komparasi Peran Dokter, Dokter Spesialis, dan Dokter Subspesialis</w:t>
      </w:r>
    </w:p>
    <w:p>
      <w:pPr>
        <w:spacing w:after="160" w:line="300"/>
      </w:pPr>
      <w:r>
        <w:rPr>
          <w:rFonts w:ascii="IBM Plex Sans" w:cs="IBM Plex Sans" w:eastAsia="IBM Plex Sans" w:hAnsi="IBM Plex Sans"/>
          <w:color w:val="1E293B"/>
          <w:sz w:val="22"/>
          <w:szCs w:val="22"/>
        </w:rPr>
        <w:t xml:space="preserve">Lampiran Bab II Kepkonsil juga menetapkan komparasi peran (Tabel 5 Lampiran Kepkonsil) yang menegaskan pembagian kewenangan klinis: Dokter merupakan pintu pertama layanan kesehatan dan bertanggung jawab atas stabilisasi awal serta penanganan masalah kesehatan yang luas dan tidak terdiferensiasi; Dokter Spesialis menangani kasus sedang hingga kompleks dalam satu bidang dengan penguasaan teknis medik dan prosedural dalam ruang lingkupnya; dan Dokter Subspesialis mengambil alih kasus sangat kompleks, langka, atau refrakter yang membutuhkan keahlian teknis canggih dan pendekatan presisi.</w:t>
      </w:r>
    </w:p>
    <w:p>
      <w:pPr>
        <w:spacing w:after="160" w:line="300"/>
      </w:pPr>
      <w:r>
        <w:rPr>
          <w:rFonts w:ascii="IBM Plex Sans" w:cs="IBM Plex Sans" w:eastAsia="IBM Plex Sans" w:hAnsi="IBM Plex Sans"/>
          <w:color w:val="1E293B"/>
          <w:sz w:val="22"/>
          <w:szCs w:val="22"/>
        </w:rPr>
        <w:t xml:space="preserve">Implikasi klinis dari komparasi ini adalah alur rujukan berjenjang: kasus yang melampaui kompetensi satu jenjang wajib dirujuk ke jenjang di atasnya, sebagaimana ditegaskan pula pada kriteria rujukan setiap PPK dalam ekosistem literatur ini.</w:t>
      </w:r>
    </w:p>
    <w:p>
      <w:pPr>
        <w:pStyle w:val="Heading1"/>
        <w:pageBreakBefore/>
      </w:pPr>
      <w:r>
        <w:rPr>
          <w:rFonts w:ascii="Source Serif 4" w:cs="Source Serif 4" w:eastAsia="Source Serif 4" w:hAnsi="Source Serif 4"/>
        </w:rPr>
        <w:t xml:space="preserve">Bab III  Peta 5 Subspesialis Resmi Obstetri dan Ginekologi</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1F5F9" w:val="clear"/>
            <w:tcMar>
              <w:top w:type="dxa" w:w="160"/>
              <w:left w:type="dxa" w:w="200"/>
              <w:bottom w:type="dxa" w:w="160"/>
              <w:right w:type="dxa" w:w="200"/>
            </w:tcMar>
          </w:tcPr>
          <w:p>
            <w:pPr>
              <w:spacing w:after="80"/>
            </w:pPr>
            <w:r>
              <w:rPr>
                <w:rFonts w:ascii="IBM Plex Sans" w:cs="IBM Plex Sans" w:eastAsia="IBM Plex Sans" w:hAnsi="IBM Plex Sans"/>
                <w:b/>
                <w:bCs/>
                <w:color w:val="B45309"/>
                <w:sz w:val="20"/>
                <w:szCs w:val="20"/>
              </w:rPr>
              <w:t xml:space="preserve">Dasar Regulasi</w:t>
            </w:r>
          </w:p>
          <w:p>
            <w:pPr>
              <w:spacing w:after="60"/>
            </w:pPr>
            <w:r>
              <w:rPr>
                <w:rFonts w:ascii="IBM Plex Sans" w:cs="IBM Plex Sans" w:eastAsia="IBM Plex Sans" w:hAnsi="IBM Plex Sans"/>
                <w:color w:val="1E293B"/>
                <w:sz w:val="20"/>
                <w:szCs w:val="20"/>
              </w:rPr>
              <w:t xml:space="preserve">Kepkonsil No. HK.01.02/KKI/1318/2026, Diktum KEDUA huruf b–f; Lampiran Bab I huruf D angka 18–22</w:t>
            </w:r>
          </w:p>
        </w:tc>
      </w:tr>
    </w:tbl>
    <w:p>
      <w:pPr>
        <w:spacing w:after="120"/>
      </w:pPr>
    </w:p>
    <w:p>
      <w:pPr>
        <w:pStyle w:val="Heading2"/>
        <w:spacing w:after="120" w:before="240"/>
      </w:pPr>
      <w:r>
        <w:rPr>
          <w:rFonts w:ascii="Source Serif 4" w:cs="Source Serif 4" w:eastAsia="Source Serif 4" w:hAnsi="Source Serif 4"/>
        </w:rPr>
        <w:t xml:space="preserve">3.1  Kedokteran Fetomaternal</w:t>
      </w:r>
    </w:p>
    <w:p>
      <w:pPr>
        <w:spacing w:after="160" w:line="300"/>
      </w:pPr>
      <w:r>
        <w:rPr>
          <w:rFonts w:ascii="IBM Plex Sans" w:cs="IBM Plex Sans" w:eastAsia="IBM Plex Sans" w:hAnsi="IBM Plex Sans"/>
          <w:color w:val="1E293B"/>
          <w:sz w:val="22"/>
          <w:szCs w:val="22"/>
        </w:rPr>
        <w:t xml:space="preserve">Diktum KEDUA huruf b Kepkonsil menetapkan capaian kompetensi ini berlaku bagi dokter spesialis obstetri dan ginekologi subspesialis kedokteran fetomaternal atau dokter spesialis obstetri dan ginekologi konsultan kedokteran fetomaternal, dengan gelar subspesialis Sp.OG., Subsp.K.Fm.. Lampiran Bab I huruf D Kepkonsil mendefinisikan bidang ini sebagai kualifikasi lanjutan dengan kompetensi spesifik terukur, mampu secara mandiri dan bertanggung jawab dalam pengambilan keputusan klinis, penegakan diagnosis, dan penatalaksanaan komprehensif terhadap kehamilan berisiko tinggi, kelainan janin, dan komplikasi maternal-fetal dengan kompleksitas sangat tinggi, refrakter, atau jarang, sejak prakonsepsi sampai pascasalin.</w:t>
      </w:r>
    </w:p>
    <w:p>
      <w:pPr>
        <w:spacing w:after="160" w:line="300"/>
      </w:pPr>
      <w:r>
        <w:rPr>
          <w:rFonts w:ascii="IBM Plex Sans" w:cs="IBM Plex Sans" w:eastAsia="IBM Plex Sans" w:hAnsi="IBM Plex Sans"/>
          <w:color w:val="1E293B"/>
          <w:sz w:val="22"/>
          <w:szCs w:val="22"/>
        </w:rPr>
        <w:t xml:space="preserve">Sesuai definisi operasional Kepkonsil, cakupan praktiknya meliputi diagnosis prenatal, tes genetik, terapi janin, perawatan intensif obstetri, dan bedah obstetri kompleks, dilakukan melalui intervensi obstetri dan monitoring presisi berbasis bukti dengan jaminan efektivitas, keamanan, dan rasionalitas terapi.</w:t>
      </w:r>
    </w:p>
    <w:p>
      <w:pPr>
        <w:spacing w:after="160" w:line="300"/>
      </w:pPr>
      <w:r>
        <w:rPr>
          <w:rFonts w:ascii="IBM Plex Sans" w:cs="IBM Plex Sans" w:eastAsia="IBM Plex Sans" w:hAnsi="IBM Plex Sans"/>
          <w:color w:val="1E293B"/>
          <w:sz w:val="22"/>
          <w:szCs w:val="22"/>
        </w:rPr>
        <w:t xml:space="preserve">Kompetensi lanjutan pada bidang ini dijabarkan secara menyeluruh pada Buku Tematik yang berpadanan dalam ekosistem literatur ini, serta pada kumpulan PPK dan PPKK yang merujuk balik ke subbab ini sebagai landasan identitas keilmuan bidang.</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1F5F9" w:val="clear"/>
            <w:tcMar>
              <w:top w:type="dxa" w:w="160"/>
              <w:left w:type="dxa" w:w="200"/>
              <w:bottom w:type="dxa" w:w="160"/>
              <w:right w:type="dxa" w:w="200"/>
            </w:tcMar>
          </w:tcPr>
          <w:p>
            <w:pPr>
              <w:spacing w:after="80"/>
            </w:pPr>
            <w:r>
              <w:rPr>
                <w:rFonts w:ascii="IBM Plex Sans" w:cs="IBM Plex Sans" w:eastAsia="IBM Plex Sans" w:hAnsi="IBM Plex Sans"/>
                <w:b/>
                <w:bCs/>
                <w:color w:val="B45309"/>
                <w:sz w:val="20"/>
                <w:szCs w:val="20"/>
              </w:rPr>
              <w:t xml:space="preserve">Kontribusi Divisi Pengampu</w:t>
            </w:r>
          </w:p>
          <w:p>
            <w:pPr>
              <w:spacing w:after="60"/>
            </w:pPr>
            <w:r>
              <w:rPr>
                <w:rFonts w:ascii="IBM Plex Sans" w:cs="IBM Plex Sans" w:eastAsia="IBM Plex Sans" w:hAnsi="IBM Plex Sans"/>
                <w:color w:val="1E293B"/>
                <w:sz w:val="20"/>
                <w:szCs w:val="20"/>
              </w:rPr>
              <w:t xml:space="preserve">A. Deskripsi — Perspektif Divisi Kedokteran Fetomaternal relevan pada subbab ini karena buku acuan utama menjadi rujukan identitas keilmuan pertama yang dibaca oleh peserta didik sebelum menentukan minat subspesialisasi.</w:t>
            </w:r>
          </w:p>
          <w:p>
            <w:pPr>
              <w:spacing w:after="60"/>
            </w:pPr>
            <w:r>
              <w:rPr>
                <w:rFonts w:ascii="IBM Plex Sans" w:cs="IBM Plex Sans" w:eastAsia="IBM Plex Sans" w:hAnsi="IBM Plex Sans"/>
                <w:color w:val="1E293B"/>
                <w:sz w:val="20"/>
                <w:szCs w:val="20"/>
              </w:rPr>
              <w:t xml:space="preserve">B. Kedudukan Bidang dalam Peta Layanan Nasional — Divisi Kedokteran Fetomaternal menegaskan bahwa kedalaman kompetensi bidang ini disusun berjenjang mengikuti kebutuhan rujukan berjenjang sistem kesehatan nasional (Tabel 4 Lampiran Kepkonsil, lihat Bab II.3 buku ini), dari fasilitas kesehatan primer-sekunder hingga fasilitas tersier rujukan nasional, dengan penekanan bahwa kompetensi dasar (Sp.OG.) tetap menjadi gerbang layanan pertama sebelum kasus dirujuk ke tingkat subspesialis. Data distribusi tenaga subspesialis per wilayah belum tercantum dalam dokumen sumber; rujukan mutakhir untuk data ini adalah laporan atau registri resmi Kemenkes, BKKBN, atau POGI.</w:t>
            </w:r>
          </w:p>
          <w:p>
            <w:pPr>
              <w:spacing w:after="60"/>
            </w:pPr>
            <w:r>
              <w:rPr>
                <w:rFonts w:ascii="IBM Plex Sans" w:cs="IBM Plex Sans" w:eastAsia="IBM Plex Sans" w:hAnsi="IBM Plex Sans"/>
                <w:color w:val="1E293B"/>
                <w:sz w:val="20"/>
                <w:szCs w:val="20"/>
              </w:rPr>
              <w:t xml:space="preserve">C. Ilustrasi Kasus Lapangan — Seorang PPDS tahun pertama yang belum menentukan minat subspesialisasi membaca subbab ini sebagai pengantar sebelum memilih stase peminatan pada tahun ketiga pendidikannya; pembimbing klinis menggunakan uraian fokus inti bidang untuk membantu peserta didik memetakan kesesuaian minat dengan tuntutan capaian kompetensi bidang Kedokteran Fetomaternal.</w:t>
            </w:r>
          </w:p>
        </w:tc>
      </w:tr>
    </w:tbl>
    <w:p>
      <w:pPr>
        <w:spacing w:after="160"/>
      </w:pPr>
    </w:p>
    <w:p>
      <w:pPr>
        <w:pStyle w:val="Heading2"/>
        <w:spacing w:after="120" w:before="240"/>
      </w:pPr>
      <w:r>
        <w:rPr>
          <w:rFonts w:ascii="Source Serif 4" w:cs="Source Serif 4" w:eastAsia="Source Serif 4" w:hAnsi="Source Serif 4"/>
        </w:rPr>
        <w:t xml:space="preserve">3.2  Fertilitas dan Endokrinologi Reproduksi</w:t>
      </w:r>
    </w:p>
    <w:p>
      <w:pPr>
        <w:spacing w:after="160" w:line="300"/>
      </w:pPr>
      <w:r>
        <w:rPr>
          <w:rFonts w:ascii="IBM Plex Sans" w:cs="IBM Plex Sans" w:eastAsia="IBM Plex Sans" w:hAnsi="IBM Plex Sans"/>
          <w:color w:val="1E293B"/>
          <w:sz w:val="22"/>
          <w:szCs w:val="22"/>
        </w:rPr>
        <w:t xml:space="preserve">Diktum KEDUA huruf c Kepkonsil menetapkan capaian kompetensi ini berlaku bagi dokter spesialis obstetri dan ginekologi subspesialis fertilitas dan endokrinologi reproduksi atau dokter spesialis obstetri dan ginekologi konsultan fertilitas dan endokrinologi reproduksi, dengan gelar subspesialis Sp.OG., Subsp.F.E.R.. Lampiran Bab I huruf D Kepkonsil mendefinisikan bidang ini sebagai kualifikasi lanjutan dengan kompetensi spesifik terukur, mampu secara mandiri dan bertanggung jawab dalam pengambilan keputusan klinis, penegakan diagnosis, dan penatalaksanaan komprehensif terhadap gangguan endokrinologi reproduksi dan fertilitas dengan kompleksitas sangat tinggi, refrakter, atau jarang.</w:t>
      </w:r>
    </w:p>
    <w:p>
      <w:pPr>
        <w:spacing w:after="160" w:line="300"/>
      </w:pPr>
      <w:r>
        <w:rPr>
          <w:rFonts w:ascii="IBM Plex Sans" w:cs="IBM Plex Sans" w:eastAsia="IBM Plex Sans" w:hAnsi="IBM Plex Sans"/>
          <w:color w:val="1E293B"/>
          <w:sz w:val="22"/>
          <w:szCs w:val="22"/>
        </w:rPr>
        <w:t xml:space="preserve">Sesuai definisi operasional Kepkonsil, cakupan praktiknya meliputi pelaksanaan teknologi reproduksi berbantu, bedah endoskopi ginekologi reproduksi dan fertilitas, terapi endokrin reproduktif, serta terapi regeneratif berbasis bukti.</w:t>
      </w:r>
    </w:p>
    <w:p>
      <w:pPr>
        <w:spacing w:after="160" w:line="300"/>
      </w:pPr>
      <w:r>
        <w:rPr>
          <w:rFonts w:ascii="IBM Plex Sans" w:cs="IBM Plex Sans" w:eastAsia="IBM Plex Sans" w:hAnsi="IBM Plex Sans"/>
          <w:color w:val="1E293B"/>
          <w:sz w:val="22"/>
          <w:szCs w:val="22"/>
        </w:rPr>
        <w:t xml:space="preserve">Kompetensi lanjutan pada bidang ini dijabarkan secara menyeluruh pada Buku Tematik yang berpadanan dalam ekosistem literatur ini, serta pada kumpulan PPK dan PPKK yang merujuk balik ke subbab ini sebagai landasan identitas keilmuan bidang.</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1F5F9" w:val="clear"/>
            <w:tcMar>
              <w:top w:type="dxa" w:w="160"/>
              <w:left w:type="dxa" w:w="200"/>
              <w:bottom w:type="dxa" w:w="160"/>
              <w:right w:type="dxa" w:w="200"/>
            </w:tcMar>
          </w:tcPr>
          <w:p>
            <w:pPr>
              <w:spacing w:after="80"/>
            </w:pPr>
            <w:r>
              <w:rPr>
                <w:rFonts w:ascii="IBM Plex Sans" w:cs="IBM Plex Sans" w:eastAsia="IBM Plex Sans" w:hAnsi="IBM Plex Sans"/>
                <w:b/>
                <w:bCs/>
                <w:color w:val="B45309"/>
                <w:sz w:val="20"/>
                <w:szCs w:val="20"/>
              </w:rPr>
              <w:t xml:space="preserve">Kontribusi Divisi Pengampu</w:t>
            </w:r>
          </w:p>
          <w:p>
            <w:pPr>
              <w:spacing w:after="60"/>
            </w:pPr>
            <w:r>
              <w:rPr>
                <w:rFonts w:ascii="IBM Plex Sans" w:cs="IBM Plex Sans" w:eastAsia="IBM Plex Sans" w:hAnsi="IBM Plex Sans"/>
                <w:color w:val="1E293B"/>
                <w:sz w:val="20"/>
                <w:szCs w:val="20"/>
              </w:rPr>
              <w:t xml:space="preserve">A. Deskripsi — Perspektif Divisi Fertilitas dan Endokrinologi Reproduksi relevan pada subbab ini karena buku acuan utama menjadi rujukan identitas keilmuan pertama yang dibaca oleh peserta didik sebelum menentukan minat subspesialisasi.</w:t>
            </w:r>
          </w:p>
          <w:p>
            <w:pPr>
              <w:spacing w:after="60"/>
            </w:pPr>
            <w:r>
              <w:rPr>
                <w:rFonts w:ascii="IBM Plex Sans" w:cs="IBM Plex Sans" w:eastAsia="IBM Plex Sans" w:hAnsi="IBM Plex Sans"/>
                <w:color w:val="1E293B"/>
                <w:sz w:val="20"/>
                <w:szCs w:val="20"/>
              </w:rPr>
              <w:t xml:space="preserve">B. Kedudukan Bidang dalam Peta Layanan Nasional — Divisi Fertilitas dan Endokrinologi Reproduksi menegaskan bahwa kedalaman kompetensi bidang ini disusun berjenjang mengikuti kebutuhan rujukan berjenjang sistem kesehatan nasional (Tabel 4 Lampiran Kepkonsil, lihat Bab II.3 buku ini), dari fasilitas kesehatan primer-sekunder hingga fasilitas tersier rujukan nasional, dengan penekanan bahwa kompetensi dasar (Sp.OG.) tetap menjadi gerbang layanan pertama sebelum kasus dirujuk ke tingkat subspesialis. Data distribusi tenaga subspesialis per wilayah belum tercantum dalam dokumen sumber; rujukan mutakhir untuk data ini adalah laporan atau registri resmi Kemenkes, BKKBN, atau POGI.</w:t>
            </w:r>
          </w:p>
          <w:p>
            <w:pPr>
              <w:spacing w:after="60"/>
            </w:pPr>
            <w:r>
              <w:rPr>
                <w:rFonts w:ascii="IBM Plex Sans" w:cs="IBM Plex Sans" w:eastAsia="IBM Plex Sans" w:hAnsi="IBM Plex Sans"/>
                <w:color w:val="1E293B"/>
                <w:sz w:val="20"/>
                <w:szCs w:val="20"/>
              </w:rPr>
              <w:t xml:space="preserve">C. Ilustrasi Kasus Lapangan — Seorang PPDS tahun pertama yang belum menentukan minat subspesialisasi membaca subbab ini sebagai pengantar sebelum memilih stase peminatan pada tahun ketiga pendidikannya; pembimbing klinis menggunakan uraian fokus inti bidang untuk membantu peserta didik memetakan kesesuaian minat dengan tuntutan capaian kompetensi bidang Fertilitas dan Endokrinologi Reproduksi.</w:t>
            </w:r>
          </w:p>
        </w:tc>
      </w:tr>
    </w:tbl>
    <w:p>
      <w:pPr>
        <w:spacing w:after="160"/>
      </w:pPr>
    </w:p>
    <w:p>
      <w:pPr>
        <w:pStyle w:val="Heading2"/>
        <w:spacing w:after="120" w:before="240"/>
      </w:pPr>
      <w:r>
        <w:rPr>
          <w:rFonts w:ascii="Source Serif 4" w:cs="Source Serif 4" w:eastAsia="Source Serif 4" w:hAnsi="Source Serif 4"/>
        </w:rPr>
        <w:t xml:space="preserve">3.3  Onkologi Ginekologi</w:t>
      </w:r>
    </w:p>
    <w:p>
      <w:pPr>
        <w:spacing w:after="160" w:line="300"/>
      </w:pPr>
      <w:r>
        <w:rPr>
          <w:rFonts w:ascii="IBM Plex Sans" w:cs="IBM Plex Sans" w:eastAsia="IBM Plex Sans" w:hAnsi="IBM Plex Sans"/>
          <w:color w:val="1E293B"/>
          <w:sz w:val="22"/>
          <w:szCs w:val="22"/>
        </w:rPr>
        <w:t xml:space="preserve">Diktum KEDUA huruf d Kepkonsil menetapkan capaian kompetensi ini berlaku bagi dokter spesialis obstetri dan ginekologi subspesialis onkologi ginekologi atau dokter spesialis obstetri dan ginekologi konsultan onkologi ginekologi, dengan gelar subspesialis Sp.OG., Subsp.Onk.. Lampiran Bab I huruf D Kepkonsil mendefinisikan bidang ini sebagai kualifikasi lanjutan dengan kompetensi spesifik terukur, mampu secara mandiri dan bertanggung jawab dalam pengambilan keputusan klinis, penegakan diagnosis, dan penatalaksanaan komprehensif terhadap keganasan sistem reproduksi perempuan pada seluruh spektrum, mulai dari lesi prakanker hingga kanker invasif dengan kompleksitas sangat tinggi, refrakter, atau jarang.</w:t>
      </w:r>
    </w:p>
    <w:p>
      <w:pPr>
        <w:spacing w:after="160" w:line="300"/>
      </w:pPr>
      <w:r>
        <w:rPr>
          <w:rFonts w:ascii="IBM Plex Sans" w:cs="IBM Plex Sans" w:eastAsia="IBM Plex Sans" w:hAnsi="IBM Plex Sans"/>
          <w:color w:val="1E293B"/>
          <w:sz w:val="22"/>
          <w:szCs w:val="22"/>
        </w:rPr>
        <w:t xml:space="preserve">Sesuai definisi operasional Kepkonsil, cakupan praktiknya meliputi intervensi bedah onkologi, kemoterapi, terapi multimodal, terapi terarah (targeted therapy), imunoterapi, dan terapi berbasis analisis genomik untuk meningkatkan hasil klinis dan kualitas hidup pasien.</w:t>
      </w:r>
    </w:p>
    <w:p>
      <w:pPr>
        <w:spacing w:after="160" w:line="300"/>
      </w:pPr>
      <w:r>
        <w:rPr>
          <w:rFonts w:ascii="IBM Plex Sans" w:cs="IBM Plex Sans" w:eastAsia="IBM Plex Sans" w:hAnsi="IBM Plex Sans"/>
          <w:color w:val="1E293B"/>
          <w:sz w:val="22"/>
          <w:szCs w:val="22"/>
        </w:rPr>
        <w:t xml:space="preserve">Kompetensi lanjutan pada bidang ini dijabarkan secara menyeluruh pada Buku Tematik yang berpadanan dalam ekosistem literatur ini, serta pada kumpulan PPK dan PPKK yang merujuk balik ke subbab ini sebagai landasan identitas keilmuan bidang.</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1F5F9" w:val="clear"/>
            <w:tcMar>
              <w:top w:type="dxa" w:w="160"/>
              <w:left w:type="dxa" w:w="200"/>
              <w:bottom w:type="dxa" w:w="160"/>
              <w:right w:type="dxa" w:w="200"/>
            </w:tcMar>
          </w:tcPr>
          <w:p>
            <w:pPr>
              <w:spacing w:after="80"/>
            </w:pPr>
            <w:r>
              <w:rPr>
                <w:rFonts w:ascii="IBM Plex Sans" w:cs="IBM Plex Sans" w:eastAsia="IBM Plex Sans" w:hAnsi="IBM Plex Sans"/>
                <w:b/>
                <w:bCs/>
                <w:color w:val="B45309"/>
                <w:sz w:val="20"/>
                <w:szCs w:val="20"/>
              </w:rPr>
              <w:t xml:space="preserve">Kontribusi Divisi Pengampu</w:t>
            </w:r>
          </w:p>
          <w:p>
            <w:pPr>
              <w:spacing w:after="60"/>
            </w:pPr>
            <w:r>
              <w:rPr>
                <w:rFonts w:ascii="IBM Plex Sans" w:cs="IBM Plex Sans" w:eastAsia="IBM Plex Sans" w:hAnsi="IBM Plex Sans"/>
                <w:color w:val="1E293B"/>
                <w:sz w:val="20"/>
                <w:szCs w:val="20"/>
              </w:rPr>
              <w:t xml:space="preserve">A. Deskripsi — Perspektif Divisi Onkologi Ginekologi relevan pada subbab ini karena buku acuan utama menjadi rujukan identitas keilmuan pertama yang dibaca oleh peserta didik sebelum menentukan minat subspesialisasi.</w:t>
            </w:r>
          </w:p>
          <w:p>
            <w:pPr>
              <w:spacing w:after="60"/>
            </w:pPr>
            <w:r>
              <w:rPr>
                <w:rFonts w:ascii="IBM Plex Sans" w:cs="IBM Plex Sans" w:eastAsia="IBM Plex Sans" w:hAnsi="IBM Plex Sans"/>
                <w:color w:val="1E293B"/>
                <w:sz w:val="20"/>
                <w:szCs w:val="20"/>
              </w:rPr>
              <w:t xml:space="preserve">B. Kedudukan Bidang dalam Peta Layanan Nasional — Divisi Onkologi Ginekologi menegaskan bahwa kedalaman kompetensi bidang ini disusun berjenjang mengikuti kebutuhan rujukan berjenjang sistem kesehatan nasional (Tabel 4 Lampiran Kepkonsil, lihat Bab II.3 buku ini), dari fasilitas kesehatan primer-sekunder hingga fasilitas tersier rujukan nasional, dengan penekanan bahwa kompetensi dasar (Sp.OG.) tetap menjadi gerbang layanan pertama sebelum kasus dirujuk ke tingkat subspesialis. Data distribusi tenaga subspesialis per wilayah belum tercantum dalam dokumen sumber; rujukan mutakhir untuk data ini adalah laporan atau registri resmi Kemenkes, BKKBN, atau POGI.</w:t>
            </w:r>
          </w:p>
          <w:p>
            <w:pPr>
              <w:spacing w:after="60"/>
            </w:pPr>
            <w:r>
              <w:rPr>
                <w:rFonts w:ascii="IBM Plex Sans" w:cs="IBM Plex Sans" w:eastAsia="IBM Plex Sans" w:hAnsi="IBM Plex Sans"/>
                <w:color w:val="1E293B"/>
                <w:sz w:val="20"/>
                <w:szCs w:val="20"/>
              </w:rPr>
              <w:t xml:space="preserve">C. Ilustrasi Kasus Lapangan — Seorang PPDS tahun pertama yang belum menentukan minat subspesialisasi membaca subbab ini sebagai pengantar sebelum memilih stase peminatan pada tahun ketiga pendidikannya; pembimbing klinis menggunakan uraian fokus inti bidang untuk membantu peserta didik memetakan kesesuaian minat dengan tuntutan capaian kompetensi bidang Onkologi Ginekologi.</w:t>
            </w:r>
          </w:p>
        </w:tc>
      </w:tr>
    </w:tbl>
    <w:p>
      <w:pPr>
        <w:spacing w:after="160"/>
      </w:pPr>
    </w:p>
    <w:p>
      <w:pPr>
        <w:pStyle w:val="Heading2"/>
        <w:spacing w:after="120" w:before="240"/>
      </w:pPr>
      <w:r>
        <w:rPr>
          <w:rFonts w:ascii="Source Serif 4" w:cs="Source Serif 4" w:eastAsia="Source Serif 4" w:hAnsi="Source Serif 4"/>
        </w:rPr>
        <w:t xml:space="preserve">3.4  Obstetri Ginekologi Sosial</w:t>
      </w:r>
    </w:p>
    <w:p>
      <w:pPr>
        <w:spacing w:after="160" w:line="300"/>
      </w:pPr>
      <w:r>
        <w:rPr>
          <w:rFonts w:ascii="IBM Plex Sans" w:cs="IBM Plex Sans" w:eastAsia="IBM Plex Sans" w:hAnsi="IBM Plex Sans"/>
          <w:color w:val="1E293B"/>
          <w:sz w:val="22"/>
          <w:szCs w:val="22"/>
        </w:rPr>
        <w:t xml:space="preserve">Diktum KEDUA huruf e Kepkonsil menetapkan capaian kompetensi ini berlaku bagi dokter spesialis obstetri dan ginekologi subspesialis obstetri ginekologi sosial atau dokter spesialis obstetri dan ginekologi konsultan obstetri ginekologi sosial, dengan gelar subspesialis Sp.OG., Subsp.Obginsos.. Lampiran Bab I huruf D Kepkonsil mendefinisikan bidang ini sebagai kualifikasi lanjutan dengan kompetensi spesifik terukur, mampu secara mandiri dan bertanggung jawab dalam pengambilan keputusan klinis, penegakan diagnosis, dan penatalaksanaan komprehensif terhadap pelayanan kesehatan reproduksi perempuan berbasis keluarga dan komunitas, dengan fokus pencegahan komplikasi obstetri-ginekologi berkompleksitas sangat tinggi, refrakter, atau jarang.</w:t>
      </w:r>
    </w:p>
    <w:p>
      <w:pPr>
        <w:spacing w:after="160" w:line="300"/>
      </w:pPr>
      <w:r>
        <w:rPr>
          <w:rFonts w:ascii="IBM Plex Sans" w:cs="IBM Plex Sans" w:eastAsia="IBM Plex Sans" w:hAnsi="IBM Plex Sans"/>
          <w:color w:val="1E293B"/>
          <w:sz w:val="22"/>
          <w:szCs w:val="22"/>
        </w:rPr>
        <w:t xml:space="preserve">Sesuai definisi operasional Kepkonsil, cakupan praktiknya meliputi penanganan determinan sosial kesehatan, promosi kesejahteraan reproduksi perempuan secara komprehensif dan berbasis bukti, serta tata kelola pelayanan kesehatan perempuan yang bermutu.</w:t>
      </w:r>
    </w:p>
    <w:p>
      <w:pPr>
        <w:spacing w:after="160" w:line="300"/>
      </w:pPr>
      <w:r>
        <w:rPr>
          <w:rFonts w:ascii="IBM Plex Sans" w:cs="IBM Plex Sans" w:eastAsia="IBM Plex Sans" w:hAnsi="IBM Plex Sans"/>
          <w:color w:val="1E293B"/>
          <w:sz w:val="22"/>
          <w:szCs w:val="22"/>
        </w:rPr>
        <w:t xml:space="preserve">Kompetensi lanjutan pada bidang ini dijabarkan secara menyeluruh pada Buku Tematik yang berpadanan dalam ekosistem literatur ini, serta pada kumpulan PPK dan PPKK yang merujuk balik ke subbab ini sebagai landasan identitas keilmuan bidang.</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1F5F9" w:val="clear"/>
            <w:tcMar>
              <w:top w:type="dxa" w:w="160"/>
              <w:left w:type="dxa" w:w="200"/>
              <w:bottom w:type="dxa" w:w="160"/>
              <w:right w:type="dxa" w:w="200"/>
            </w:tcMar>
          </w:tcPr>
          <w:p>
            <w:pPr>
              <w:spacing w:after="80"/>
            </w:pPr>
            <w:r>
              <w:rPr>
                <w:rFonts w:ascii="IBM Plex Sans" w:cs="IBM Plex Sans" w:eastAsia="IBM Plex Sans" w:hAnsi="IBM Plex Sans"/>
                <w:b/>
                <w:bCs/>
                <w:color w:val="B45309"/>
                <w:sz w:val="20"/>
                <w:szCs w:val="20"/>
              </w:rPr>
              <w:t xml:space="preserve">Kontribusi Divisi Pengampu</w:t>
            </w:r>
          </w:p>
          <w:p>
            <w:pPr>
              <w:spacing w:after="60"/>
            </w:pPr>
            <w:r>
              <w:rPr>
                <w:rFonts w:ascii="IBM Plex Sans" w:cs="IBM Plex Sans" w:eastAsia="IBM Plex Sans" w:hAnsi="IBM Plex Sans"/>
                <w:color w:val="1E293B"/>
                <w:sz w:val="20"/>
                <w:szCs w:val="20"/>
              </w:rPr>
              <w:t xml:space="preserve">A. Deskripsi — Perspektif Divisi Obstetri Ginekologi Sosial relevan pada subbab ini karena buku acuan utama menjadi rujukan identitas keilmuan pertama yang dibaca oleh peserta didik sebelum menentukan minat subspesialisasi.</w:t>
            </w:r>
          </w:p>
          <w:p>
            <w:pPr>
              <w:spacing w:after="60"/>
            </w:pPr>
            <w:r>
              <w:rPr>
                <w:rFonts w:ascii="IBM Plex Sans" w:cs="IBM Plex Sans" w:eastAsia="IBM Plex Sans" w:hAnsi="IBM Plex Sans"/>
                <w:color w:val="1E293B"/>
                <w:sz w:val="20"/>
                <w:szCs w:val="20"/>
              </w:rPr>
              <w:t xml:space="preserve">B. Kedudukan Bidang dalam Peta Layanan Nasional — Divisi Obstetri Ginekologi Sosial menegaskan bahwa kedalaman kompetensi bidang ini disusun berjenjang mengikuti kebutuhan rujukan berjenjang sistem kesehatan nasional (Tabel 4 Lampiran Kepkonsil, lihat Bab II.3 buku ini), dari fasilitas kesehatan primer-sekunder hingga fasilitas tersier rujukan nasional, dengan penekanan bahwa kompetensi dasar (Sp.OG.) tetap menjadi gerbang layanan pertama sebelum kasus dirujuk ke tingkat subspesialis. Data distribusi tenaga subspesialis per wilayah belum tercantum dalam dokumen sumber; rujukan mutakhir untuk data ini adalah laporan atau registri resmi Kemenkes, BKKBN, atau POGI.</w:t>
            </w:r>
          </w:p>
          <w:p>
            <w:pPr>
              <w:spacing w:after="60"/>
            </w:pPr>
            <w:r>
              <w:rPr>
                <w:rFonts w:ascii="IBM Plex Sans" w:cs="IBM Plex Sans" w:eastAsia="IBM Plex Sans" w:hAnsi="IBM Plex Sans"/>
                <w:color w:val="1E293B"/>
                <w:sz w:val="20"/>
                <w:szCs w:val="20"/>
              </w:rPr>
              <w:t xml:space="preserve">C. Ilustrasi Kasus Lapangan — Seorang PPDS tahun pertama yang belum menentukan minat subspesialisasi membaca subbab ini sebagai pengantar sebelum memilih stase peminatan pada tahun ketiga pendidikannya; pembimbing klinis menggunakan uraian fokus inti bidang untuk membantu peserta didik memetakan kesesuaian minat dengan tuntutan capaian kompetensi bidang Obstetri Ginekologi Sosial.</w:t>
            </w:r>
          </w:p>
        </w:tc>
      </w:tr>
    </w:tbl>
    <w:p>
      <w:pPr>
        <w:spacing w:after="160"/>
      </w:pPr>
    </w:p>
    <w:p>
      <w:pPr>
        <w:pStyle w:val="Heading2"/>
        <w:spacing w:after="120" w:before="240"/>
      </w:pPr>
      <w:r>
        <w:rPr>
          <w:rFonts w:ascii="Source Serif 4" w:cs="Source Serif 4" w:eastAsia="Source Serif 4" w:hAnsi="Source Serif 4"/>
        </w:rPr>
        <w:t xml:space="preserve">3.5  Uroginekologi Rekonstruksi</w:t>
      </w:r>
    </w:p>
    <w:p>
      <w:pPr>
        <w:spacing w:after="160" w:line="300"/>
      </w:pPr>
      <w:r>
        <w:rPr>
          <w:rFonts w:ascii="IBM Plex Sans" w:cs="IBM Plex Sans" w:eastAsia="IBM Plex Sans" w:hAnsi="IBM Plex Sans"/>
          <w:color w:val="1E293B"/>
          <w:sz w:val="22"/>
          <w:szCs w:val="22"/>
        </w:rPr>
        <w:t xml:space="preserve">Diktum KEDUA huruf f Kepkonsil menetapkan capaian kompetensi ini berlaku bagi dokter spesialis obstetri dan ginekologi subspesialis uroginekologi rekonstruksi atau dokter spesialis obstetri dan ginekologi konsultan uroginekologi rekonstruksi, dengan gelar subspesialis Sp.OG., Subsp.U.Rek.. Lampiran Bab I huruf D Kepkonsil mendefinisikan bidang ini sebagai kualifikasi lanjutan dengan kompetensi spesifik terukur, mampu secara mandiri dan bertanggung jawab dalam pengambilan keputusan klinis, penegakan diagnosis, dan penatalaksanaan komprehensif terhadap gangguan serta prolaps dasar panggul, inkontinensia, kelainan genitalia interna dan eksterna bawaan maupun didapat, dan disfungsi seksual perempuan dengan kompleksitas sangat tinggi, refrakter, atau jarang.</w:t>
      </w:r>
    </w:p>
    <w:p>
      <w:pPr>
        <w:spacing w:after="160" w:line="300"/>
      </w:pPr>
      <w:r>
        <w:rPr>
          <w:rFonts w:ascii="IBM Plex Sans" w:cs="IBM Plex Sans" w:eastAsia="IBM Plex Sans" w:hAnsi="IBM Plex Sans"/>
          <w:color w:val="1E293B"/>
          <w:sz w:val="22"/>
          <w:szCs w:val="22"/>
        </w:rPr>
        <w:t xml:space="preserve">Sesuai definisi operasional Kepkonsil, cakupan praktiknya meliputi pendekatan urogenital, konservatif, bedah rekonstruktif presisi, serta prosedur ginekologi estetika.</w:t>
      </w:r>
    </w:p>
    <w:p>
      <w:pPr>
        <w:spacing w:after="160" w:line="300"/>
      </w:pPr>
      <w:r>
        <w:rPr>
          <w:rFonts w:ascii="IBM Plex Sans" w:cs="IBM Plex Sans" w:eastAsia="IBM Plex Sans" w:hAnsi="IBM Plex Sans"/>
          <w:color w:val="1E293B"/>
          <w:sz w:val="22"/>
          <w:szCs w:val="22"/>
        </w:rPr>
        <w:t xml:space="preserve">Kompetensi lanjutan pada bidang ini dijabarkan secara menyeluruh pada Buku Tematik yang berpadanan dalam ekosistem literatur ini, serta pada kumpulan PPK dan PPKK yang merujuk balik ke subbab ini sebagai landasan identitas keilmuan bidang.</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1F5F9" w:val="clear"/>
            <w:tcMar>
              <w:top w:type="dxa" w:w="160"/>
              <w:left w:type="dxa" w:w="200"/>
              <w:bottom w:type="dxa" w:w="160"/>
              <w:right w:type="dxa" w:w="200"/>
            </w:tcMar>
          </w:tcPr>
          <w:p>
            <w:pPr>
              <w:spacing w:after="80"/>
            </w:pPr>
            <w:r>
              <w:rPr>
                <w:rFonts w:ascii="IBM Plex Sans" w:cs="IBM Plex Sans" w:eastAsia="IBM Plex Sans" w:hAnsi="IBM Plex Sans"/>
                <w:b/>
                <w:bCs/>
                <w:color w:val="B45309"/>
                <w:sz w:val="20"/>
                <w:szCs w:val="20"/>
              </w:rPr>
              <w:t xml:space="preserve">Kontribusi Divisi Pengampu</w:t>
            </w:r>
          </w:p>
          <w:p>
            <w:pPr>
              <w:spacing w:after="60"/>
            </w:pPr>
            <w:r>
              <w:rPr>
                <w:rFonts w:ascii="IBM Plex Sans" w:cs="IBM Plex Sans" w:eastAsia="IBM Plex Sans" w:hAnsi="IBM Plex Sans"/>
                <w:color w:val="1E293B"/>
                <w:sz w:val="20"/>
                <w:szCs w:val="20"/>
              </w:rPr>
              <w:t xml:space="preserve">A. Deskripsi — Perspektif Divisi Uroginekologi Rekonstruksi relevan pada subbab ini karena buku acuan utama menjadi rujukan identitas keilmuan pertama yang dibaca oleh peserta didik sebelum menentukan minat subspesialisasi.</w:t>
            </w:r>
          </w:p>
          <w:p>
            <w:pPr>
              <w:spacing w:after="60"/>
            </w:pPr>
            <w:r>
              <w:rPr>
                <w:rFonts w:ascii="IBM Plex Sans" w:cs="IBM Plex Sans" w:eastAsia="IBM Plex Sans" w:hAnsi="IBM Plex Sans"/>
                <w:color w:val="1E293B"/>
                <w:sz w:val="20"/>
                <w:szCs w:val="20"/>
              </w:rPr>
              <w:t xml:space="preserve">B. Kedudukan Bidang dalam Peta Layanan Nasional — Divisi Uroginekologi Rekonstruksi menegaskan bahwa kedalaman kompetensi bidang ini disusun berjenjang mengikuti kebutuhan rujukan berjenjang sistem kesehatan nasional (Tabel 4 Lampiran Kepkonsil, lihat Bab II.3 buku ini), dari fasilitas kesehatan primer-sekunder hingga fasilitas tersier rujukan nasional, dengan penekanan bahwa kompetensi dasar (Sp.OG.) tetap menjadi gerbang layanan pertama sebelum kasus dirujuk ke tingkat subspesialis. Data distribusi tenaga subspesialis per wilayah belum tercantum dalam dokumen sumber; rujukan mutakhir untuk data ini adalah laporan atau registri resmi Kemenkes, BKKBN, atau POGI.</w:t>
            </w:r>
          </w:p>
          <w:p>
            <w:pPr>
              <w:spacing w:after="60"/>
            </w:pPr>
            <w:r>
              <w:rPr>
                <w:rFonts w:ascii="IBM Plex Sans" w:cs="IBM Plex Sans" w:eastAsia="IBM Plex Sans" w:hAnsi="IBM Plex Sans"/>
                <w:color w:val="1E293B"/>
                <w:sz w:val="20"/>
                <w:szCs w:val="20"/>
              </w:rPr>
              <w:t xml:space="preserve">C. Ilustrasi Kasus Lapangan — Seorang PPDS tahun pertama yang belum menentukan minat subspesialisasi membaca subbab ini sebagai pengantar sebelum memilih stase peminatan pada tahun ketiga pendidikannya; pembimbing klinis menggunakan uraian fokus inti bidang untuk membantu peserta didik memetakan kesesuaian minat dengan tuntutan capaian kompetensi bidang Uroginekologi Rekonstruksi.</w:t>
            </w:r>
          </w:p>
        </w:tc>
      </w:tr>
    </w:tbl>
    <w:p>
      <w:pPr>
        <w:spacing w:after="160"/>
      </w:pPr>
    </w:p>
    <w:p>
      <w:pPr>
        <w:pStyle w:val="Heading1"/>
        <w:pageBreakBefore/>
      </w:pPr>
      <w:r>
        <w:rPr>
          <w:rFonts w:ascii="Source Serif 4" w:cs="Source Serif 4" w:eastAsia="Source Serif 4" w:hAnsi="Source Serif 4"/>
        </w:rPr>
        <w:t xml:space="preserve">Bab IV  Struktur 7 Area Kompetensi</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1F5F9" w:val="clear"/>
            <w:tcMar>
              <w:top w:type="dxa" w:w="160"/>
              <w:left w:type="dxa" w:w="200"/>
              <w:bottom w:type="dxa" w:w="160"/>
              <w:right w:type="dxa" w:w="200"/>
            </w:tcMar>
          </w:tcPr>
          <w:p>
            <w:pPr>
              <w:spacing w:after="80"/>
            </w:pPr>
            <w:r>
              <w:rPr>
                <w:rFonts w:ascii="IBM Plex Sans" w:cs="IBM Plex Sans" w:eastAsia="IBM Plex Sans" w:hAnsi="IBM Plex Sans"/>
                <w:b/>
                <w:bCs/>
                <w:color w:val="B45309"/>
                <w:sz w:val="20"/>
                <w:szCs w:val="20"/>
              </w:rPr>
              <w:t xml:space="preserve">Dasar Regulasi</w:t>
            </w:r>
          </w:p>
          <w:p>
            <w:pPr>
              <w:spacing w:after="60"/>
            </w:pPr>
            <w:r>
              <w:rPr>
                <w:rFonts w:ascii="IBM Plex Sans" w:cs="IBM Plex Sans" w:eastAsia="IBM Plex Sans" w:hAnsi="IBM Plex Sans"/>
                <w:color w:val="1E293B"/>
                <w:sz w:val="20"/>
                <w:szCs w:val="20"/>
              </w:rPr>
              <w:t xml:space="preserve">Kepkonsil No. HK.01.02/KKI/1318/2026, Lampiran Bab III huruf A–B (Tabel 6, 7, 27, 39, 40, 41, 42)</w:t>
            </w:r>
          </w:p>
        </w:tc>
      </w:tr>
    </w:tbl>
    <w:p>
      <w:pPr>
        <w:spacing w:after="120"/>
      </w:pPr>
    </w:p>
    <w:p>
      <w:pPr>
        <w:pStyle w:val="Heading2"/>
        <w:spacing w:after="120" w:before="240"/>
      </w:pPr>
      <w:r>
        <w:rPr>
          <w:rFonts w:ascii="Source Serif 4" w:cs="Source Serif 4" w:eastAsia="Source Serif 4" w:hAnsi="Source Serif 4"/>
        </w:rPr>
        <w:t xml:space="preserve">4.1  Kerangka Umum Tujuh Area Kompetensi</w:t>
      </w:r>
    </w:p>
    <w:p>
      <w:pPr>
        <w:spacing w:after="160" w:line="300"/>
      </w:pPr>
      <w:r>
        <w:rPr>
          <w:rFonts w:ascii="IBM Plex Sans" w:cs="IBM Plex Sans" w:eastAsia="IBM Plex Sans" w:hAnsi="IBM Plex Sans"/>
          <w:color w:val="1E293B"/>
          <w:sz w:val="22"/>
          <w:szCs w:val="22"/>
        </w:rPr>
        <w:t xml:space="preserve">Lampiran Bab III huruf A Kepkonsil menetapkan bahwa Kerangka Kompetensi Dokter Spesialis dan Subspesialis di Indonesia mencakup 7 (tujuh) area kompetensi, yang bersifat generik dan wajib dimiliki oleh seluruh dokter spesialis dan subspesialis guna menjamin kualitas layanan yang holistik dan berorientasi pada kebutuhan sistem kesehatan nasional. Setiap area kompetensi dijabarkan lebih lanjut menjadi Komponen Kompetensi, Penjabaran Komponen Kompetensi, dan Kriteria Kinerja Minimal pada tabel-tabel terkait di Lampiran Bab III huruf B Kepkonsil.</w:t>
      </w:r>
    </w:p>
    <w:p>
      <w:pPr>
        <w:spacing w:after="160" w:line="300"/>
      </w:pPr>
      <w:r>
        <w:rPr>
          <w:rFonts w:ascii="IBM Plex Sans" w:cs="IBM Plex Sans" w:eastAsia="IBM Plex Sans" w:hAnsi="IBM Plex Sans"/>
          <w:color w:val="1E293B"/>
          <w:sz w:val="22"/>
          <w:szCs w:val="22"/>
        </w:rPr>
        <w:t xml:space="preserve">Ketujuh area kompetensi ini menjadi kerangka pemetaan wajib bagi seluruh Buku Tematik dan PPK dalam ekosistem literatur ini: setiap capaian pembelajaran pada dokumen-dokumen tersebut wajib ditelusuri kembali ke salah satu atau lebih dari ketujuh area berikut, sehingga keterlacakan terhadap Kepkonsil dapat diaudit secara sistematis oleh Prodi maupun lembaga akreditasi. Untuk memberi gambaran konkret — bukan hanya nama area — setiap subbab berikut disertai satu contoh Komponen Kompetensi dan Kriteria Kinerja Minimal yang dikutip langsung dari tabel sumbernya.</w:t>
      </w:r>
    </w:p>
    <w:p>
      <w:pPr>
        <w:pStyle w:val="Heading2"/>
        <w:spacing w:after="120" w:before="240"/>
      </w:pPr>
      <w:r>
        <w:rPr>
          <w:rFonts w:ascii="Source Serif 4" w:cs="Source Serif 4" w:eastAsia="Source Serif 4" w:hAnsi="Source Serif 4"/>
        </w:rPr>
        <w:t xml:space="preserve">4.2  Area Kompetensi 1: Keselamatan Pasien dan Pelayanan Kesehatan (Patient Safety and Care)</w:t>
      </w:r>
    </w:p>
    <w:p>
      <w:pPr>
        <w:spacing w:after="160" w:line="300"/>
      </w:pPr>
      <w:r>
        <w:rPr>
          <w:rFonts w:ascii="IBM Plex Sans" w:cs="IBM Plex Sans" w:eastAsia="IBM Plex Sans" w:hAnsi="IBM Plex Sans"/>
          <w:color w:val="1E293B"/>
          <w:sz w:val="22"/>
          <w:szCs w:val="22"/>
        </w:rPr>
        <w:t xml:space="preserve">Area kompetensi ini menaungi kemampuan memberikan perawatan medis yang aman, efektif, penuh empati, dan berpusat pada kebutuhan pasien. Setiap Buku Tematik dan PPK dalam ekosistem literatur ini memetakan capaian spesifiknya ke area ini sebagaimana relevan.</w:t>
      </w:r>
    </w:p>
    <w:p>
      <w:pPr>
        <w:spacing w:after="160" w:line="300"/>
      </w:pPr>
      <w:r>
        <w:rPr>
          <w:rFonts w:ascii="IBM Plex Sans" w:cs="IBM Plex Sans" w:eastAsia="IBM Plex Sans" w:hAnsi="IBM Plex Sans"/>
          <w:color w:val="1E293B"/>
          <w:sz w:val="22"/>
          <w:szCs w:val="22"/>
        </w:rPr>
        <w:t xml:space="preserve">Sesuai Bab III Lampiran Kepkonsil, area ini mencakup kompetensi memberikan perawatan medis yang aman, efektif, penuh empati, dan berpusat pada kebutuhan pasien, serta menjamin bahwa setiap intervensi tepat secara klinis dan meminimalkan risiko bahaya bagi pasien (Tabel 6, Lampiran Kepkonsil).</w:t>
      </w:r>
    </w:p>
    <w:p>
      <w:pPr>
        <w:spacing w:after="160" w:line="300"/>
      </w:pPr>
      <w:r>
        <w:rPr>
          <w:rFonts w:ascii="IBM Plex Sans" w:cs="IBM Plex Sans" w:eastAsia="IBM Plex Sans" w:hAnsi="IBM Plex Sans"/>
          <w:color w:val="1E293B"/>
          <w:sz w:val="22"/>
          <w:szCs w:val="22"/>
        </w:rPr>
        <w:t xml:space="preserve">Sebagai ilustrasi, Tabel 6 Lampiran Kepkonsil mencantumkan komponen kompetensi “keselamatan pasien”, dijabarkan sebagai kemampuan mengidentifikasi, melaporkan, dan mencegah insiden yang dapat membahayakan keselamatan pasien, dengan kriteria kinerja minimal antara lain: sekurang-kurangnya 90% insiden klinis di unit kerja teridentifikasi dan dilaporkan sesuai Standar Prosedur Operasional (SPO) Fasilitas Layanan Kesehatan, laporan insiden diserahkan maksimal 24 jam sejak kejadian terdeteksi, dan keterlibatan aktif minimal satu kegiatan Failure Mode and Effects Analysis (FMEA) per tahun.</w:t>
      </w:r>
    </w:p>
    <w:p>
      <w:pPr>
        <w:spacing w:after="160" w:line="300"/>
      </w:pPr>
      <w:r>
        <w:rPr>
          <w:rFonts w:ascii="IBM Plex Sans" w:cs="IBM Plex Sans" w:eastAsia="IBM Plex Sans" w:hAnsi="IBM Plex Sans"/>
          <w:color w:val="1E293B"/>
          <w:sz w:val="22"/>
          <w:szCs w:val="22"/>
        </w:rPr>
        <w:t xml:space="preserve">Penilaian capaian pada ketujuh area kompetensi dilakukan berjenjang, mengikuti tingkat kepercayaan klinis peserta didik, dari observasi terbimbing hingga praktik mandiri dengan supervisi jarak jauh, sebagaimana lazim diterapkan pada pendidikan kedokteran berbasis kompetensi — prinsip penjenjangan yang sama berlaku pada keenam area berikutnya dan tidak diulang pada setiap subbab.</w:t>
      </w:r>
    </w:p>
    <w:p>
      <w:pPr>
        <w:pStyle w:val="Heading2"/>
        <w:spacing w:after="120" w:before="240"/>
      </w:pPr>
      <w:r>
        <w:rPr>
          <w:rFonts w:ascii="Source Serif 4" w:cs="Source Serif 4" w:eastAsia="Source Serif 4" w:hAnsi="Source Serif 4"/>
        </w:rPr>
        <w:t xml:space="preserve">4.3  Area Kompetensi 2: Kompetensi Medis (Medical Skills)</w:t>
      </w:r>
    </w:p>
    <w:p>
      <w:pPr>
        <w:spacing w:after="160" w:line="300"/>
      </w:pPr>
      <w:r>
        <w:rPr>
          <w:rFonts w:ascii="IBM Plex Sans" w:cs="IBM Plex Sans" w:eastAsia="IBM Plex Sans" w:hAnsi="IBM Plex Sans"/>
          <w:color w:val="1E293B"/>
          <w:sz w:val="22"/>
          <w:szCs w:val="22"/>
        </w:rPr>
        <w:t xml:space="preserve">Area kompetensi ini menaungi kemampuan melaksanakan penatalaksanaan klinis dan prosedur klinis secara aman, efektif, dan efisien. Setiap Buku Tematik dan PPK dalam ekosistem literatur ini memetakan capaian spesifiknya ke area ini sebagaimana relevan.</w:t>
      </w:r>
    </w:p>
    <w:p>
      <w:pPr>
        <w:spacing w:after="160" w:line="300"/>
      </w:pPr>
      <w:r>
        <w:rPr>
          <w:rFonts w:ascii="IBM Plex Sans" w:cs="IBM Plex Sans" w:eastAsia="IBM Plex Sans" w:hAnsi="IBM Plex Sans"/>
          <w:color w:val="1E293B"/>
          <w:sz w:val="22"/>
          <w:szCs w:val="22"/>
        </w:rPr>
        <w:t xml:space="preserve">Sesuai Bab III Lampiran Kepkonsil, area ini mencakup kompetensi melaksanakan penatalaksanaan klinis dan prosedur klinis secara aman, efektif, dan efisien, sesuai dengan Clinical Practice Guidelines, Surgical Protocol, Standard Operating Procedure, atau Evidence-Based Protocol yang diadopsi di Indonesia; setiap subspesialis wajib menguasai seluruh kompetensi medis yang ditangani oleh spesialis.</w:t>
      </w:r>
    </w:p>
    <w:p>
      <w:pPr>
        <w:spacing w:after="160" w:line="300"/>
      </w:pPr>
      <w:r>
        <w:rPr>
          <w:rFonts w:ascii="IBM Plex Sans" w:cs="IBM Plex Sans" w:eastAsia="IBM Plex Sans" w:hAnsi="IBM Plex Sans"/>
          <w:color w:val="1E293B"/>
          <w:sz w:val="22"/>
          <w:szCs w:val="22"/>
        </w:rPr>
        <w:t xml:space="preserve">Berbeda dari area lain, peta kompetensi area ini tidak disusun dalam format komponen-kriteria, melainkan berbasis daftar spektrum penyakit dan kondisi klinis pada Tabel 7 Lampiran Kepkonsil, yang mencantumkan nama penyakit dalam bahasa Indonesia dan Inggris berdampingan dengan kode ICD-10 dan ICD-11 untuk setiap entri — struktur inilah yang menjadi dasar satu-ke-satu bagi setiap PPK dalam ekosistem literatur ini (lihat Bab VII buku ini).</w:t>
      </w:r>
    </w:p>
    <w:p>
      <w:pPr>
        <w:pStyle w:val="Heading2"/>
        <w:spacing w:after="120" w:before="240"/>
      </w:pPr>
      <w:r>
        <w:rPr>
          <w:rFonts w:ascii="Source Serif 4" w:cs="Source Serif 4" w:eastAsia="Source Serif 4" w:hAnsi="Source Serif 4"/>
        </w:rPr>
        <w:t xml:space="preserve">4.4  Area Kompetensi 3: Penguasaan Pengetahuan Medis (Medical Knowledge)</w:t>
      </w:r>
    </w:p>
    <w:p>
      <w:pPr>
        <w:spacing w:after="160" w:line="300"/>
      </w:pPr>
      <w:r>
        <w:rPr>
          <w:rFonts w:ascii="IBM Plex Sans" w:cs="IBM Plex Sans" w:eastAsia="IBM Plex Sans" w:hAnsi="IBM Plex Sans"/>
          <w:color w:val="1E293B"/>
          <w:sz w:val="22"/>
          <w:szCs w:val="22"/>
        </w:rPr>
        <w:t xml:space="preserve">Area kompetensi ini menaungi kemampuan menguasai dan menerapkan pengetahuan biomedis, klinis, serta ilmu pendukung lain secara mendalam dan berkelanjutan. Setiap Buku Tematik dan PPK dalam ekosistem literatur ini memetakan capaian spesifiknya ke area ini sebagaimana relevan.</w:t>
      </w:r>
    </w:p>
    <w:p>
      <w:pPr>
        <w:spacing w:after="160" w:line="300"/>
      </w:pPr>
      <w:r>
        <w:rPr>
          <w:rFonts w:ascii="IBM Plex Sans" w:cs="IBM Plex Sans" w:eastAsia="IBM Plex Sans" w:hAnsi="IBM Plex Sans"/>
          <w:color w:val="1E293B"/>
          <w:sz w:val="22"/>
          <w:szCs w:val="22"/>
        </w:rPr>
        <w:t xml:space="preserve">Sesuai Bab III Lampiran Kepkonsil, area ini mencakup kompetensi menguasai dan menerapkan pengetahuan biomedis, klinis, serta ilmu pendukung lain secara mendalam dan berkelanjutan, termasuk penguasaan teori, prinsip, dan evidensi ilmiah yang mendasari pengambilan keputusan dalam penatalaksanaan pasien (Tabel 27, Lampiran Kepkonsil).</w:t>
      </w:r>
    </w:p>
    <w:p>
      <w:pPr>
        <w:spacing w:after="160" w:line="300"/>
      </w:pPr>
      <w:r>
        <w:rPr>
          <w:rFonts w:ascii="IBM Plex Sans" w:cs="IBM Plex Sans" w:eastAsia="IBM Plex Sans" w:hAnsi="IBM Plex Sans"/>
          <w:color w:val="1E293B"/>
          <w:sz w:val="22"/>
          <w:szCs w:val="22"/>
        </w:rPr>
        <w:t xml:space="preserve">Sebagai ilustrasi, Tabel 27 Lampiran Kepkonsil mencantumkan komponen “menguasai penerapan pengetahuan anamnesis obstetri-ginekologi terstruktur”, dijabarkan sebagai kemampuan menganalisis gejala dan faktor risiko, mengevaluasi relevansi pertanyaan serta bias, dan menyusun kerangka anamnesis terarah, dengan kriteria kinerja minimal nilai ujian pilihan ganda (MCQ) dan Objective Structured Clinical Examination (OSCE) masing-masing sekurang-kurangnya 70%.</w:t>
      </w:r>
    </w:p>
    <w:p>
      <w:pPr>
        <w:pStyle w:val="Heading2"/>
        <w:spacing w:after="120" w:before="240"/>
      </w:pPr>
      <w:r>
        <w:rPr>
          <w:rFonts w:ascii="Source Serif 4" w:cs="Source Serif 4" w:eastAsia="Source Serif 4" w:hAnsi="Source Serif 4"/>
        </w:rPr>
        <w:t xml:space="preserve">4.5  Area Kompetensi 4: Kompetensi Interpersonal dan Komunikasi (Interpersonal and Communication)</w:t>
      </w:r>
    </w:p>
    <w:p>
      <w:pPr>
        <w:spacing w:after="160" w:line="300"/>
      </w:pPr>
      <w:r>
        <w:rPr>
          <w:rFonts w:ascii="IBM Plex Sans" w:cs="IBM Plex Sans" w:eastAsia="IBM Plex Sans" w:hAnsi="IBM Plex Sans"/>
          <w:color w:val="1E293B"/>
          <w:sz w:val="22"/>
          <w:szCs w:val="22"/>
        </w:rPr>
        <w:t xml:space="preserve">Area kompetensi ini menaungi kemampuan berkomunikasi secara efektif dengan pasien, keluarga, dan tim kesehatan untuk menunjang pelayanan medis yang berkualitas. Setiap Buku Tematik dan PPK dalam ekosistem literatur ini memetakan capaian spesifiknya ke area ini sebagaimana relevan.</w:t>
      </w:r>
    </w:p>
    <w:p>
      <w:pPr>
        <w:spacing w:after="160" w:line="300"/>
      </w:pPr>
      <w:r>
        <w:rPr>
          <w:rFonts w:ascii="IBM Plex Sans" w:cs="IBM Plex Sans" w:eastAsia="IBM Plex Sans" w:hAnsi="IBM Plex Sans"/>
          <w:color w:val="1E293B"/>
          <w:sz w:val="22"/>
          <w:szCs w:val="22"/>
        </w:rPr>
        <w:t xml:space="preserve">Sesuai Bab III Lampiran Kepkonsil, area ini mencakup kompetensi berkomunikasi secara efektif dengan pasien, keluarga, dan tim kesehatan untuk menunjang pelayanan medis yang berkualitas (Tabel 39, Lampiran Kepkonsil).</w:t>
      </w:r>
    </w:p>
    <w:p>
      <w:pPr>
        <w:spacing w:after="160" w:line="300"/>
      </w:pPr>
      <w:r>
        <w:rPr>
          <w:rFonts w:ascii="IBM Plex Sans" w:cs="IBM Plex Sans" w:eastAsia="IBM Plex Sans" w:hAnsi="IBM Plex Sans"/>
          <w:color w:val="1E293B"/>
          <w:sz w:val="22"/>
          <w:szCs w:val="22"/>
        </w:rPr>
        <w:t xml:space="preserve">Sebagai ilustrasi, Tabel 39 Lampiran Kepkonsil mencantumkan komponen “membangun hubungan terapeutik yang saling percaya dengan pasien dan keluarganya”, dengan kriteria kinerja minimal antara lain sekurang-kurangnya 90% pasien atau keluarga menyatakan puas terhadap komunikasi dan sikap dokter berdasarkan survei kepuasan atau audit mutu, serta tidak ada keluhan resmi terkait sikap arogan, mengabaikan, atau diskriminatif dalam periode audit tahunan.</w:t>
      </w:r>
    </w:p>
    <w:p>
      <w:pPr>
        <w:pStyle w:val="Heading2"/>
        <w:spacing w:after="120" w:before="240"/>
      </w:pPr>
      <w:r>
        <w:rPr>
          <w:rFonts w:ascii="Source Serif 4" w:cs="Source Serif 4" w:eastAsia="Source Serif 4" w:hAnsi="Source Serif 4"/>
        </w:rPr>
        <w:t xml:space="preserve">4.6  Area Kompetensi 5: Profesionalisme (Professionalism)</w:t>
      </w:r>
    </w:p>
    <w:p>
      <w:pPr>
        <w:spacing w:after="160" w:line="300"/>
      </w:pPr>
      <w:r>
        <w:rPr>
          <w:rFonts w:ascii="IBM Plex Sans" w:cs="IBM Plex Sans" w:eastAsia="IBM Plex Sans" w:hAnsi="IBM Plex Sans"/>
          <w:color w:val="1E293B"/>
          <w:sz w:val="22"/>
          <w:szCs w:val="22"/>
        </w:rPr>
        <w:t xml:space="preserve">Area kompetensi ini menaungi kemampuan menjalankan praktik medis berdasarkan nilai-nilai etika, integritas, dan tanggung jawab terhadap pasien, profesi, dan masyarakat. Setiap Buku Tematik dan PPK dalam ekosistem literatur ini memetakan capaian spesifiknya ke area ini sebagaimana relevan.</w:t>
      </w:r>
    </w:p>
    <w:p>
      <w:pPr>
        <w:spacing w:after="160" w:line="300"/>
      </w:pPr>
      <w:r>
        <w:rPr>
          <w:rFonts w:ascii="IBM Plex Sans" w:cs="IBM Plex Sans" w:eastAsia="IBM Plex Sans" w:hAnsi="IBM Plex Sans"/>
          <w:color w:val="1E293B"/>
          <w:sz w:val="22"/>
          <w:szCs w:val="22"/>
        </w:rPr>
        <w:t xml:space="preserve">Sesuai Bab III Lampiran Kepkonsil, area ini mencakup kompetensi menjalankan praktik medis berdasarkan nilai-nilai etika, integritas, dan tanggung jawab terhadap pasien, profesi, dan masyarakat (Tabel 40, Lampiran Kepkonsil).</w:t>
      </w:r>
    </w:p>
    <w:p>
      <w:pPr>
        <w:spacing w:after="160" w:line="300"/>
      </w:pPr>
      <w:r>
        <w:rPr>
          <w:rFonts w:ascii="IBM Plex Sans" w:cs="IBM Plex Sans" w:eastAsia="IBM Plex Sans" w:hAnsi="IBM Plex Sans"/>
          <w:color w:val="1E293B"/>
          <w:sz w:val="22"/>
          <w:szCs w:val="22"/>
        </w:rPr>
        <w:t xml:space="preserve">Sebagai ilustrasi, Tabel 40 Lampiran Kepkonsil mencantumkan komponen “menunjukkan integritas pribadi, kejujuran, dan rasa hormat dalam setiap interaksi profesional”, dengan kriteria kinerja minimal antara lain tidak ada pelanggaran etik atau teguran tertulis terkait perilaku tidak jujur, diskriminatif, atau intimidatif dalam 12 bulan terakhir, serta sekurang-kurangnya 90% penilaian positif tentang integritas dan sikap profesional dari sejawat, supervisor, atau evaluasi 360 derajat.</w:t>
      </w:r>
    </w:p>
    <w:p>
      <w:pPr>
        <w:pStyle w:val="Heading2"/>
        <w:spacing w:after="120" w:before="240"/>
      </w:pPr>
      <w:r>
        <w:rPr>
          <w:rFonts w:ascii="Source Serif 4" w:cs="Source Serif 4" w:eastAsia="Source Serif 4" w:hAnsi="Source Serif 4"/>
        </w:rPr>
        <w:t xml:space="preserve">4.7  Area Kompetensi 6: Praktik Berbasis Sistem (Systems Based Practice)</w:t>
      </w:r>
    </w:p>
    <w:p>
      <w:pPr>
        <w:spacing w:after="160" w:line="300"/>
      </w:pPr>
      <w:r>
        <w:rPr>
          <w:rFonts w:ascii="IBM Plex Sans" w:cs="IBM Plex Sans" w:eastAsia="IBM Plex Sans" w:hAnsi="IBM Plex Sans"/>
          <w:color w:val="1E293B"/>
          <w:sz w:val="22"/>
          <w:szCs w:val="22"/>
        </w:rPr>
        <w:t xml:space="preserve">Area kompetensi ini menaungi kemampuan menguasai informasi, memanfaatkan, dan berkontribusi terhadap sistem pelayanan kesehatan untuk meningkatkan mutu dan efisiensi layanan. Setiap Buku Tematik dan PPK dalam ekosistem literatur ini memetakan capaian spesifiknya ke area ini sebagaimana relevan.</w:t>
      </w:r>
    </w:p>
    <w:p>
      <w:pPr>
        <w:spacing w:after="160" w:line="300"/>
      </w:pPr>
      <w:r>
        <w:rPr>
          <w:rFonts w:ascii="IBM Plex Sans" w:cs="IBM Plex Sans" w:eastAsia="IBM Plex Sans" w:hAnsi="IBM Plex Sans"/>
          <w:color w:val="1E293B"/>
          <w:sz w:val="22"/>
          <w:szCs w:val="22"/>
        </w:rPr>
        <w:t xml:space="preserve">Sesuai Bab III Lampiran Kepkonsil, area ini mencakup kompetensi menguasai informasi, memanfaatkan, dan berkontribusi terhadap sistem pelayanan kesehatan untuk meningkatkan mutu dan efisiensi layanan (Tabel 41, Lampiran Kepkonsil).</w:t>
      </w:r>
    </w:p>
    <w:p>
      <w:pPr>
        <w:spacing w:after="160" w:line="300"/>
      </w:pPr>
      <w:r>
        <w:rPr>
          <w:rFonts w:ascii="IBM Plex Sans" w:cs="IBM Plex Sans" w:eastAsia="IBM Plex Sans" w:hAnsi="IBM Plex Sans"/>
          <w:color w:val="1E293B"/>
          <w:sz w:val="22"/>
          <w:szCs w:val="22"/>
        </w:rPr>
        <w:t xml:space="preserve">Sebagai ilustrasi, Tabel 41 Lampiran Kepkonsil mencantumkan komponen “mengenali struktur dan fungsi sistem pelayanan kesehatan tempat ia bekerja”, dengan kriteria kinerja minimal antara lain sekurang-kurangnya 90% jawaban benar dalam evaluasi tertulis atau lisan terkait struktur organisasi, alur layanan, dan regulasi yang berlaku, serta partisipasi aktif minimal satu kali per tahun dalam kegiatan orientasi sistem atau pelatihan manajemen klinis.</w:t>
      </w:r>
    </w:p>
    <w:p>
      <w:pPr>
        <w:pStyle w:val="Heading2"/>
        <w:spacing w:after="120" w:before="240"/>
      </w:pPr>
      <w:r>
        <w:rPr>
          <w:rFonts w:ascii="Source Serif 4" w:cs="Source Serif 4" w:eastAsia="Source Serif 4" w:hAnsi="Source Serif 4"/>
        </w:rPr>
        <w:t xml:space="preserve">4.8  Area Kompetensi 7: Kesadaran Biaya dalam Pelayanan Medis (Cost Awareness in Medical Care)</w:t>
      </w:r>
    </w:p>
    <w:p>
      <w:pPr>
        <w:spacing w:after="160" w:line="300"/>
      </w:pPr>
      <w:r>
        <w:rPr>
          <w:rFonts w:ascii="IBM Plex Sans" w:cs="IBM Plex Sans" w:eastAsia="IBM Plex Sans" w:hAnsi="IBM Plex Sans"/>
          <w:color w:val="1E293B"/>
          <w:sz w:val="22"/>
          <w:szCs w:val="22"/>
        </w:rPr>
        <w:t xml:space="preserve">Area kompetensi ini menaungi kemampuan mempertimbangkan aspek biaya dalam pengambilan keputusan klinis untuk menjamin pelayanan yang bermutu, efisien, dan berkeadilan. Setiap Buku Tematik dan PPK dalam ekosistem literatur ini memetakan capaian spesifiknya ke area ini sebagaimana relevan.</w:t>
      </w:r>
    </w:p>
    <w:p>
      <w:pPr>
        <w:spacing w:after="160" w:line="300"/>
      </w:pPr>
      <w:r>
        <w:rPr>
          <w:rFonts w:ascii="IBM Plex Sans" w:cs="IBM Plex Sans" w:eastAsia="IBM Plex Sans" w:hAnsi="IBM Plex Sans"/>
          <w:color w:val="1E293B"/>
          <w:sz w:val="22"/>
          <w:szCs w:val="22"/>
        </w:rPr>
        <w:t xml:space="preserve">Sesuai Bab III Lampiran Kepkonsil, area ini mencakup kompetensi mempertimbangkan aspek biaya dalam pengambilan keputusan klinis untuk menjamin pelayanan yang bermutu, efisien, dan berkeadilan (Tabel 42, Lampiran Kepkonsil).</w:t>
      </w:r>
    </w:p>
    <w:p>
      <w:pPr>
        <w:spacing w:after="160" w:line="300"/>
      </w:pPr>
      <w:r>
        <w:rPr>
          <w:rFonts w:ascii="IBM Plex Sans" w:cs="IBM Plex Sans" w:eastAsia="IBM Plex Sans" w:hAnsi="IBM Plex Sans"/>
          <w:color w:val="1E293B"/>
          <w:sz w:val="22"/>
          <w:szCs w:val="22"/>
        </w:rPr>
        <w:t xml:space="preserve">Sebagai ilustrasi, Tabel 42 Lampiran Kepkonsil mencantumkan komponen “mempertimbangkan nilai klinis dan efisiensi biaya dalam memilih pemeriksaan dan terapi”, dengan kriteria kinerja minimal antara lain sekurang-kurangnya 90% keputusan klinis, baik diagnostik maupun terapeutik, sesuai dengan prinsip rasionalitas medis dan efektivitas biaya (cost-effectiveness).</w:t>
      </w:r>
    </w:p>
    <w:p>
      <w:pPr>
        <w:pStyle w:val="Heading2"/>
        <w:spacing w:after="120" w:before="240"/>
      </w:pPr>
      <w:r>
        <w:rPr>
          <w:rFonts w:ascii="Source Serif 4" w:cs="Source Serif 4" w:eastAsia="Source Serif 4" w:hAnsi="Source Serif 4"/>
        </w:rPr>
        <w:t xml:space="preserve">4.9  Ringkasan Ketujuh Area Kompetensi</w:t>
      </w:r>
    </w:p>
    <w:p>
      <w:pPr>
        <w:spacing w:after="160" w:line="300"/>
      </w:pPr>
      <w:r>
        <w:rPr>
          <w:rFonts w:ascii="IBM Plex Sans" w:cs="IBM Plex Sans" w:eastAsia="IBM Plex Sans" w:hAnsi="IBM Plex Sans"/>
          <w:color w:val="1E293B"/>
          <w:sz w:val="22"/>
          <w:szCs w:val="22"/>
        </w:rPr>
        <w:t xml:space="preserve">Tabel berikut merangkum ketujuh area kompetensi beserta ranah utamanya sesuai Lampiran Bab III Kepkonsil, sebagai rujukan cepat bagi Prodi dan pembimbing klinis dalam menyusun pemetaan modul terhadap Kepkonsil.</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20"/>
                <w:szCs w:val="20"/>
              </w:rPr>
              <w:t xml:space="preserve">No.</w:t>
            </w:r>
          </w:p>
        </w:tc>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20"/>
                <w:szCs w:val="20"/>
              </w:rPr>
              <w:t xml:space="preserve">Area Kompetensi</w:t>
            </w:r>
          </w:p>
        </w:tc>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20"/>
                <w:szCs w:val="20"/>
              </w:rPr>
              <w:t xml:space="preserve">Padanan Inggris</w:t>
            </w:r>
          </w:p>
        </w:tc>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20"/>
                <w:szCs w:val="20"/>
              </w:rPr>
              <w:t xml:space="preserve">Ranah Utama</w:t>
            </w:r>
          </w:p>
        </w:tc>
      </w:tr>
      <w:tr>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1</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Keselamatan Pasien dan Pelayanan Kesehatan</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Patient Safety and Care</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memberikan perawatan medis yang aman, efektif, penuh empati, dan berpusat pada kebutuhan pasien</w:t>
            </w:r>
          </w:p>
        </w:tc>
      </w:tr>
      <w:tr>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2</w:t>
            </w:r>
          </w:p>
        </w:tc>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Kompetensi Medis</w:t>
            </w:r>
          </w:p>
        </w:tc>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Medical Skills</w:t>
            </w:r>
          </w:p>
        </w:tc>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melaksanakan penatalaksanaan klinis dan prosedur klinis secara aman, efektif, dan efisien</w:t>
            </w:r>
          </w:p>
        </w:tc>
      </w:tr>
      <w:tr>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3</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Penguasaan Pengetahuan Medis</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Medical Knowledge</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menguasai dan menerapkan pengetahuan biomedis, klinis, serta ilmu pendukung lain secara mendalam dan berkelanjutan</w:t>
            </w:r>
          </w:p>
        </w:tc>
      </w:tr>
      <w:tr>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4</w:t>
            </w:r>
          </w:p>
        </w:tc>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Kompetensi Interpersonal dan Komunikasi</w:t>
            </w:r>
          </w:p>
        </w:tc>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Interpersonal and Communication</w:t>
            </w:r>
          </w:p>
        </w:tc>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berkomunikasi secara efektif dengan pasien, keluarga, dan tim kesehatan untuk menunjang pelayanan medis yang berkualitas</w:t>
            </w:r>
          </w:p>
        </w:tc>
      </w:tr>
      <w:tr>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5</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Profesionalisme</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Professionalism</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menjalankan praktik medis berdasarkan nilai-nilai etika, integritas, dan tanggung jawab terhadap pasien, profesi, dan masyarakat</w:t>
            </w:r>
          </w:p>
        </w:tc>
      </w:tr>
      <w:tr>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6</w:t>
            </w:r>
          </w:p>
        </w:tc>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Praktik Berbasis Sistem</w:t>
            </w:r>
          </w:p>
        </w:tc>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Systems Based Practice</w:t>
            </w:r>
          </w:p>
        </w:tc>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menguasai informasi, memanfaatkan, dan berkontribusi terhadap sistem pelayanan kesehatan untuk meningkatkan mutu dan efisiensi layanan</w:t>
            </w:r>
          </w:p>
        </w:tc>
      </w:tr>
      <w:tr>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7</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Kesadaran Biaya dalam Pelayanan Medis</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Cost Awareness in Medical Care</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mempertimbangkan aspek biaya dalam pengambilan keputusan klinis untuk menjamin pelayanan yang bermutu, efisien, dan berkeadilan</w:t>
            </w:r>
          </w:p>
        </w:tc>
      </w:tr>
    </w:tbl>
    <w:p>
      <w:pPr>
        <w:spacing w:after="160"/>
      </w:pPr>
    </w:p>
    <w:p>
      <w:pPr>
        <w:pStyle w:val="Heading1"/>
        <w:pageBreakBefore/>
      </w:pPr>
      <w:r>
        <w:rPr>
          <w:rFonts w:ascii="Source Serif 4" w:cs="Source Serif 4" w:eastAsia="Source Serif 4" w:hAnsi="Source Serif 4"/>
        </w:rPr>
        <w:t xml:space="preserve">Bab V  Jenjang Pendidikan dan Kesetaraan Kualifikasi</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1F5F9" w:val="clear"/>
            <w:tcMar>
              <w:top w:type="dxa" w:w="160"/>
              <w:left w:type="dxa" w:w="200"/>
              <w:bottom w:type="dxa" w:w="160"/>
              <w:right w:type="dxa" w:w="200"/>
            </w:tcMar>
          </w:tcPr>
          <w:p>
            <w:pPr>
              <w:spacing w:after="80"/>
            </w:pPr>
            <w:r>
              <w:rPr>
                <w:rFonts w:ascii="IBM Plex Sans" w:cs="IBM Plex Sans" w:eastAsia="IBM Plex Sans" w:hAnsi="IBM Plex Sans"/>
                <w:b/>
                <w:bCs/>
                <w:color w:val="B45309"/>
                <w:sz w:val="20"/>
                <w:szCs w:val="20"/>
              </w:rPr>
              <w:t xml:space="preserve">Dasar Regulasi</w:t>
            </w:r>
          </w:p>
          <w:p>
            <w:pPr>
              <w:spacing w:after="60"/>
            </w:pPr>
            <w:r>
              <w:rPr>
                <w:rFonts w:ascii="IBM Plex Sans" w:cs="IBM Plex Sans" w:eastAsia="IBM Plex Sans" w:hAnsi="IBM Plex Sans"/>
                <w:color w:val="1E293B"/>
                <w:sz w:val="20"/>
                <w:szCs w:val="20"/>
              </w:rPr>
              <w:t xml:space="preserve">Kepkonsil No. HK.01.02/KKI/1318/2026, Lampiran Bab II huruf B (Tabel 1 dan Tabel 3)</w:t>
            </w:r>
          </w:p>
        </w:tc>
      </w:tr>
    </w:tbl>
    <w:p>
      <w:pPr>
        <w:spacing w:after="120"/>
      </w:pPr>
    </w:p>
    <w:p>
      <w:pPr>
        <w:pStyle w:val="Heading2"/>
        <w:spacing w:after="120" w:before="240"/>
      </w:pPr>
      <w:r>
        <w:rPr>
          <w:rFonts w:ascii="Source Serif 4" w:cs="Source Serif 4" w:eastAsia="Source Serif 4" w:hAnsi="Source Serif 4"/>
        </w:rPr>
        <w:t xml:space="preserve">5.1  Kesetaraan KKNI, AQRF, EQF, dan ISCED</w:t>
      </w:r>
    </w:p>
    <w:p>
      <w:pPr>
        <w:spacing w:after="160" w:line="300"/>
      </w:pPr>
      <w:r>
        <w:rPr>
          <w:rFonts w:ascii="IBM Plex Sans" w:cs="IBM Plex Sans" w:eastAsia="IBM Plex Sans" w:hAnsi="IBM Plex Sans"/>
          <w:color w:val="1E293B"/>
          <w:sz w:val="22"/>
          <w:szCs w:val="22"/>
        </w:rPr>
        <w:t xml:space="preserve">Tabel 1 Lampiran Kepkonsil menetapkan bahwa Dokter Spesialis dikualifikasikan pada Level 8 Kerangka Kualifikasi Nasional Indonesia (KKNI), setara AQRF Level 7, EQF Level 7, dan ISCED Level 7 (Master's or Equivalent) — menempati posisi advanced professional practitioner dengan kompetensi menyelesaikan kasus klinis kompleks secara interdisipliner, sejajar dengan kerangka global pada jenjang master atau long first professional degree yang diakui untuk medical specialization di banyak negara.</w:t>
      </w:r>
    </w:p>
    <w:p>
      <w:pPr>
        <w:spacing w:after="160" w:line="300"/>
      </w:pPr>
      <w:r>
        <w:rPr>
          <w:rFonts w:ascii="IBM Plex Sans" w:cs="IBM Plex Sans" w:eastAsia="IBM Plex Sans" w:hAnsi="IBM Plex Sans"/>
          <w:color w:val="1E293B"/>
          <w:sz w:val="22"/>
          <w:szCs w:val="22"/>
        </w:rPr>
        <w:t xml:space="preserve">Dokter Subspesialis dikualifikasikan pada Level 9 KKNI — puncak kualifikasi dalam sistem nasional — setara AQRF Level 8, EQF Level 8, dan ISCED Level 8 (Doctoral or Equivalent), diperuntukkan bagi individu yang mampu mengelola dan memimpin pengembangan ilmu atau praktik profesional baru yang orisinal dan teruji, serta menjadi pelopor inovasi layanan atau pendidikan klinis spesifik.</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800"/>
        <w:gridCol w:w="1800"/>
        <w:gridCol w:w="1800"/>
        <w:gridCol w:w="1800"/>
        <w:gridCol w:w="1800"/>
      </w:tblGrid>
      <w:tr>
        <w:trPr>
          <w:tblHeader/>
        </w:trPr>
        <w:tc>
          <w:tcPr>
            <w:tcW w:type="dxa" w:w="18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20"/>
                <w:szCs w:val="20"/>
              </w:rPr>
              <w:t xml:space="preserve">Jenjang</w:t>
            </w:r>
          </w:p>
        </w:tc>
        <w:tc>
          <w:tcPr>
            <w:tcW w:type="dxa" w:w="18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20"/>
                <w:szCs w:val="20"/>
              </w:rPr>
              <w:t xml:space="preserve">KKNI</w:t>
            </w:r>
          </w:p>
        </w:tc>
        <w:tc>
          <w:tcPr>
            <w:tcW w:type="dxa" w:w="18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20"/>
                <w:szCs w:val="20"/>
              </w:rPr>
              <w:t xml:space="preserve">AQRF</w:t>
            </w:r>
          </w:p>
        </w:tc>
        <w:tc>
          <w:tcPr>
            <w:tcW w:type="dxa" w:w="18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20"/>
                <w:szCs w:val="20"/>
              </w:rPr>
              <w:t xml:space="preserve">EQF</w:t>
            </w:r>
          </w:p>
        </w:tc>
        <w:tc>
          <w:tcPr>
            <w:tcW w:type="dxa" w:w="18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20"/>
                <w:szCs w:val="20"/>
              </w:rPr>
              <w:t xml:space="preserve">ISCED (padanan)</w:t>
            </w:r>
          </w:p>
        </w:tc>
      </w:tr>
      <w:tr>
        <w:tc>
          <w:tcPr>
            <w:tcW w:type="dxa" w:w="180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Dokter Spesialis (Sp.OG.)</w:t>
            </w:r>
          </w:p>
        </w:tc>
        <w:tc>
          <w:tcPr>
            <w:tcW w:type="dxa" w:w="180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Level 8</w:t>
            </w:r>
          </w:p>
        </w:tc>
        <w:tc>
          <w:tcPr>
            <w:tcW w:type="dxa" w:w="180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Level 7</w:t>
            </w:r>
          </w:p>
        </w:tc>
        <w:tc>
          <w:tcPr>
            <w:tcW w:type="dxa" w:w="180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Level 7</w:t>
            </w:r>
          </w:p>
        </w:tc>
        <w:tc>
          <w:tcPr>
            <w:tcW w:type="dxa" w:w="180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Level 7 — Master's or equivalent</w:t>
            </w:r>
          </w:p>
        </w:tc>
      </w:tr>
      <w:tr>
        <w:tc>
          <w:tcPr>
            <w:tcW w:type="dxa" w:w="180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Dokter Subspesialis (Subsp.)</w:t>
            </w:r>
          </w:p>
        </w:tc>
        <w:tc>
          <w:tcPr>
            <w:tcW w:type="dxa" w:w="180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Level 9</w:t>
            </w:r>
          </w:p>
        </w:tc>
        <w:tc>
          <w:tcPr>
            <w:tcW w:type="dxa" w:w="180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Level 8</w:t>
            </w:r>
          </w:p>
        </w:tc>
        <w:tc>
          <w:tcPr>
            <w:tcW w:type="dxa" w:w="180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Level 8</w:t>
            </w:r>
          </w:p>
        </w:tc>
        <w:tc>
          <w:tcPr>
            <w:tcW w:type="dxa" w:w="180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Level 8 — Doctoral or equivalent</w:t>
            </w:r>
          </w:p>
        </w:tc>
      </w:tr>
    </w:tbl>
    <w:p>
      <w:pPr>
        <w:spacing w:after="160"/>
      </w:pPr>
    </w:p>
    <w:tbl>
      <w:tblPr>
        <w:tblW w:type="pct" w:w="100%"/>
        <w:tblBorders>
          <w:top w:val="single" w:color="4F46E5" w:sz="4"/>
          <w:left w:val="single" w:color="4F46E5" w:sz="24"/>
          <w:bottom w:val="single" w:color="4F46E5" w:sz="4"/>
          <w:right w:val="single" w:color="4F46E5" w:sz="4"/>
          <w:insideH w:val="single" w:color="auto" w:sz="4"/>
          <w:insideV w:val="single" w:color="auto" w:sz="4"/>
        </w:tblBorders>
      </w:tblPr>
      <w:tblGrid>
        <w:gridCol w:w="100"/>
      </w:tblGrid>
      <w:tr>
        <w:tc>
          <w:tcPr>
            <w:shd w:fill="F1F5F9" w:val="clear"/>
            <w:tcMar>
              <w:top w:type="dxa" w:w="160"/>
              <w:left w:type="dxa" w:w="200"/>
              <w:bottom w:type="dxa" w:w="160"/>
              <w:right w:type="dxa" w:w="200"/>
            </w:tcMar>
          </w:tcPr>
          <w:p>
            <w:pPr>
              <w:spacing w:after="80"/>
            </w:pPr>
            <w:r>
              <w:rPr>
                <w:rFonts w:ascii="IBM Plex Sans" w:cs="IBM Plex Sans" w:eastAsia="IBM Plex Sans" w:hAnsi="IBM Plex Sans"/>
                <w:b/>
                <w:bCs/>
                <w:color w:val="4F46E5"/>
                <w:sz w:val="20"/>
                <w:szCs w:val="20"/>
              </w:rPr>
              <w:t xml:space="preserve">Perbandingan dan Pengayaan Standar Internasional</w:t>
            </w:r>
          </w:p>
          <w:p>
            <w:pPr>
              <w:spacing w:after="60"/>
            </w:pPr>
            <w:r>
              <w:rPr>
                <w:rFonts w:ascii="IBM Plex Sans" w:cs="IBM Plex Sans" w:eastAsia="IBM Plex Sans" w:hAnsi="IBM Plex Sans"/>
                <w:color w:val="1E293B"/>
                <w:sz w:val="20"/>
                <w:szCs w:val="20"/>
              </w:rPr>
              <w:t xml:space="preserve">Sumber pembanding (non-superior, memperkaya bukan menggantikan):</w:t>
            </w:r>
          </w:p>
          <w:p>
            <w:pPr>
              <w:spacing w:after="60"/>
            </w:pPr>
            <w:r>
              <w:rPr>
                <w:rFonts w:ascii="IBM Plex Sans" w:cs="IBM Plex Sans" w:eastAsia="IBM Plex Sans" w:hAnsi="IBM Plex Sans"/>
                <w:color w:val="1E293B"/>
                <w:sz w:val="20"/>
                <w:szCs w:val="20"/>
              </w:rPr>
              <w:t xml:space="preserve">ISUOG (2022) — Salomon LJ, Alfirevic Z, Berghella V, dkk. ISUOG Practice Guidelines (updated): performance of the routine mid-trimester fetal ultrasound scan. Ultrasound in Obstetrics &amp; Gynecology. 2022;59(6):840–856.</w:t>
            </w:r>
          </w:p>
          <w:p>
            <w:pPr>
              <w:spacing w:after="60"/>
            </w:pPr>
            <w:r>
              <w:rPr>
                <w:rFonts w:ascii="IBM Plex Sans" w:cs="IBM Plex Sans" w:eastAsia="IBM Plex Sans" w:hAnsi="IBM Plex Sans"/>
                <w:color w:val="1E293B"/>
                <w:sz w:val="20"/>
                <w:szCs w:val="20"/>
              </w:rPr>
              <w:t xml:space="preserve">RCOG (2024) — Morris RK, Johnstone E, Lees C, Morton V, Smith G, on behalf of the Royal College of Obstetricians and Gynaecologists. Investigation and Care of a Small-for-Gestational-Age Fetus and a Growth Restricted Fetus (Green-top Guideline No. 31), 3rd ed. BJOG. 2024.</w:t>
            </w:r>
          </w:p>
          <w:p>
            <w:pPr>
              <w:spacing w:after="60"/>
            </w:pPr>
            <w:r>
              <w:rPr>
                <w:rFonts w:ascii="IBM Plex Sans" w:cs="IBM Plex Sans" w:eastAsia="IBM Plex Sans" w:hAnsi="IBM Plex Sans"/>
                <w:color w:val="1E293B"/>
                <w:sz w:val="20"/>
                <w:szCs w:val="20"/>
              </w:rPr>
              <w:t xml:space="preserve">Standar nasional (Kepkonsil) tetap menjadi acuan utama dan mengikat secara hukum di Indonesia; rujukan internasional digunakan semata sebagai pengayaan konteks pembelajaran. Sitasi lengkap dan tautan tercantum pada Daftar Pustaka.</w:t>
            </w:r>
          </w:p>
        </w:tc>
      </w:tr>
    </w:tbl>
    <w:p>
      <w:pPr>
        <w:spacing w:after="160"/>
      </w:pPr>
    </w:p>
    <w:p>
      <w:pPr>
        <w:pStyle w:val="Heading2"/>
        <w:spacing w:after="120" w:before="240"/>
      </w:pPr>
      <w:r>
        <w:rPr>
          <w:rFonts w:ascii="Source Serif 4" w:cs="Source Serif 4" w:eastAsia="Source Serif 4" w:hAnsi="Source Serif 4"/>
        </w:rPr>
        <w:t xml:space="preserve">5.2  Pemetaan Area Kompetensi terhadap Kerangka Global</w:t>
      </w:r>
    </w:p>
    <w:p>
      <w:pPr>
        <w:spacing w:after="160" w:line="300"/>
      </w:pPr>
      <w:r>
        <w:rPr>
          <w:rFonts w:ascii="IBM Plex Sans" w:cs="IBM Plex Sans" w:eastAsia="IBM Plex Sans" w:hAnsi="IBM Plex Sans"/>
          <w:color w:val="1E293B"/>
          <w:sz w:val="22"/>
          <w:szCs w:val="22"/>
        </w:rPr>
        <w:t xml:space="preserve">Tabel 3 Lampiran Kepkonsil memetakan ketujuh area kompetensi Indonesia terhadap kerangka kompetensi profesi medis di delapan negara acuan: Amerika Serikat (USA), Australia (AUS), Jepang (JPN), Jerman (DEU), Afrika Selatan (ZAF), Kanada (CAN), Inggris (GBR), dan Singapura (SGP). Pemetaan ini digunakan untuk menggambarkan tingkat konvergensi dan diferensiasi kerangka regulasi profesi medis Indonesia terhadap standar internasional, dan bukan untuk menggantikan kedudukan Kepkonsil sebagai acuan mengikat di Indonesia.</w:t>
      </w:r>
    </w:p>
    <w:p>
      <w:pPr>
        <w:spacing w:after="160" w:line="300"/>
      </w:pPr>
      <w:r>
        <w:rPr>
          <w:rFonts w:ascii="IBM Plex Sans" w:cs="IBM Plex Sans" w:eastAsia="IBM Plex Sans" w:hAnsi="IBM Plex Sans"/>
          <w:color w:val="1E293B"/>
          <w:sz w:val="22"/>
          <w:szCs w:val="22"/>
        </w:rPr>
        <w:t xml:space="preserve">Area Patient Safety and Care serta Clinical Knowledge tercatat konvergen di seluruh delapan negara acuan, menunjukkan bahwa kedua area tersebut merupakan inti universal kompetensi medis spesialis lintas sistem kesehatan. Sebagai pembanding konkret, kerangka ACGME Six Core Competencies yang berlaku di Amerika Serikat sejak 1999 — Patient Care, Medical Knowledge, Practice-Based Learning and Improvement, Interpersonal and Communication Skills, Professionalism, dan Systems-Based Practice — secara struktural memuat lima dari tujuh area kompetensi Indonesia, dengan kesadaran biaya (cost awareness) tercakup sebagai subkomponen Systems-Based Practice, bukan area tersendiri. Kerangka CanMEDS 2015 milik Royal College of Physicians and Surgeons of Canada menunjukkan pola serupa melalui tujuh Perannya (Medical Expert, Communicator, Collaborator, Leader, Health Advocate, Scholar, Professional). Rincian lengkap kesesuaian area kompetensi 3–7 untuk seluruh delapan negara belum tercantum dalam dokumen sumber yang diunggah; untuk kepentingan audit akademik lebih lanjut, pembaca disarankan merujuk langsung ke Tabel 3 Lampiran Kepkonsil.</w:t>
      </w:r>
    </w:p>
    <w:p>
      <w:pPr>
        <w:pStyle w:val="Heading1"/>
        <w:pageBreakBefore/>
      </w:pPr>
      <w:r>
        <w:rPr>
          <w:rFonts w:ascii="Source Serif 4" w:cs="Source Serif 4" w:eastAsia="Source Serif 4" w:hAnsi="Source Serif 4"/>
        </w:rPr>
        <w:t xml:space="preserve">Bab VI  Kedudukan Standar Ini dalam Kurikulum Prodi</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1F5F9" w:val="clear"/>
            <w:tcMar>
              <w:top w:type="dxa" w:w="160"/>
              <w:left w:type="dxa" w:w="200"/>
              <w:bottom w:type="dxa" w:w="160"/>
              <w:right w:type="dxa" w:w="200"/>
            </w:tcMar>
          </w:tcPr>
          <w:p>
            <w:pPr>
              <w:spacing w:after="80"/>
            </w:pPr>
            <w:r>
              <w:rPr>
                <w:rFonts w:ascii="IBM Plex Sans" w:cs="IBM Plex Sans" w:eastAsia="IBM Plex Sans" w:hAnsi="IBM Plex Sans"/>
                <w:b/>
                <w:bCs/>
                <w:color w:val="B45309"/>
                <w:sz w:val="20"/>
                <w:szCs w:val="20"/>
              </w:rPr>
              <w:t xml:space="preserve">Dasar Regulasi</w:t>
            </w:r>
          </w:p>
          <w:p>
            <w:pPr>
              <w:spacing w:after="60"/>
            </w:pPr>
            <w:r>
              <w:rPr>
                <w:rFonts w:ascii="IBM Plex Sans" w:cs="IBM Plex Sans" w:eastAsia="IBM Plex Sans" w:hAnsi="IBM Plex Sans"/>
                <w:color w:val="1E293B"/>
                <w:sz w:val="20"/>
                <w:szCs w:val="20"/>
              </w:rPr>
              <w:t xml:space="preserve">Kepkonsil No. HK.01.02/KKI/1318/2026, Diktum KETIGA huruf c–e</w:t>
            </w:r>
          </w:p>
        </w:tc>
      </w:tr>
    </w:tbl>
    <w:p>
      <w:pPr>
        <w:spacing w:after="120"/>
      </w:pPr>
    </w:p>
    <w:p>
      <w:pPr>
        <w:pStyle w:val="Heading2"/>
        <w:spacing w:after="120" w:before="240"/>
      </w:pPr>
      <w:r>
        <w:rPr>
          <w:rFonts w:ascii="Source Serif 4" w:cs="Source Serif 4" w:eastAsia="Source Serif 4" w:hAnsi="Source Serif 4"/>
        </w:rPr>
        <w:t xml:space="preserve">6.1  Penggunaan Standar sebagai Kerangka Acuan Kurikulum</w:t>
      </w:r>
    </w:p>
    <w:p>
      <w:pPr>
        <w:spacing w:after="160" w:line="300"/>
      </w:pPr>
      <w:r>
        <w:rPr>
          <w:rFonts w:ascii="IBM Plex Sans" w:cs="IBM Plex Sans" w:eastAsia="IBM Plex Sans" w:hAnsi="IBM Plex Sans"/>
          <w:color w:val="1E293B"/>
          <w:sz w:val="22"/>
          <w:szCs w:val="22"/>
        </w:rPr>
        <w:t xml:space="preserve">Diktum KETIGA huruf c–e mengatur tiga fungsi standar kompetensi ini yang secara langsung membebani Prodi dan Kolegium: (c) sebagai dasar penyusunan dan pengembangan kurikulum; (d) sebagai acuan pelaksanaan uji kompetensi atau evaluasi kompetensi; dan (e) sebagai acuan penyusunan standar profesi. Ketiga fungsi ini saling berkaitan — kurikulum yang baik disusun agar peserta didik dapat lulus uji kompetensi yang mengacu pada standar yang sama, yang pada gilirannya menjadi dasar standar profesi yang diberlakukan Kolegium.</w:t>
      </w:r>
    </w:p>
    <w:p>
      <w:pPr>
        <w:spacing w:after="160" w:line="300"/>
      </w:pPr>
      <w:r>
        <w:rPr>
          <w:rFonts w:ascii="IBM Plex Sans" w:cs="IBM Plex Sans" w:eastAsia="IBM Plex Sans" w:hAnsi="IBM Plex Sans"/>
          <w:color w:val="1E293B"/>
          <w:sz w:val="22"/>
          <w:szCs w:val="22"/>
        </w:rPr>
        <w:t xml:space="preserve">Buku Tematik B1–B14 dalam ekosistem ini masing-masing memetakan modulnya terhadap satu atau lebih dari 7 Area Kompetensi pada Bab IV buku ini, sehingga Prodi yang baru berdiri dapat langsung menyusun blok pembelajaran tanpa harus menafsirkan ulang Kepkonsil dari awal.</w:t>
      </w:r>
    </w:p>
    <w:p>
      <w:pPr>
        <w:spacing w:after="160" w:line="300"/>
      </w:pPr>
      <w:r>
        <w:rPr>
          <w:rFonts w:ascii="IBM Plex Sans" w:cs="IBM Plex Sans" w:eastAsia="IBM Plex Sans" w:hAnsi="IBM Plex Sans"/>
          <w:color w:val="1E293B"/>
          <w:sz w:val="22"/>
          <w:szCs w:val="22"/>
        </w:rPr>
        <w:t xml:space="preserve">Bagi Prodi yang baru berdiri, penyusunan kurikulum disarankan mengikuti alur tiga tahap: (1) pemetaan seluruh modul pembelajaran terhadap 7 Area Kompetensi dan 5 peta subspesialis pada Bab III dan IV buku ini; (2) penyusunan blok stase klinis mengikuti pengelompokan tematik pada Buku Tematik B1–B14, dengan kedalaman kasus mengikuti jenjang kewenangan klinis pada Bab II.3–2.4 buku ini; dan (3) penyusunan instrumen penilaian berjenjang mengikuti tingkat kepercayaan klinis yang dirujuk pada PPK terkait setiap diagnosis pada Tabel 7 Lampiran Kepkonsil.</w:t>
      </w:r>
    </w:p>
    <w:p>
      <w:pPr>
        <w:spacing w:after="160" w:line="300"/>
      </w:pPr>
      <w:r>
        <w:rPr>
          <w:rFonts w:ascii="IBM Plex Sans" w:cs="IBM Plex Sans" w:eastAsia="IBM Plex Sans" w:hAnsi="IBM Plex Sans"/>
          <w:color w:val="1E293B"/>
          <w:sz w:val="22"/>
          <w:szCs w:val="22"/>
        </w:rPr>
        <w:t xml:space="preserve">Kriteria Kinerja Minimal yang dicontohkan pada Bab IV buku ini — misalnya ambang 90% pada berbagai indikator kepatuhan, kepuasan pasien, dan ketepatan pelaporan — dapat langsung diadaptasi Prodi menjadi rubrik penilaian workplace-based assessment tanpa perlu menyusun ambang baru, karena angka tersebut sudah ditetapkan Kepkonsil sebagai kriteria kinerja minimal nasional.</w:t>
      </w:r>
    </w:p>
    <w:p>
      <w:pPr>
        <w:pStyle w:val="Heading2"/>
        <w:spacing w:after="120" w:before="240"/>
      </w:pPr>
      <w:r>
        <w:rPr>
          <w:rFonts w:ascii="Source Serif 4" w:cs="Source Serif 4" w:eastAsia="Source Serif 4" w:hAnsi="Source Serif 4"/>
        </w:rPr>
        <w:t xml:space="preserve">6.2  Perbandingan dan Pengayaan Standar Internasional</w:t>
      </w:r>
    </w:p>
    <w:p>
      <w:pPr>
        <w:spacing w:after="160" w:line="300"/>
      </w:pPr>
      <w:r>
        <w:rPr>
          <w:rFonts w:ascii="IBM Plex Sans" w:cs="IBM Plex Sans" w:eastAsia="IBM Plex Sans" w:hAnsi="IBM Plex Sans"/>
          <w:color w:val="1E293B"/>
          <w:sz w:val="22"/>
          <w:szCs w:val="22"/>
        </w:rPr>
        <w:t xml:space="preserve">Standar nasional (Kepkonsil) menetapkan kurikulum berbasis capaian dengan penilaian berjenjang sebagai kerangka wajib pendidikan SpOG di Indonesia; standar internasional yang direpresentasikan oleh WHO Recommendations on Antenatal Care for a Positive Pregnancy Experience (2016) merekomendasikan penguatan modul asuhan antenatal berbasis pengalaman positif kehamilan sebagai muatan lintas-kurikulum, sementara ICM Essential Competencies for Midwifery Practice (2024) menekankan kompetensi inti kebidanan sebagai pembanding lintas profesi untuk memperjelas batas kewenangan; praktik di Indonesia mengikuti standar nasional, dengan kedua rujukan internasional tersebut digunakan sebagai bahan pengayaan modul komunikasi dan asuhan antenatal pada Buku Tematik terkait.</w:t>
      </w:r>
    </w:p>
    <w:p>
      <w:pPr>
        <w:pStyle w:val="Heading1"/>
        <w:pageBreakBefore/>
      </w:pPr>
      <w:r>
        <w:rPr>
          <w:rFonts w:ascii="Source Serif 4" w:cs="Source Serif 4" w:eastAsia="Source Serif 4" w:hAnsi="Source Serif 4"/>
        </w:rPr>
        <w:t xml:space="preserve">Bab VII  Peta Navigasi Ekosistem Literatur</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1F5F9" w:val="clear"/>
            <w:tcMar>
              <w:top w:type="dxa" w:w="160"/>
              <w:left w:type="dxa" w:w="200"/>
              <w:bottom w:type="dxa" w:w="160"/>
              <w:right w:type="dxa" w:w="200"/>
            </w:tcMar>
          </w:tcPr>
          <w:p>
            <w:pPr>
              <w:spacing w:after="80"/>
            </w:pPr>
            <w:r>
              <w:rPr>
                <w:rFonts w:ascii="IBM Plex Sans" w:cs="IBM Plex Sans" w:eastAsia="IBM Plex Sans" w:hAnsi="IBM Plex Sans"/>
                <w:b/>
                <w:bCs/>
                <w:color w:val="B45309"/>
                <w:sz w:val="20"/>
                <w:szCs w:val="20"/>
              </w:rPr>
              <w:t xml:space="preserve">Dasar Regulasi</w:t>
            </w:r>
          </w:p>
          <w:p>
            <w:pPr>
              <w:spacing w:after="60"/>
            </w:pPr>
            <w:r>
              <w:rPr>
                <w:rFonts w:ascii="IBM Plex Sans" w:cs="IBM Plex Sans" w:eastAsia="IBM Plex Sans" w:hAnsi="IBM Plex Sans"/>
                <w:color w:val="1E293B"/>
                <w:sz w:val="20"/>
                <w:szCs w:val="20"/>
              </w:rPr>
              <w:t xml:space="preserve">Kepkonsil No. HK.01.02/KKI/1318/2026, Lampiran Bab III huruf A angka 1 (Tabel 7 — Spektrum Penyakit)</w:t>
            </w:r>
          </w:p>
        </w:tc>
      </w:tr>
    </w:tbl>
    <w:p>
      <w:pPr>
        <w:spacing w:after="120"/>
      </w:pPr>
    </w:p>
    <w:p>
      <w:pPr>
        <w:pStyle w:val="Heading2"/>
        <w:spacing w:after="120" w:before="240"/>
      </w:pPr>
      <w:r>
        <w:rPr>
          <w:rFonts w:ascii="Source Serif 4" w:cs="Source Serif 4" w:eastAsia="Source Serif 4" w:hAnsi="Source Serif 4"/>
        </w:rPr>
        <w:t xml:space="preserve">7.1  Struktur 96 Dokumen dalam Ekosistem</w:t>
      </w:r>
    </w:p>
    <w:p>
      <w:pPr>
        <w:spacing w:after="160" w:line="300"/>
      </w:pPr>
      <w:r>
        <w:rPr>
          <w:rFonts w:ascii="IBM Plex Sans" w:cs="IBM Plex Sans" w:eastAsia="IBM Plex Sans" w:hAnsi="IBM Plex Sans"/>
          <w:color w:val="1E293B"/>
          <w:sz w:val="22"/>
          <w:szCs w:val="22"/>
        </w:rPr>
        <w:t xml:space="preserve">Ekosistem literatur standar SpOG terdiri atas 96 dokumen yang tersusun dalam empat kategori: 1 Buku Utama (dokumen ini), 14 Buku Tematik (B1–B14), 73 Panduan Praktik Klinis / PPK (dokumen 16–88), dan 8 Panduan Praktik Klinis Kelompok/Komunitas / PPKK (dokumen 89–96). Setiap PPK berpadanan satu-ke-satu dengan satu entri diagnosis pada Tabel 7 Lampiran Kepkonsil (Spektrum Penyakit dan Kondisi Klinis yang Ditangani Spesialis Obstetri dan Ginekologi, memuat nama penyakit dalam bahasa Indonesia dan Inggris, kode ICD-10, kode ICD-11, serta keterangan populasi), sedangkan setiap PPKK berpadanan dengan satu program layanan berbasis kelompok/komunitas yang merujuk pada satu atau lebih PPK sebagai tujuan rujukan kasus berisiko individual.</w:t>
      </w:r>
    </w:p>
    <w:p>
      <w:pPr>
        <w:spacing w:after="160" w:line="300"/>
      </w:pPr>
      <w:r>
        <w:rPr>
          <w:rFonts w:ascii="IBM Plex Sans" w:cs="IBM Plex Sans" w:eastAsia="IBM Plex Sans" w:hAnsi="IBM Plex Sans"/>
          <w:color w:val="1E293B"/>
          <w:sz w:val="22"/>
          <w:szCs w:val="22"/>
        </w:rPr>
        <w:t xml:space="preserve">Urutan pengerjaan yang direkomendasikan adalah: Buku Utama terlebih dahulu sebagai fondasi rujukan silang; kemudian Buku Tematik B1–B14 berurutan; kemudian 73 PPK dikelompokkan per Buku Tematik induknya agar konteks tematik tetap segar; dan PPKK dikerjakan paling akhir karena bergantung pada PPK yang sudah tuntas.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20"/>
                <w:szCs w:val="20"/>
              </w:rPr>
              <w:t xml:space="preserve">Kategori</w:t>
            </w:r>
          </w:p>
        </w:tc>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20"/>
                <w:szCs w:val="20"/>
              </w:rPr>
              <w:t xml:space="preserve">Rentang Dokumen</w:t>
            </w:r>
          </w:p>
        </w:tc>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20"/>
                <w:szCs w:val="20"/>
              </w:rPr>
              <w:t xml:space="preserve">Jumlah</w:t>
            </w:r>
          </w:p>
        </w:tc>
        <w:tc>
          <w:tcPr>
            <w:tcW w:type="dxa" w:w="225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20"/>
                <w:szCs w:val="20"/>
              </w:rPr>
              <w:t xml:space="preserve">Unit Analisis</w:t>
            </w:r>
          </w:p>
        </w:tc>
      </w:tr>
      <w:tr>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Buku Utama</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01</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1</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Ekosistem literatur (anchor)</w:t>
            </w:r>
          </w:p>
        </w:tc>
      </w:tr>
      <w:tr>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Buku Tematik</w:t>
            </w:r>
          </w:p>
        </w:tc>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02–15</w:t>
            </w:r>
          </w:p>
        </w:tc>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14</w:t>
            </w:r>
          </w:p>
        </w:tc>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Domain klinis / tema lintas-subspesialis</w:t>
            </w:r>
          </w:p>
        </w:tc>
      </w:tr>
      <w:tr>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PPK</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16–88</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73</w:t>
            </w:r>
          </w:p>
        </w:tc>
        <w:tc>
          <w:tcPr>
            <w:tcW w:type="dxa" w:w="225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1 pasien, 1 episode layanan (per entri Tabel 7 Lampiran Kepkonsil)</w:t>
            </w:r>
          </w:p>
        </w:tc>
      </w:tr>
      <w:tr>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PPKK</w:t>
            </w:r>
          </w:p>
        </w:tc>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89–96</w:t>
            </w:r>
          </w:p>
        </w:tc>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8</w:t>
            </w:r>
          </w:p>
        </w:tc>
        <w:tc>
          <w:tcPr>
            <w:tcW w:type="dxa" w:w="225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Kelompok/populasi, 1 sesi/program layanan</w:t>
            </w:r>
          </w:p>
        </w:tc>
      </w:tr>
    </w:tbl>
    <w:p>
      <w:pPr>
        <w:spacing w:after="160"/>
      </w:pPr>
    </w:p>
    <w:p>
      <w:pPr>
        <w:pStyle w:val="Heading2"/>
        <w:spacing w:after="120" w:before="240"/>
      </w:pPr>
      <w:r>
        <w:rPr>
          <w:rFonts w:ascii="Source Serif 4" w:cs="Source Serif 4" w:eastAsia="Source Serif 4" w:hAnsi="Source Serif 4"/>
        </w:rPr>
        <w:t xml:space="preserve">7.2  Tabel Silang: Tabel 7 Lampiran Kepkonsil → Buku Tematik → PPK Terkait</w:t>
      </w:r>
    </w:p>
    <w:p>
      <w:pPr>
        <w:spacing w:after="160" w:line="300"/>
      </w:pPr>
      <w:r>
        <w:rPr>
          <w:rFonts w:ascii="IBM Plex Sans" w:cs="IBM Plex Sans" w:eastAsia="IBM Plex Sans" w:hAnsi="IBM Plex Sans"/>
          <w:color w:val="1E293B"/>
          <w:sz w:val="22"/>
          <w:szCs w:val="22"/>
        </w:rPr>
        <w:t xml:space="preserve">Tabel silang berikut memuat contoh pemetaan awal antara kelompok entri diagnosis pada Tabel 7 Lampiran Kepkonsil, Buku Tematik yang menaunginya secara konseptual, dan kelompok PPK yang menjabarkannya pada tingkat pasien-perorangan. Pemetaan lengkap dan definitif atas seluruh 73 entri disusun secara rinci pada masing-masing Buku Tematik B1–B14 saat dokumen tersebut dikerjakan, dan wajib diverifikasi ulang terhadap Tabel 7 Lampiran Kepkonsil sesuai Aturan 12 Perintah Umum — tabel di bawah ini bersifat indikatif-navigasional, bukan otoritatif.</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20"/>
                <w:szCs w:val="20"/>
              </w:rPr>
              <w:t xml:space="preserve">Kelompok Entri Tabel 7</w:t>
            </w:r>
          </w:p>
        </w:tc>
        <w:tc>
          <w:tcPr>
            <w:tcW w:type="dxa" w:w="30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20"/>
                <w:szCs w:val="20"/>
              </w:rPr>
              <w:t xml:space="preserve">Buku Tematik Terkait</w:t>
            </w:r>
          </w:p>
        </w:tc>
        <w:tc>
          <w:tcPr>
            <w:tcW w:type="dxa" w:w="3000"/>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20"/>
                <w:szCs w:val="20"/>
              </w:rPr>
              <w:t xml:space="preserve">Kelompok PPK</w:t>
            </w:r>
          </w:p>
        </w:tc>
      </w:tr>
      <w:tr>
        <w:tc>
          <w:tcPr>
            <w:tcW w:type="dxa" w:w="300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Komplikasi Kehamilan &amp; Persalinan Berisiko Tinggi</w:t>
            </w:r>
          </w:p>
        </w:tc>
        <w:tc>
          <w:tcPr>
            <w:tcW w:type="dxa" w:w="300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Buku Tematik — Kedokteran Fetomaternal</w:t>
            </w:r>
          </w:p>
        </w:tc>
        <w:tc>
          <w:tcPr>
            <w:tcW w:type="dxa" w:w="300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PPK kelompok Fetomaternal</w:t>
            </w:r>
          </w:p>
        </w:tc>
      </w:tr>
      <w:tr>
        <w:tc>
          <w:tcPr>
            <w:tcW w:type="dxa" w:w="300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Gangguan Kesuburan &amp; Endokrinologi Reproduksi</w:t>
            </w:r>
          </w:p>
        </w:tc>
        <w:tc>
          <w:tcPr>
            <w:tcW w:type="dxa" w:w="300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Buku Tematik — Fertilitas &amp; Endokrinologi Reproduksi</w:t>
            </w:r>
          </w:p>
        </w:tc>
        <w:tc>
          <w:tcPr>
            <w:tcW w:type="dxa" w:w="300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PPK kelompok Fertilitas &amp; Endokrinologi Reproduksi</w:t>
            </w:r>
          </w:p>
        </w:tc>
      </w:tr>
      <w:tr>
        <w:tc>
          <w:tcPr>
            <w:tcW w:type="dxa" w:w="300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Keganasan Organ Reproduksi Perempuan</w:t>
            </w:r>
          </w:p>
        </w:tc>
        <w:tc>
          <w:tcPr>
            <w:tcW w:type="dxa" w:w="300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Buku Tematik — Onkologi Ginekologi</w:t>
            </w:r>
          </w:p>
        </w:tc>
        <w:tc>
          <w:tcPr>
            <w:tcW w:type="dxa" w:w="300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PPK kelompok Onkologi Ginekologi</w:t>
            </w:r>
          </w:p>
        </w:tc>
      </w:tr>
      <w:tr>
        <w:tc>
          <w:tcPr>
            <w:tcW w:type="dxa" w:w="300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Kesehatan Reproduksi Berbasis Populasi</w:t>
            </w:r>
          </w:p>
        </w:tc>
        <w:tc>
          <w:tcPr>
            <w:tcW w:type="dxa" w:w="300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Buku Tematik — Obstetri Ginekologi Sosial</w:t>
            </w:r>
          </w:p>
        </w:tc>
        <w:tc>
          <w:tcPr>
            <w:tcW w:type="dxa" w:w="3000"/>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PPK kelompok Obstetri Ginekologi Sosial</w:t>
            </w:r>
          </w:p>
        </w:tc>
      </w:tr>
      <w:tr>
        <w:tc>
          <w:tcPr>
            <w:tcW w:type="dxa" w:w="300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Gangguan Dasar Panggul Perempuan</w:t>
            </w:r>
          </w:p>
        </w:tc>
        <w:tc>
          <w:tcPr>
            <w:tcW w:type="dxa" w:w="300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Buku Tematik — Uroginekologi Rekonstruksi</w:t>
            </w:r>
          </w:p>
        </w:tc>
        <w:tc>
          <w:tcPr>
            <w:tcW w:type="dxa" w:w="3000"/>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PPK kelompok Uroginekologi Rekonstruksi</w:t>
            </w:r>
          </w:p>
        </w:tc>
      </w:tr>
    </w:tbl>
    <w:p>
      <w:pPr>
        <w:spacing w:after="160"/>
      </w:pPr>
    </w:p>
    <w:p>
      <w:pPr>
        <w:pStyle w:val="Heading1"/>
        <w:pageBreakBefore/>
      </w:pPr>
      <w:r>
        <w:rPr>
          <w:rFonts w:ascii="Source Serif 4" w:cs="Source Serif 4" w:eastAsia="Source Serif 4" w:hAnsi="Source Serif 4"/>
        </w:rPr>
        <w:t xml:space="preserve">Bab VIII  Ringkasan dan Panduan Penggunaan Buku ini</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1F5F9" w:val="clear"/>
            <w:tcMar>
              <w:top w:type="dxa" w:w="160"/>
              <w:left w:type="dxa" w:w="200"/>
              <w:bottom w:type="dxa" w:w="160"/>
              <w:right w:type="dxa" w:w="200"/>
            </w:tcMar>
          </w:tcPr>
          <w:p>
            <w:pPr>
              <w:spacing w:after="80"/>
            </w:pPr>
            <w:r>
              <w:rPr>
                <w:rFonts w:ascii="IBM Plex Sans" w:cs="IBM Plex Sans" w:eastAsia="IBM Plex Sans" w:hAnsi="IBM Plex Sans"/>
                <w:b/>
                <w:bCs/>
                <w:color w:val="B45309"/>
                <w:sz w:val="20"/>
                <w:szCs w:val="20"/>
              </w:rPr>
              <w:t xml:space="preserve">Dasar Regulasi</w:t>
            </w:r>
          </w:p>
          <w:p>
            <w:pPr>
              <w:spacing w:after="60"/>
            </w:pPr>
            <w:r>
              <w:rPr>
                <w:rFonts w:ascii="IBM Plex Sans" w:cs="IBM Plex Sans" w:eastAsia="IBM Plex Sans" w:hAnsi="IBM Plex Sans"/>
                <w:color w:val="1E293B"/>
                <w:sz w:val="20"/>
                <w:szCs w:val="20"/>
              </w:rPr>
              <w:t xml:space="preserve">Kepkonsil No. HK.01.02/KKI/1318/2026, Diktum KESATU–KELIMA (rangkuman menyeluruh)</w:t>
            </w:r>
          </w:p>
        </w:tc>
      </w:tr>
    </w:tbl>
    <w:p>
      <w:pPr>
        <w:spacing w:after="120"/>
      </w:pPr>
    </w:p>
    <w:p>
      <w:pPr>
        <w:pStyle w:val="Heading2"/>
        <w:spacing w:after="120" w:before="240"/>
      </w:pPr>
      <w:r>
        <w:rPr>
          <w:rFonts w:ascii="Source Serif 4" w:cs="Source Serif 4" w:eastAsia="Source Serif 4" w:hAnsi="Source Serif 4"/>
        </w:rPr>
        <w:t xml:space="preserve">8.1  Ringkasan Isi</w:t>
      </w:r>
    </w:p>
    <w:p>
      <w:pPr>
        <w:spacing w:after="160" w:line="300"/>
      </w:pPr>
      <w:r>
        <w:rPr>
          <w:rFonts w:ascii="IBM Plex Sans" w:cs="IBM Plex Sans" w:eastAsia="IBM Plex Sans" w:hAnsi="IBM Plex Sans"/>
          <w:color w:val="1E293B"/>
          <w:sz w:val="22"/>
          <w:szCs w:val="22"/>
        </w:rPr>
        <w:t xml:space="preserve">Buku ini telah menguraikan definisi operasional dan ruang lingkup standar kompetensi SpOG berikut kedalaman kasus per jenjang (Bab II), peta 5 subspesialis resmi (Bab III), struktur 7 Area Kompetensi lengkap dengan contoh indikator kinerja (Bab IV), kesetaraan jenjang kualifikasi KKNI/AQRF/EQF/ISCED (Bab V), kedudukan standar dalam kurikulum Prodi (Bab VI), serta peta navigasi menyeluruh atas 96 dokumen ekosistem literatur (Bab VII). Bersama-sama, ketujuh bab substantif ini menjadi fondasi rujukan silang bagi seluruh Buku Tematik, PPK, dan PPKK yang menyusul, dan seluruhnya ditelusuri langsung ke teks Kepkonsil No. HK.01.02/KKI/1318/2026 sebagaimana diunggah sebagai dokumen sumber.</w:t>
      </w:r>
    </w:p>
    <w:p>
      <w:pPr>
        <w:pStyle w:val="Heading2"/>
        <w:spacing w:after="120" w:before="240"/>
      </w:pPr>
      <w:r>
        <w:rPr>
          <w:rFonts w:ascii="Source Serif 4" w:cs="Source Serif 4" w:eastAsia="Source Serif 4" w:hAnsi="Source Serif 4"/>
        </w:rPr>
        <w:t xml:space="preserve">8.2  Panduan Penggunaan bagi Pembaca</w:t>
      </w:r>
    </w:p>
    <w:p>
      <w:pPr>
        <w:spacing w:after="160" w:line="300"/>
      </w:pPr>
      <w:r>
        <w:rPr>
          <w:rFonts w:ascii="IBM Plex Sans" w:cs="IBM Plex Sans" w:eastAsia="IBM Plex Sans" w:hAnsi="IBM Plex Sans"/>
          <w:color w:val="1E293B"/>
          <w:sz w:val="22"/>
          <w:szCs w:val="22"/>
        </w:rPr>
        <w:t xml:space="preserve">Peserta didik baru disarankan membaca Bab I–IV secara berurutan sebagai orientasi awal sebelum menentukan minat subspesialisasi. Pembimbing klinis baru disarankan menekankan Bab IV dan Bab VI sebagai dasar penyusunan instrumen penilaian berbasis kompetensi di stase klinis. Prodi yang baru berdiri disarankan menggunakan Bab V, VI, dan VII secara langsung sebagai kerangka penyusunan kurikulum inti dan peta dokumen rujukan sebelum menyusun modul lokal tambahan.</w:t>
      </w:r>
    </w:p>
    <w:p>
      <w:pPr>
        <w:spacing w:after="160" w:line="300"/>
      </w:pPr>
      <w:r>
        <w:rPr>
          <w:rFonts w:ascii="IBM Plex Sans" w:cs="IBM Plex Sans" w:eastAsia="IBM Plex Sans" w:hAnsi="IBM Plex Sans"/>
          <w:color w:val="1E293B"/>
          <w:sz w:val="22"/>
          <w:szCs w:val="22"/>
        </w:rPr>
        <w:t xml:space="preserve">Pembaca yang memerlukan uraian klinis mendalam pada satu domain tertentu diarahkan ke Buku Tematik yang berpadanan (Bab VII); pembaca yang memerlukan panduan tata laksana satu diagnosis spesifik diarahkan ke PPK terkait; dan pembaca yang mengelola program layanan berbasis kelompok/komunitas diarahkan ke PPKK terkait. Sesuai Lampiran Bab IV Kepkonsil (Penutup), Standar Kompetensi ini diharapkan menjadi acuan utama dan landasan normatif bagi lulusan dalam menjalankan tugas, fungsi, kewenangan, serta tanggung jawab praktik kedokteran yang bermutu, aman, dan beretika, dan penerapannya memerlukan dukungan, komitmen, serta kolaborasi berkelanjutan dari pemerintah, institusi pendidikan, kolegium, rumah sakit pendidikan, dan organisasi profesi.</w:t>
      </w:r>
    </w:p>
    <w:p>
      <w:pPr>
        <w:spacing w:after="160" w:line="300"/>
      </w:pPr>
      <w:r>
        <w:rPr>
          <w:rFonts w:ascii="IBM Plex Sans" w:cs="IBM Plex Sans" w:eastAsia="IBM Plex Sans" w:hAnsi="IBM Plex Sans"/>
          <w:color w:val="1E293B"/>
          <w:sz w:val="22"/>
          <w:szCs w:val="22"/>
        </w:rPr>
        <w:t xml:space="preserve">Istilah baku, daftar pustaka lengkap, dan glosarium 22 definisi operasional disediakan pada bagian akhir buku ini sebagai referensi cepat tanpa perlu membuka kembali seluruh bab.</w:t>
      </w:r>
    </w:p>
    <w:p>
      <w:pPr>
        <w:pStyle w:val="Heading1"/>
        <w:pageBreakBefore/>
      </w:pPr>
      <w:r>
        <w:rPr>
          <w:rFonts w:ascii="Source Serif 4" w:cs="Source Serif 4" w:eastAsia="Source Serif 4" w:hAnsi="Source Serif 4"/>
        </w:rPr>
        <w:t xml:space="preserve">Daftar Pustaka</w:t>
      </w:r>
    </w:p>
    <w:p>
      <w:pPr>
        <w:spacing w:after="160" w:line="300"/>
      </w:pPr>
      <w:r>
        <w:rPr>
          <w:rFonts w:ascii="IBM Plex Sans" w:cs="IBM Plex Sans" w:eastAsia="IBM Plex Sans" w:hAnsi="IBM Plex Sans"/>
          <w:color w:val="1E293B"/>
          <w:sz w:val="22"/>
          <w:szCs w:val="22"/>
        </w:rPr>
        <w:t xml:space="preserve">Seluruh rujukan internasional yang dikutip dalam buku ini bersifat pembanding non-superior terhadap Kepkonsil No. HK.01.02/KKI/1318/2026 sebagai acuan utama dan mengikat secara hukum di Indonesia. Setiap entri telah diverifikasi memiliki judul, penerbit, tahun terbit, dan tautan resmi yang nyata pada saat buku ini disusun.</w:t>
      </w:r>
    </w:p>
    <w:p>
      <w:pPr>
        <w:spacing w:after="60" w:line="280"/>
      </w:pPr>
      <w:r>
        <w:rPr>
          <w:rFonts w:ascii="IBM Plex Sans" w:cs="IBM Plex Sans" w:eastAsia="IBM Plex Sans" w:hAnsi="IBM Plex Sans"/>
          <w:color w:val="1E293B"/>
          <w:sz w:val="21"/>
          <w:szCs w:val="21"/>
        </w:rPr>
        <w:t xml:space="preserve">Accreditation Council for Graduate Medical Education. The Milestones Guidebook — Six Core Competency Domains (Patient Care, Medical Knowledge, Practice-Based Learning and Improvement, Interpersonal and Communication Skills, Professionalism, Systems-Based Practice). Chicago: ACGME.</w:t>
      </w:r>
    </w:p>
    <w:p>
      <w:pPr>
        <w:spacing w:after="180"/>
      </w:pPr>
      <w:r>
        <w:rPr>
          <w:rFonts w:ascii="IBM Plex Mono" w:cs="IBM Plex Mono" w:eastAsia="IBM Plex Mono" w:hAnsi="IBM Plex Mono"/>
          <w:color w:val="4F46E5"/>
          <w:sz w:val="18"/>
          <w:szCs w:val="18"/>
        </w:rPr>
        <w:t xml:space="preserve">https://www.acgme.org/globalassets/milestonesguidebook.pdf</w:t>
      </w:r>
    </w:p>
    <w:p>
      <w:pPr>
        <w:spacing w:after="60" w:line="280"/>
      </w:pPr>
      <w:r>
        <w:rPr>
          <w:rFonts w:ascii="IBM Plex Sans" w:cs="IBM Plex Sans" w:eastAsia="IBM Plex Sans" w:hAnsi="IBM Plex Sans"/>
          <w:color w:val="1E293B"/>
          <w:sz w:val="21"/>
          <w:szCs w:val="21"/>
        </w:rPr>
        <w:t xml:space="preserve">American College of Obstetricians and Gynecologists. Fetal Growth Restriction. ACOG Practice Bulletin No. 227. Obstetrics &amp; Gynecology. 2021;137(2):e16–e28.</w:t>
      </w:r>
    </w:p>
    <w:p>
      <w:pPr>
        <w:spacing w:after="180"/>
      </w:pPr>
      <w:r>
        <w:rPr>
          <w:rFonts w:ascii="IBM Plex Mono" w:cs="IBM Plex Mono" w:eastAsia="IBM Plex Mono" w:hAnsi="IBM Plex Mono"/>
          <w:color w:val="4F46E5"/>
          <w:sz w:val="18"/>
          <w:szCs w:val="18"/>
        </w:rPr>
        <w:t xml:space="preserve">https://www.acog.org/clinical/clinical-guidance/practice-bulletin/articles/2021/02/fetal-growth-restriction</w:t>
      </w:r>
    </w:p>
    <w:p>
      <w:pPr>
        <w:spacing w:after="60" w:line="280"/>
      </w:pPr>
      <w:r>
        <w:rPr>
          <w:rFonts w:ascii="IBM Plex Sans" w:cs="IBM Plex Sans" w:eastAsia="IBM Plex Sans" w:hAnsi="IBM Plex Sans"/>
          <w:color w:val="1E293B"/>
          <w:sz w:val="21"/>
          <w:szCs w:val="21"/>
        </w:rPr>
        <w:t xml:space="preserve">Frank JR, Snell L, Sherbino J, editors. CanMEDS 2015 Physician Competency Framework. Ottawa: Royal College of Physicians and Surgeons of Canada; 2015.</w:t>
      </w:r>
    </w:p>
    <w:p>
      <w:pPr>
        <w:spacing w:after="180"/>
      </w:pPr>
      <w:r>
        <w:rPr>
          <w:rFonts w:ascii="IBM Plex Mono" w:cs="IBM Plex Mono" w:eastAsia="IBM Plex Mono" w:hAnsi="IBM Plex Mono"/>
          <w:color w:val="4F46E5"/>
          <w:sz w:val="18"/>
          <w:szCs w:val="18"/>
        </w:rPr>
        <w:t xml:space="preserve">https://www.royalcollege.ca/content/dam/document/standards-and-accreditation/2015-canmeds-framework-reduced-e.pdf</w:t>
      </w:r>
    </w:p>
    <w:p>
      <w:pPr>
        <w:spacing w:after="60" w:line="280"/>
      </w:pPr>
      <w:r>
        <w:rPr>
          <w:rFonts w:ascii="IBM Plex Sans" w:cs="IBM Plex Sans" w:eastAsia="IBM Plex Sans" w:hAnsi="IBM Plex Sans"/>
          <w:color w:val="1E293B"/>
          <w:sz w:val="21"/>
          <w:szCs w:val="21"/>
        </w:rPr>
        <w:t xml:space="preserve">International Confederation of Midwives. ICM Essential Competencies for Midwifery Practice. The Hague: International Confederation of Midwives; 2024.</w:t>
      </w:r>
    </w:p>
    <w:p>
      <w:pPr>
        <w:spacing w:after="180"/>
      </w:pPr>
      <w:r>
        <w:rPr>
          <w:rFonts w:ascii="IBM Plex Mono" w:cs="IBM Plex Mono" w:eastAsia="IBM Plex Mono" w:hAnsi="IBM Plex Mono"/>
          <w:color w:val="4F46E5"/>
          <w:sz w:val="18"/>
          <w:szCs w:val="18"/>
        </w:rPr>
        <w:t xml:space="preserve">https://internationalmidwives.org/resources/essential-competencies-for-midwifery-practice/</w:t>
      </w:r>
    </w:p>
    <w:p>
      <w:pPr>
        <w:spacing w:after="60" w:line="280"/>
      </w:pPr>
      <w:r>
        <w:rPr>
          <w:rFonts w:ascii="IBM Plex Sans" w:cs="IBM Plex Sans" w:eastAsia="IBM Plex Sans" w:hAnsi="IBM Plex Sans"/>
          <w:color w:val="1E293B"/>
          <w:sz w:val="21"/>
          <w:szCs w:val="21"/>
        </w:rPr>
        <w:t xml:space="preserve">Morris RK, Johnstone E, Lees C, Morton V, Smith G, on behalf of the Royal College of Obstetricians and Gynaecologists. Investigation and Care of a Small-for-Gestational-Age Fetus and a Growth Restricted Fetus (Green-top Guideline No. 31), 3rd ed. BJOG. 2024.</w:t>
      </w:r>
    </w:p>
    <w:p>
      <w:pPr>
        <w:spacing w:after="180"/>
      </w:pPr>
      <w:r>
        <w:rPr>
          <w:rFonts w:ascii="IBM Plex Mono" w:cs="IBM Plex Mono" w:eastAsia="IBM Plex Mono" w:hAnsi="IBM Plex Mono"/>
          <w:color w:val="4F46E5"/>
          <w:sz w:val="18"/>
          <w:szCs w:val="18"/>
        </w:rPr>
        <w:t xml:space="preserve">https://www.rcog.org.uk/guidance/browse-all-guidance/green-top-guidelines/small-for-gestational-age-fetus-and-a-growth-restricted-fetus-investigation-and-care-green-top-guideline-no-31/</w:t>
      </w:r>
    </w:p>
    <w:p>
      <w:pPr>
        <w:spacing w:after="60" w:line="280"/>
      </w:pPr>
      <w:r>
        <w:rPr>
          <w:rFonts w:ascii="IBM Plex Sans" w:cs="IBM Plex Sans" w:eastAsia="IBM Plex Sans" w:hAnsi="IBM Plex Sans"/>
          <w:color w:val="1E293B"/>
          <w:sz w:val="21"/>
          <w:szCs w:val="21"/>
        </w:rPr>
        <w:t xml:space="preserve">Poon LC, Shennan A, Hyett JA, dkk. The International Federation of Gynecology and Obstetrics (FIGO) initiative on pre-eclampsia: a pragmatic guide for first-trimester screening and prevention. International Journal of Gynecology &amp; Obstetrics. 2019;145(Suppl. 1):1–33.</w:t>
      </w:r>
    </w:p>
    <w:p>
      <w:pPr>
        <w:spacing w:after="180"/>
      </w:pPr>
      <w:r>
        <w:rPr>
          <w:rFonts w:ascii="IBM Plex Mono" w:cs="IBM Plex Mono" w:eastAsia="IBM Plex Mono" w:hAnsi="IBM Plex Mono"/>
          <w:color w:val="4F46E5"/>
          <w:sz w:val="18"/>
          <w:szCs w:val="18"/>
        </w:rPr>
        <w:t xml:space="preserve">https://www.figo.org/figo-releases-new-guidelines-combat-pre-eclampsia</w:t>
      </w:r>
    </w:p>
    <w:p>
      <w:pPr>
        <w:spacing w:after="60" w:line="280"/>
      </w:pPr>
      <w:r>
        <w:rPr>
          <w:rFonts w:ascii="IBM Plex Sans" w:cs="IBM Plex Sans" w:eastAsia="IBM Plex Sans" w:hAnsi="IBM Plex Sans"/>
          <w:color w:val="1E293B"/>
          <w:sz w:val="21"/>
          <w:szCs w:val="21"/>
        </w:rPr>
        <w:t xml:space="preserve">Salomon LJ, Alfirevic Z, Berghella V, dkk. ISUOG Practice Guidelines (updated): performance of the routine mid-trimester fetal ultrasound scan. Ultrasound in Obstetrics &amp; Gynecology. 2022;59(6):840–856.</w:t>
      </w:r>
    </w:p>
    <w:p>
      <w:pPr>
        <w:spacing w:after="180"/>
      </w:pPr>
      <w:r>
        <w:rPr>
          <w:rFonts w:ascii="IBM Plex Mono" w:cs="IBM Plex Mono" w:eastAsia="IBM Plex Mono" w:hAnsi="IBM Plex Mono"/>
          <w:color w:val="4F46E5"/>
          <w:sz w:val="18"/>
          <w:szCs w:val="18"/>
        </w:rPr>
        <w:t xml:space="preserve">https://obgyn.onlinelibrary.wiley.com/doi/10.1002/uog.24888</w:t>
      </w:r>
    </w:p>
    <w:p>
      <w:pPr>
        <w:spacing w:after="60" w:line="280"/>
      </w:pPr>
      <w:r>
        <w:rPr>
          <w:rFonts w:ascii="IBM Plex Sans" w:cs="IBM Plex Sans" w:eastAsia="IBM Plex Sans" w:hAnsi="IBM Plex Sans"/>
          <w:color w:val="1E293B"/>
          <w:sz w:val="21"/>
          <w:szCs w:val="21"/>
        </w:rPr>
        <w:t xml:space="preserve">World Health Organization. WHO Recommendations on Antenatal Care for a Positive Pregnancy Experience. Geneva: World Health Organization; 2016.</w:t>
      </w:r>
    </w:p>
    <w:p>
      <w:pPr>
        <w:spacing w:after="180"/>
      </w:pPr>
      <w:r>
        <w:rPr>
          <w:rFonts w:ascii="IBM Plex Mono" w:cs="IBM Plex Mono" w:eastAsia="IBM Plex Mono" w:hAnsi="IBM Plex Mono"/>
          <w:color w:val="4F46E5"/>
          <w:sz w:val="18"/>
          <w:szCs w:val="18"/>
        </w:rPr>
        <w:t xml:space="preserve">https://www.who.int/publications/i/item/9789241549912</w:t>
      </w:r>
    </w:p>
    <w:p>
      <w:pPr>
        <w:spacing w:after="160" w:line="300"/>
      </w:pPr>
      <w:r>
        <w:rPr>
          <w:rFonts w:ascii="IBM Plex Sans" w:cs="IBM Plex Sans" w:eastAsia="IBM Plex Sans" w:hAnsi="IBM Plex Sans"/>
          <w:color w:val="1E293B"/>
          <w:sz w:val="22"/>
          <w:szCs w:val="22"/>
        </w:rPr>
        <w:t xml:space="preserve">Dasar hukum nasional: Keputusan Ketua Konsil Kesehatan Indonesia No. HK.01.02/KKI/1318/2026 tentang Standar Kompetensi Dokter Spesialis dan Subspesialis Bidang Obstetri dan Ginekologi (“Kepkonsil”), ditetapkan di Jakarta pada 7 Mei 2026.</w:t>
      </w:r>
    </w:p>
    <w:p>
      <w:pPr>
        <w:pStyle w:val="Heading1"/>
        <w:pageBreakBefore/>
      </w:pPr>
      <w:r>
        <w:rPr>
          <w:rFonts w:ascii="Source Serif 4" w:cs="Source Serif 4" w:eastAsia="Source Serif 4" w:hAnsi="Source Serif 4"/>
        </w:rPr>
        <w:t xml:space="preserve">Glosarium</w:t>
      </w:r>
    </w:p>
    <w:p>
      <w:pPr>
        <w:spacing w:after="160" w:line="300"/>
      </w:pPr>
      <w:r>
        <w:rPr>
          <w:rFonts w:ascii="IBM Plex Sans" w:cs="IBM Plex Sans" w:eastAsia="IBM Plex Sans" w:hAnsi="IBM Plex Sans"/>
          <w:color w:val="1E293B"/>
          <w:sz w:val="22"/>
          <w:szCs w:val="22"/>
        </w:rPr>
        <w:t xml:space="preserve">Glosarium berikut memuat 22 istilah baku sebagaimana Definisi Operasional pada Lampiran Bab I huruf D Kepkonsil No. HK.01.02/KKI/1318/2026, disusun alfabetis, dan menjadi rujukan istilah bagi seluruh dokumen dalam ekosistem literatur Perpustakaan Digital ABBA.</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400"/>
        <w:gridCol w:w="6600"/>
      </w:tblGrid>
      <w:tr>
        <w:trPr>
          <w:tblHeader/>
        </w:trPr>
        <w:tc>
          <w:tcPr>
            <w:shd w:fill="4F46E5" w:val="clear"/>
            <w:tcMar>
              <w:top w:type="dxa" w:w="100"/>
              <w:left w:type="dxa" w:w="120"/>
              <w:bottom w:type="dxa" w:w="100"/>
              <w:right w:type="dxa" w:w="120"/>
            </w:tcMar>
          </w:tcPr>
          <w:p>
            <w:r>
              <w:rPr>
                <w:rFonts w:ascii="IBM Plex Sans" w:cs="IBM Plex Sans" w:eastAsia="IBM Plex Sans" w:hAnsi="IBM Plex Sans"/>
                <w:b/>
                <w:bCs/>
                <w:color w:val="FFFFFF"/>
                <w:sz w:val="20"/>
                <w:szCs w:val="20"/>
              </w:rPr>
              <w:t xml:space="preserve">Istilah</w:t>
            </w:r>
          </w:p>
        </w:tc>
        <w:tc>
          <w:tcPr>
            <w:shd w:fill="4F46E5" w:val="clear"/>
            <w:tcMar>
              <w:top w:type="dxa" w:w="100"/>
              <w:left w:type="dxa" w:w="120"/>
              <w:bottom w:type="dxa" w:w="100"/>
              <w:right w:type="dxa" w:w="120"/>
            </w:tcMar>
          </w:tcPr>
          <w:p>
            <w:r>
              <w:rPr>
                <w:rFonts w:ascii="IBM Plex Sans" w:cs="IBM Plex Sans" w:eastAsia="IBM Plex Sans" w:hAnsi="IBM Plex Sans"/>
                <w:b/>
                <w:bCs/>
                <w:color w:val="FFFFFF"/>
                <w:sz w:val="20"/>
                <w:szCs w:val="20"/>
              </w:rPr>
              <w:t xml:space="preserve">Definisi</w:t>
            </w:r>
          </w:p>
        </w:tc>
      </w:tr>
      <w:tr>
        <w:tc>
          <w:tcPr>
            <w:shd w:fill="FFFFFF" w:val="clear"/>
            <w:tcMar>
              <w:top w:type="dxa" w:w="100"/>
              <w:left w:type="dxa" w:w="120"/>
              <w:bottom w:type="dxa" w:w="100"/>
              <w:right w:type="dxa" w:w="120"/>
            </w:tcMar>
          </w:tcPr>
          <w:p>
            <w:r>
              <w:rPr>
                <w:rFonts w:ascii="IBM Plex Sans" w:cs="IBM Plex Sans" w:eastAsia="IBM Plex Sans" w:hAnsi="IBM Plex Sans"/>
                <w:b/>
                <w:bCs/>
                <w:sz w:val="20"/>
                <w:szCs w:val="20"/>
              </w:rPr>
              <w:t xml:space="preserve">Dokter</w:t>
            </w:r>
          </w:p>
        </w:tc>
        <w:tc>
          <w:tcPr>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Tenaga medis dengan kompetensi klinis terukur, mampu secara mandiri dan bertanggung jawab dalam pengambilan keputusan klinis, penegakan diagnosis awal, dan penatalaksanaan komprehensif terhadap masalah kesehatan yang luas dan tidak terdiferensiasi, termasuk stabilisasi awal pada kondisi gawat darurat.</w:t>
            </w:r>
          </w:p>
        </w:tc>
      </w:tr>
      <w:tr>
        <w:tc>
          <w:tcPr>
            <w:shd w:fill="F1F5F9" w:val="clear"/>
            <w:tcMar>
              <w:top w:type="dxa" w:w="100"/>
              <w:left w:type="dxa" w:w="120"/>
              <w:bottom w:type="dxa" w:w="100"/>
              <w:right w:type="dxa" w:w="120"/>
            </w:tcMar>
          </w:tcPr>
          <w:p>
            <w:r>
              <w:rPr>
                <w:rFonts w:ascii="IBM Plex Sans" w:cs="IBM Plex Sans" w:eastAsia="IBM Plex Sans" w:hAnsi="IBM Plex Sans"/>
                <w:b/>
                <w:bCs/>
                <w:sz w:val="20"/>
                <w:szCs w:val="20"/>
              </w:rPr>
              <w:t xml:space="preserve">Dokter Spesialis Obstetri dan Ginekologi</w:t>
            </w:r>
          </w:p>
        </w:tc>
        <w:tc>
          <w:tcPr>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Dokter dengan kualifikasi lanjutan, mampu secara mandiri dan bertanggung jawab dalam penegakan diagnosis dan penatalaksanaan komprehensif terhadap gangguan sistem reproduksi perempuan pada seluruh tahap kehidupan — prakonsepsi, kehamilan, persalinan, masa nifas, masa reproduktif, hingga pascamenopause.</w:t>
            </w:r>
          </w:p>
        </w:tc>
      </w:tr>
      <w:tr>
        <w:tc>
          <w:tcPr>
            <w:shd w:fill="FFFFFF" w:val="clear"/>
            <w:tcMar>
              <w:top w:type="dxa" w:w="100"/>
              <w:left w:type="dxa" w:w="120"/>
              <w:bottom w:type="dxa" w:w="100"/>
              <w:right w:type="dxa" w:w="120"/>
            </w:tcMar>
          </w:tcPr>
          <w:p>
            <w:r>
              <w:rPr>
                <w:rFonts w:ascii="IBM Plex Sans" w:cs="IBM Plex Sans" w:eastAsia="IBM Plex Sans" w:hAnsi="IBM Plex Sans"/>
                <w:b/>
                <w:bCs/>
                <w:sz w:val="20"/>
                <w:szCs w:val="20"/>
              </w:rPr>
              <w:t xml:space="preserve">Fasilitas Pelayanan Kesehatan</w:t>
            </w:r>
          </w:p>
        </w:tc>
        <w:tc>
          <w:tcPr>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Tempat dan/atau alat yang digunakan untuk menyelenggarakan Pelayanan Kesehatan kepada perseorangan ataupun masyarakat.</w:t>
            </w:r>
          </w:p>
        </w:tc>
      </w:tr>
      <w:tr>
        <w:tc>
          <w:tcPr>
            <w:shd w:fill="F1F5F9" w:val="clear"/>
            <w:tcMar>
              <w:top w:type="dxa" w:w="100"/>
              <w:left w:type="dxa" w:w="120"/>
              <w:bottom w:type="dxa" w:w="100"/>
              <w:right w:type="dxa" w:w="120"/>
            </w:tcMar>
          </w:tcPr>
          <w:p>
            <w:r>
              <w:rPr>
                <w:rFonts w:ascii="IBM Plex Sans" w:cs="IBM Plex Sans" w:eastAsia="IBM Plex Sans" w:hAnsi="IBM Plex Sans"/>
                <w:b/>
                <w:bCs/>
                <w:sz w:val="20"/>
                <w:szCs w:val="20"/>
              </w:rPr>
              <w:t xml:space="preserve">Kesehatan</w:t>
            </w:r>
          </w:p>
        </w:tc>
        <w:tc>
          <w:tcPr>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Keadaan sehat seseorang, baik secara fisik, jiwa, maupun sosial, dan bukan sekadar terbebas dari penyakit, untuk memungkinkannya hidup produktif.</w:t>
            </w:r>
          </w:p>
        </w:tc>
      </w:tr>
      <w:tr>
        <w:tc>
          <w:tcPr>
            <w:shd w:fill="FFFFFF" w:val="clear"/>
            <w:tcMar>
              <w:top w:type="dxa" w:w="100"/>
              <w:left w:type="dxa" w:w="120"/>
              <w:bottom w:type="dxa" w:w="100"/>
              <w:right w:type="dxa" w:w="120"/>
            </w:tcMar>
          </w:tcPr>
          <w:p>
            <w:r>
              <w:rPr>
                <w:rFonts w:ascii="IBM Plex Sans" w:cs="IBM Plex Sans" w:eastAsia="IBM Plex Sans" w:hAnsi="IBM Plex Sans"/>
                <w:b/>
                <w:bCs/>
                <w:sz w:val="20"/>
                <w:szCs w:val="20"/>
              </w:rPr>
              <w:t xml:space="preserve">Kompetensi</w:t>
            </w:r>
          </w:p>
        </w:tc>
        <w:tc>
          <w:tcPr>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Seperangkat tindakan cerdas, terukur, dan bertanggung jawab yang dimiliki oleh Tenaga Medis atau Tenaga Kesehatan untuk melaksanakan Pelayanan Kesehatan dan/atau praktik keprofesian.</w:t>
            </w:r>
          </w:p>
        </w:tc>
      </w:tr>
      <w:tr>
        <w:tc>
          <w:tcPr>
            <w:shd w:fill="F1F5F9" w:val="clear"/>
            <w:tcMar>
              <w:top w:type="dxa" w:w="100"/>
              <w:left w:type="dxa" w:w="120"/>
              <w:bottom w:type="dxa" w:w="100"/>
              <w:right w:type="dxa" w:w="120"/>
            </w:tcMar>
          </w:tcPr>
          <w:p>
            <w:r>
              <w:rPr>
                <w:rFonts w:ascii="IBM Plex Sans" w:cs="IBM Plex Sans" w:eastAsia="IBM Plex Sans" w:hAnsi="IBM Plex Sans"/>
                <w:b/>
                <w:bCs/>
                <w:sz w:val="20"/>
                <w:szCs w:val="20"/>
              </w:rPr>
              <w:t xml:space="preserve">Kriteria Kinerja Minimal</w:t>
            </w:r>
          </w:p>
        </w:tc>
        <w:tc>
          <w:tcPr>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Standar performa terendah yang harus dicapai dalam pelaksanaan suatu tugas atau pekerjaan, digunakan sebagai ukuran apakah hasil kerja memenuhi persyaratan Kompetensi minimal yang telah ditetapkan.</w:t>
            </w:r>
          </w:p>
        </w:tc>
      </w:tr>
      <w:tr>
        <w:tc>
          <w:tcPr>
            <w:shd w:fill="FFFFFF" w:val="clear"/>
            <w:tcMar>
              <w:top w:type="dxa" w:w="100"/>
              <w:left w:type="dxa" w:w="120"/>
              <w:bottom w:type="dxa" w:w="100"/>
              <w:right w:type="dxa" w:w="120"/>
            </w:tcMar>
          </w:tcPr>
          <w:p>
            <w:r>
              <w:rPr>
                <w:rFonts w:ascii="IBM Plex Sans" w:cs="IBM Plex Sans" w:eastAsia="IBM Plex Sans" w:hAnsi="IBM Plex Sans"/>
                <w:b/>
                <w:bCs/>
                <w:sz w:val="20"/>
                <w:szCs w:val="20"/>
              </w:rPr>
              <w:t xml:space="preserve">Pasien</w:t>
            </w:r>
          </w:p>
        </w:tc>
        <w:tc>
          <w:tcPr>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Setiap orang yang memperoleh Pelayanan Kesehatan dari Tenaga Medis dan/atau Tenaga Kesehatan.</w:t>
            </w:r>
          </w:p>
        </w:tc>
      </w:tr>
      <w:tr>
        <w:tc>
          <w:tcPr>
            <w:shd w:fill="F1F5F9" w:val="clear"/>
            <w:tcMar>
              <w:top w:type="dxa" w:w="100"/>
              <w:left w:type="dxa" w:w="120"/>
              <w:bottom w:type="dxa" w:w="100"/>
              <w:right w:type="dxa" w:w="120"/>
            </w:tcMar>
          </w:tcPr>
          <w:p>
            <w:r>
              <w:rPr>
                <w:rFonts w:ascii="IBM Plex Sans" w:cs="IBM Plex Sans" w:eastAsia="IBM Plex Sans" w:hAnsi="IBM Plex Sans"/>
                <w:b/>
                <w:bCs/>
                <w:sz w:val="20"/>
                <w:szCs w:val="20"/>
              </w:rPr>
              <w:t xml:space="preserve">Pelayanan Kesehatan</w:t>
            </w:r>
          </w:p>
        </w:tc>
        <w:tc>
          <w:tcPr>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Segala bentuk kegiatan dan/atau serangkaian kegiatan pelayanan yang diberikan secara langsung kepada perseorangan atau masyarakat untuk memelihara dan meningkatkan derajat kesehatan masyarakat.</w:t>
            </w:r>
          </w:p>
        </w:tc>
      </w:tr>
      <w:tr>
        <w:tc>
          <w:tcPr>
            <w:shd w:fill="FFFFFF" w:val="clear"/>
            <w:tcMar>
              <w:top w:type="dxa" w:w="100"/>
              <w:left w:type="dxa" w:w="120"/>
              <w:bottom w:type="dxa" w:w="100"/>
              <w:right w:type="dxa" w:w="120"/>
            </w:tcMar>
          </w:tcPr>
          <w:p>
            <w:r>
              <w:rPr>
                <w:rFonts w:ascii="IBM Plex Sans" w:cs="IBM Plex Sans" w:eastAsia="IBM Plex Sans" w:hAnsi="IBM Plex Sans"/>
                <w:b/>
                <w:bCs/>
                <w:sz w:val="20"/>
                <w:szCs w:val="20"/>
              </w:rPr>
              <w:t xml:space="preserve">Praktik Keprofesian</w:t>
            </w:r>
          </w:p>
        </w:tc>
        <w:tc>
          <w:tcPr>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Segala bentuk kegiatan dan/atau serangkaian kegiatan profesional yang diberikan kepada perseorangan atau masyarakat untuk memelihara dan meningkatkan derajat kesehatan masyarakat.</w:t>
            </w:r>
          </w:p>
        </w:tc>
      </w:tr>
      <w:tr>
        <w:tc>
          <w:tcPr>
            <w:shd w:fill="F1F5F9" w:val="clear"/>
            <w:tcMar>
              <w:top w:type="dxa" w:w="100"/>
              <w:left w:type="dxa" w:w="120"/>
              <w:bottom w:type="dxa" w:w="100"/>
              <w:right w:type="dxa" w:w="120"/>
            </w:tcMar>
          </w:tcPr>
          <w:p>
            <w:r>
              <w:rPr>
                <w:rFonts w:ascii="IBM Plex Sans" w:cs="IBM Plex Sans" w:eastAsia="IBM Plex Sans" w:hAnsi="IBM Plex Sans"/>
                <w:b/>
                <w:bCs/>
                <w:sz w:val="20"/>
                <w:szCs w:val="20"/>
              </w:rPr>
              <w:t xml:space="preserve">Sertifikat Kompetensi</w:t>
            </w:r>
          </w:p>
        </w:tc>
        <w:tc>
          <w:tcPr>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Surat tanda pengakuan terhadap Kompetensi Tenaga Medis dan Tenaga Kesehatan yang telah lulus Uji Kompetensi untuk dapat menjalankan praktik di seluruh Indonesia.</w:t>
            </w:r>
          </w:p>
        </w:tc>
      </w:tr>
      <w:tr>
        <w:tc>
          <w:tcPr>
            <w:shd w:fill="FFFFFF" w:val="clear"/>
            <w:tcMar>
              <w:top w:type="dxa" w:w="100"/>
              <w:left w:type="dxa" w:w="120"/>
              <w:bottom w:type="dxa" w:w="100"/>
              <w:right w:type="dxa" w:w="120"/>
            </w:tcMar>
          </w:tcPr>
          <w:p>
            <w:r>
              <w:rPr>
                <w:rFonts w:ascii="IBM Plex Sans" w:cs="IBM Plex Sans" w:eastAsia="IBM Plex Sans" w:hAnsi="IBM Plex Sans"/>
                <w:b/>
                <w:bCs/>
                <w:sz w:val="20"/>
                <w:szCs w:val="20"/>
              </w:rPr>
              <w:t xml:space="preserve">Standar Kompetensi</w:t>
            </w:r>
          </w:p>
        </w:tc>
        <w:tc>
          <w:tcPr>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Kemampuan minimal seorang Tenaga Medis atau Tenaga Kesehatan dalam melakukan Praktik Keprofesian dan/atau Pelayanan Kesehatan dengan mengintegrasikan pengetahuan, keterampilan, dan sikap, sesuai unjuk kerja yang dipersyaratkan pemerintah.</w:t>
            </w:r>
          </w:p>
        </w:tc>
      </w:tr>
      <w:tr>
        <w:tc>
          <w:tcPr>
            <w:shd w:fill="F1F5F9" w:val="clear"/>
            <w:tcMar>
              <w:top w:type="dxa" w:w="100"/>
              <w:left w:type="dxa" w:w="120"/>
              <w:bottom w:type="dxa" w:w="100"/>
              <w:right w:type="dxa" w:w="120"/>
            </w:tcMar>
          </w:tcPr>
          <w:p>
            <w:r>
              <w:rPr>
                <w:rFonts w:ascii="IBM Plex Sans" w:cs="IBM Plex Sans" w:eastAsia="IBM Plex Sans" w:hAnsi="IBM Plex Sans"/>
                <w:b/>
                <w:bCs/>
                <w:sz w:val="20"/>
                <w:szCs w:val="20"/>
              </w:rPr>
              <w:t xml:space="preserve">Standar Profesi</w:t>
            </w:r>
          </w:p>
        </w:tc>
        <w:tc>
          <w:tcPr>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Kualifikasi minimal Tenaga Medis atau Tenaga Kesehatan untuk melakukan praktik keprofesian dan/atau Pelayanan Kesehatan dalam sebuah sistem kesehatan nasional yang terintegrasi.</w:t>
            </w:r>
          </w:p>
        </w:tc>
      </w:tr>
      <w:tr>
        <w:tc>
          <w:tcPr>
            <w:shd w:fill="FFFFFF" w:val="clear"/>
            <w:tcMar>
              <w:top w:type="dxa" w:w="100"/>
              <w:left w:type="dxa" w:w="120"/>
              <w:bottom w:type="dxa" w:w="100"/>
              <w:right w:type="dxa" w:w="120"/>
            </w:tcMar>
          </w:tcPr>
          <w:p>
            <w:r>
              <w:rPr>
                <w:rFonts w:ascii="IBM Plex Sans" w:cs="IBM Plex Sans" w:eastAsia="IBM Plex Sans" w:hAnsi="IBM Plex Sans"/>
                <w:b/>
                <w:bCs/>
                <w:sz w:val="20"/>
                <w:szCs w:val="20"/>
              </w:rPr>
              <w:t xml:space="preserve">Subspesialis Fertilitas dan Endokrinologi Reproduksi</w:t>
            </w:r>
          </w:p>
        </w:tc>
        <w:tc>
          <w:tcPr>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Dokter Spesialis Obstetri dan Ginekologi dengan kualifikasi lanjutan pada penatalaksanaan gangguan endokrinologi reproduksi dan fertilitas berkompleksitas sangat tinggi, refrakter, atau jarang.</w:t>
            </w:r>
          </w:p>
        </w:tc>
      </w:tr>
      <w:tr>
        <w:tc>
          <w:tcPr>
            <w:shd w:fill="F1F5F9" w:val="clear"/>
            <w:tcMar>
              <w:top w:type="dxa" w:w="100"/>
              <w:left w:type="dxa" w:w="120"/>
              <w:bottom w:type="dxa" w:w="100"/>
              <w:right w:type="dxa" w:w="120"/>
            </w:tcMar>
          </w:tcPr>
          <w:p>
            <w:r>
              <w:rPr>
                <w:rFonts w:ascii="IBM Plex Sans" w:cs="IBM Plex Sans" w:eastAsia="IBM Plex Sans" w:hAnsi="IBM Plex Sans"/>
                <w:b/>
                <w:bCs/>
                <w:sz w:val="20"/>
                <w:szCs w:val="20"/>
              </w:rPr>
              <w:t xml:space="preserve">Subspesialis Kedokteran Fetomaternal</w:t>
            </w:r>
          </w:p>
        </w:tc>
        <w:tc>
          <w:tcPr>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Dokter Spesialis Obstetri dan Ginekologi dengan kualifikasi lanjutan pada penatalaksanaan kehamilan berisiko tinggi, kelainan janin, dan komplikasi maternal-fetal berkompleksitas sangat tinggi, refrakter, atau jarang.</w:t>
            </w:r>
          </w:p>
        </w:tc>
      </w:tr>
      <w:tr>
        <w:tc>
          <w:tcPr>
            <w:shd w:fill="FFFFFF" w:val="clear"/>
            <w:tcMar>
              <w:top w:type="dxa" w:w="100"/>
              <w:left w:type="dxa" w:w="120"/>
              <w:bottom w:type="dxa" w:w="100"/>
              <w:right w:type="dxa" w:w="120"/>
            </w:tcMar>
          </w:tcPr>
          <w:p>
            <w:r>
              <w:rPr>
                <w:rFonts w:ascii="IBM Plex Sans" w:cs="IBM Plex Sans" w:eastAsia="IBM Plex Sans" w:hAnsi="IBM Plex Sans"/>
                <w:b/>
                <w:bCs/>
                <w:sz w:val="20"/>
                <w:szCs w:val="20"/>
              </w:rPr>
              <w:t xml:space="preserve">Subspesialis Obstetri Ginekologi Sosial</w:t>
            </w:r>
          </w:p>
        </w:tc>
        <w:tc>
          <w:tcPr>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Dokter Spesialis Obstetri dan Ginekologi dengan kualifikasi lanjutan pada pelayanan kesehatan reproduksi perempuan berbasis keluarga dan komunitas, dengan fokus pencegahan komplikasi obstetri-ginekologi berkompleksitas sangat tinggi, refrakter, atau jarang.</w:t>
            </w:r>
          </w:p>
        </w:tc>
      </w:tr>
      <w:tr>
        <w:tc>
          <w:tcPr>
            <w:shd w:fill="F1F5F9" w:val="clear"/>
            <w:tcMar>
              <w:top w:type="dxa" w:w="100"/>
              <w:left w:type="dxa" w:w="120"/>
              <w:bottom w:type="dxa" w:w="100"/>
              <w:right w:type="dxa" w:w="120"/>
            </w:tcMar>
          </w:tcPr>
          <w:p>
            <w:r>
              <w:rPr>
                <w:rFonts w:ascii="IBM Plex Sans" w:cs="IBM Plex Sans" w:eastAsia="IBM Plex Sans" w:hAnsi="IBM Plex Sans"/>
                <w:b/>
                <w:bCs/>
                <w:sz w:val="20"/>
                <w:szCs w:val="20"/>
              </w:rPr>
              <w:t xml:space="preserve">Subspesialis Onkologi Ginekologi</w:t>
            </w:r>
          </w:p>
        </w:tc>
        <w:tc>
          <w:tcPr>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Dokter Spesialis Obstetri dan Ginekologi dengan kualifikasi lanjutan pada penatalaksanaan keganasan sistem reproduksi perempuan, dari lesi prakanker hingga kanker invasif berkompleksitas sangat tinggi, refrakter, atau jarang.</w:t>
            </w:r>
          </w:p>
        </w:tc>
      </w:tr>
      <w:tr>
        <w:tc>
          <w:tcPr>
            <w:shd w:fill="FFFFFF" w:val="clear"/>
            <w:tcMar>
              <w:top w:type="dxa" w:w="100"/>
              <w:left w:type="dxa" w:w="120"/>
              <w:bottom w:type="dxa" w:w="100"/>
              <w:right w:type="dxa" w:w="120"/>
            </w:tcMar>
          </w:tcPr>
          <w:p>
            <w:r>
              <w:rPr>
                <w:rFonts w:ascii="IBM Plex Sans" w:cs="IBM Plex Sans" w:eastAsia="IBM Plex Sans" w:hAnsi="IBM Plex Sans"/>
                <w:b/>
                <w:bCs/>
                <w:sz w:val="20"/>
                <w:szCs w:val="20"/>
              </w:rPr>
              <w:t xml:space="preserve">Subspesialis Uroginekologi Rekonstruksi</w:t>
            </w:r>
          </w:p>
        </w:tc>
        <w:tc>
          <w:tcPr>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Dokter Spesialis Obstetri dan Ginekologi dengan kualifikasi lanjutan pada penatalaksanaan gangguan serta prolaps dasar panggul, inkontinensia, dan disfungsi seksual perempuan berkompleksitas sangat tinggi, refrakter, atau jarang.</w:t>
            </w:r>
          </w:p>
        </w:tc>
      </w:tr>
      <w:tr>
        <w:tc>
          <w:tcPr>
            <w:shd w:fill="F1F5F9" w:val="clear"/>
            <w:tcMar>
              <w:top w:type="dxa" w:w="100"/>
              <w:left w:type="dxa" w:w="120"/>
              <w:bottom w:type="dxa" w:w="100"/>
              <w:right w:type="dxa" w:w="120"/>
            </w:tcMar>
          </w:tcPr>
          <w:p>
            <w:r>
              <w:rPr>
                <w:rFonts w:ascii="IBM Plex Sans" w:cs="IBM Plex Sans" w:eastAsia="IBM Plex Sans" w:hAnsi="IBM Plex Sans"/>
                <w:b/>
                <w:bCs/>
                <w:sz w:val="20"/>
                <w:szCs w:val="20"/>
              </w:rPr>
              <w:t xml:space="preserve">Tenaga Kesehatan</w:t>
            </w:r>
          </w:p>
        </w:tc>
        <w:tc>
          <w:tcPr>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Setiap orang yang mengabdikan diri dalam bidang kesehatan serta memiliki sikap profesional, pengetahuan, dan keterampilan melalui pendidikan tinggi yang untuk jenis tertentu memerlukan kewenangan untuk melakukan Upaya Kesehatan.</w:t>
            </w:r>
          </w:p>
        </w:tc>
      </w:tr>
      <w:tr>
        <w:tc>
          <w:tcPr>
            <w:shd w:fill="FFFFFF" w:val="clear"/>
            <w:tcMar>
              <w:top w:type="dxa" w:w="100"/>
              <w:left w:type="dxa" w:w="120"/>
              <w:bottom w:type="dxa" w:w="100"/>
              <w:right w:type="dxa" w:w="120"/>
            </w:tcMar>
          </w:tcPr>
          <w:p>
            <w:r>
              <w:rPr>
                <w:rFonts w:ascii="IBM Plex Sans" w:cs="IBM Plex Sans" w:eastAsia="IBM Plex Sans" w:hAnsi="IBM Plex Sans"/>
                <w:b/>
                <w:bCs/>
                <w:sz w:val="20"/>
                <w:szCs w:val="20"/>
              </w:rPr>
              <w:t xml:space="preserve">Tenaga Medis</w:t>
            </w:r>
          </w:p>
        </w:tc>
        <w:tc>
          <w:tcPr>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Setiap orang yang mengabdikan diri dalam bidang kesehatan serta memiliki sikap profesional, pengetahuan, dan keterampilan melalui pendidikan profesi kedokteran atau kedokteran gigi yang memerlukan kewenangan untuk melakukan Upaya Kesehatan.</w:t>
            </w:r>
          </w:p>
        </w:tc>
      </w:tr>
      <w:tr>
        <w:tc>
          <w:tcPr>
            <w:shd w:fill="F1F5F9" w:val="clear"/>
            <w:tcMar>
              <w:top w:type="dxa" w:w="100"/>
              <w:left w:type="dxa" w:w="120"/>
              <w:bottom w:type="dxa" w:w="100"/>
              <w:right w:type="dxa" w:w="120"/>
            </w:tcMar>
          </w:tcPr>
          <w:p>
            <w:r>
              <w:rPr>
                <w:rFonts w:ascii="IBM Plex Sans" w:cs="IBM Plex Sans" w:eastAsia="IBM Plex Sans" w:hAnsi="IBM Plex Sans"/>
                <w:b/>
                <w:bCs/>
                <w:sz w:val="20"/>
                <w:szCs w:val="20"/>
              </w:rPr>
              <w:t xml:space="preserve">Uji Kompetensi</w:t>
            </w:r>
          </w:p>
        </w:tc>
        <w:tc>
          <w:tcPr>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Proses evaluasi yang sistematis dan terstandardisasi untuk mengukur sejauh mana seorang individu atau peserta didik telah memiliki keterampilan kerja dan sikap yang diperlukan sesuai Standar Kompetensi yang ditetapkan.</w:t>
            </w:r>
          </w:p>
        </w:tc>
      </w:tr>
      <w:tr>
        <w:tc>
          <w:tcPr>
            <w:shd w:fill="FFFFFF" w:val="clear"/>
            <w:tcMar>
              <w:top w:type="dxa" w:w="100"/>
              <w:left w:type="dxa" w:w="120"/>
              <w:bottom w:type="dxa" w:w="100"/>
              <w:right w:type="dxa" w:w="120"/>
            </w:tcMar>
          </w:tcPr>
          <w:p>
            <w:r>
              <w:rPr>
                <w:rFonts w:ascii="IBM Plex Sans" w:cs="IBM Plex Sans" w:eastAsia="IBM Plex Sans" w:hAnsi="IBM Plex Sans"/>
                <w:b/>
                <w:bCs/>
                <w:sz w:val="20"/>
                <w:szCs w:val="20"/>
              </w:rPr>
              <w:t xml:space="preserve">Ujian Kelulusan (exit exam)</w:t>
            </w:r>
          </w:p>
        </w:tc>
        <w:tc>
          <w:tcPr>
            <w:shd w:fill="FFFFFF" w:val="clear"/>
            <w:tcMar>
              <w:top w:type="dxa" w:w="100"/>
              <w:left w:type="dxa" w:w="120"/>
              <w:bottom w:type="dxa" w:w="100"/>
              <w:right w:type="dxa" w:w="120"/>
            </w:tcMar>
          </w:tcPr>
          <w:p>
            <w:r>
              <w:rPr>
                <w:rFonts w:ascii="IBM Plex Sans" w:cs="IBM Plex Sans" w:eastAsia="IBM Plex Sans" w:hAnsi="IBM Plex Sans"/>
                <w:sz w:val="20"/>
                <w:szCs w:val="20"/>
              </w:rPr>
              <w:t xml:space="preserve">Evaluasi akhir yang diadakan oleh institusi pendidikan bekerja sama dengan kolegium untuk menilai kemampuan peserta didik memenuhi Standar Kompetensi sebagai syarat kelulusan.</w:t>
            </w:r>
          </w:p>
        </w:tc>
      </w:tr>
      <w:tr>
        <w:tc>
          <w:tcPr>
            <w:shd w:fill="F1F5F9" w:val="clear"/>
            <w:tcMar>
              <w:top w:type="dxa" w:w="100"/>
              <w:left w:type="dxa" w:w="120"/>
              <w:bottom w:type="dxa" w:w="100"/>
              <w:right w:type="dxa" w:w="120"/>
            </w:tcMar>
          </w:tcPr>
          <w:p>
            <w:r>
              <w:rPr>
                <w:rFonts w:ascii="IBM Plex Sans" w:cs="IBM Plex Sans" w:eastAsia="IBM Plex Sans" w:hAnsi="IBM Plex Sans"/>
                <w:b/>
                <w:bCs/>
                <w:sz w:val="20"/>
                <w:szCs w:val="20"/>
              </w:rPr>
              <w:t xml:space="preserve">Upaya Kesehatan</w:t>
            </w:r>
          </w:p>
        </w:tc>
        <w:tc>
          <w:tcPr>
            <w:shd w:fill="F1F5F9" w:val="clear"/>
            <w:tcMar>
              <w:top w:type="dxa" w:w="100"/>
              <w:left w:type="dxa" w:w="120"/>
              <w:bottom w:type="dxa" w:w="100"/>
              <w:right w:type="dxa" w:w="120"/>
            </w:tcMar>
          </w:tcPr>
          <w:p>
            <w:r>
              <w:rPr>
                <w:rFonts w:ascii="IBM Plex Sans" w:cs="IBM Plex Sans" w:eastAsia="IBM Plex Sans" w:hAnsi="IBM Plex Sans"/>
                <w:sz w:val="20"/>
                <w:szCs w:val="20"/>
              </w:rPr>
              <w:t xml:space="preserve">Segala bentuk kegiatan dan/atau serangkaian kegiatan yang dilakukan secara terpadu dan berkesinambungan untuk memelihara dan meningkatkan derajat kesehatan masyarakat dalam bentuk promotif, preventif, kuratif, rehabilitatif, dan/atau paliatif.</w:t>
            </w:r>
          </w:p>
        </w:tc>
      </w:tr>
    </w:tbl>
    <w:sectPr>
      <w:headerReference w:type="default" r:id="rId7"/>
      <w:footerReference w:type="default" r:id="rId8"/>
      <w:type w:val="nextPage"/>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Sans" w:cs="IBM Plex Sans" w:eastAsia="IBM Plex Sans" w:hAnsi="IBM Plex Sans"/>
        <w:color w:val="334155"/>
        <w:sz w:val="16"/>
        <w:szCs w:val="16"/>
      </w:rPr>
      <w:t xml:space="preserve">Dokumen U1 dari 15  •  Halaman </w:t>
    </w:r>
    <w:r>
      <w:rPr>
        <w:rFonts w:ascii="IBM Plex Sans" w:cs="IBM Plex Sans" w:eastAsia="IBM Plex Sans" w:hAnsi="IBM Plex Sans"/>
        <w:color w:val="3341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IBM Plex Sans" w:cs="IBM Plex Sans" w:eastAsia="IBM Plex Sans" w:hAnsi="IBM Plex Sans"/>
        <w:color w:val="334155"/>
        <w:sz w:val="16"/>
        <w:szCs w:val="16"/>
      </w:rPr>
      <w:t xml:space="preserve">U1 — Standar Kompetensi dan Kurikulum Pendidikan Dokter Spesialis Obstetri dan Ginekologi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1E293B"/>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240"/>
      <w:outlineLvl w:val="0"/>
    </w:pPr>
    <w:rPr>
      <w:rFonts w:ascii="Source Serif 4" w:cs="Source Serif 4" w:eastAsia="Source Serif 4" w:hAnsi="Source Serif 4"/>
      <w:b/>
      <w:bCs/>
      <w:color w:val="4F46E5"/>
      <w:sz w:val="32"/>
      <w:szCs w:val="32"/>
    </w:rPr>
  </w:style>
  <w:style w:type="paragraph" w:styleId="Heading2">
    <w:name w:val="Heading 2"/>
    <w:basedOn w:val="Normal"/>
    <w:next w:val="Normal"/>
    <w:qFormat/>
    <w:pPr>
      <w:spacing w:after="120" w:before="200"/>
      <w:outlineLvl w:val="1"/>
    </w:pPr>
    <w:rPr>
      <w:rFonts w:ascii="Source Serif 4" w:cs="Source Serif 4" w:eastAsia="Source Serif 4" w:hAnsi="Source Serif 4"/>
      <w:b/>
      <w:bCs/>
      <w:color w:val="1E293B"/>
      <w:sz w:val="26"/>
      <w:szCs w:val="26"/>
    </w:rPr>
  </w:style>
  <w:style w:type="paragraph" w:styleId="Heading3">
    <w:name w:val="Heading 3"/>
    <w:basedOn w:val="Normal"/>
    <w:next w:val="Normal"/>
    <w:qFormat/>
    <w:pPr>
      <w:spacing w:after="100" w:before="160"/>
      <w:outlineLvl w:val="2"/>
    </w:pPr>
    <w:rPr>
      <w:rFonts w:ascii="Source Serif 4" w:cs="Source Serif 4" w:eastAsia="Source Serif 4" w:hAnsi="Source Serif 4"/>
      <w:b/>
      <w:bCs/>
      <w:color w:val="B45309"/>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2026-08-17T03:25:51.732Z</dcterms:created>
  <dcterms:modified xsi:type="dcterms:W3CDTF">2026-08-17T03:25:51.732Z</dcterms:modified>
</cp:coreProperties>
</file>

<file path=docProps/custom.xml><?xml version="1.0" encoding="utf-8"?>
<Properties xmlns="http://schemas.openxmlformats.org/officeDocument/2006/custom-properties" xmlns:vt="http://schemas.openxmlformats.org/officeDocument/2006/docPropsVTypes"/>
</file>